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E0E96" w14:textId="1EE5531E" w:rsidR="00707C99" w:rsidRPr="0085503C" w:rsidRDefault="00201C0D" w:rsidP="008054D5">
      <w:pPr>
        <w:spacing w:after="0" w:line="240" w:lineRule="auto"/>
        <w:jc w:val="center"/>
        <w:rPr>
          <w:rFonts w:ascii="Times New Roman" w:hAnsi="Times New Roman" w:cs="Times New Roman"/>
          <w:b/>
          <w:sz w:val="24"/>
          <w:szCs w:val="24"/>
          <w:lang w:val="es-PE" w:eastAsia="ar-SA"/>
        </w:rPr>
      </w:pPr>
      <w:r w:rsidRPr="008F6175">
        <w:rPr>
          <w:rFonts w:ascii="Times New Roman" w:hAnsi="Times New Roman" w:cs="Times New Roman"/>
          <w:b/>
          <w:sz w:val="24"/>
          <w:szCs w:val="24"/>
          <w:lang w:val="es-PE" w:eastAsia="ar-SA"/>
        </w:rPr>
        <w:t>RESOLUCIÓ</w:t>
      </w:r>
      <w:r w:rsidRPr="0085503C">
        <w:rPr>
          <w:rFonts w:ascii="Times New Roman" w:hAnsi="Times New Roman" w:cs="Times New Roman"/>
          <w:b/>
          <w:sz w:val="24"/>
          <w:szCs w:val="24"/>
          <w:lang w:val="es-PE" w:eastAsia="ar-SA"/>
        </w:rPr>
        <w:t xml:space="preserve">N DE RECURSO IMPUGNATIVO </w:t>
      </w:r>
      <w:r w:rsidR="00707C99" w:rsidRPr="0085503C">
        <w:rPr>
          <w:rFonts w:ascii="Times New Roman" w:hAnsi="Times New Roman" w:cs="Times New Roman"/>
          <w:b/>
          <w:sz w:val="24"/>
          <w:szCs w:val="24"/>
          <w:lang w:val="es-PE" w:eastAsia="ar-SA"/>
        </w:rPr>
        <w:t>N°</w:t>
      </w:r>
      <w:r w:rsidR="008054D5">
        <w:rPr>
          <w:rFonts w:ascii="Times New Roman" w:hAnsi="Times New Roman" w:cs="Times New Roman"/>
          <w:b/>
          <w:sz w:val="24"/>
          <w:szCs w:val="24"/>
          <w:lang w:val="es-PE" w:eastAsia="ar-SA"/>
        </w:rPr>
        <w:t xml:space="preserve"> 072/</w:t>
      </w:r>
      <w:r w:rsidR="00C671F5" w:rsidRPr="0085503C">
        <w:rPr>
          <w:rFonts w:ascii="Times New Roman" w:hAnsi="Times New Roman" w:cs="Times New Roman"/>
          <w:b/>
          <w:sz w:val="24"/>
          <w:szCs w:val="24"/>
          <w:lang w:val="es-PE" w:eastAsia="ar-SA"/>
        </w:rPr>
        <w:t>2</w:t>
      </w:r>
      <w:r w:rsidR="006C1A7D">
        <w:rPr>
          <w:rFonts w:ascii="Times New Roman" w:hAnsi="Times New Roman" w:cs="Times New Roman"/>
          <w:b/>
          <w:sz w:val="24"/>
          <w:szCs w:val="24"/>
          <w:lang w:val="es-PE" w:eastAsia="ar-SA"/>
        </w:rPr>
        <w:t>5</w:t>
      </w:r>
    </w:p>
    <w:p w14:paraId="065C2231" w14:textId="77777777" w:rsidR="00CD1FB3" w:rsidRPr="0085503C" w:rsidRDefault="00CD1FB3" w:rsidP="00754DAC">
      <w:pPr>
        <w:spacing w:after="0" w:line="240" w:lineRule="auto"/>
        <w:jc w:val="both"/>
        <w:rPr>
          <w:rFonts w:ascii="Times New Roman" w:hAnsi="Times New Roman" w:cs="Times New Roman"/>
          <w:b/>
          <w:sz w:val="24"/>
          <w:szCs w:val="24"/>
          <w:lang w:val="es-PE"/>
        </w:rPr>
      </w:pPr>
    </w:p>
    <w:p w14:paraId="0A3D1E14" w14:textId="77777777" w:rsidR="007C41EA" w:rsidRPr="0085503C" w:rsidRDefault="008F6175" w:rsidP="007C41EA">
      <w:pPr>
        <w:spacing w:line="240" w:lineRule="auto"/>
        <w:jc w:val="both"/>
        <w:outlineLvl w:val="0"/>
        <w:rPr>
          <w:rFonts w:ascii="Times New Roman" w:hAnsi="Times New Roman" w:cs="Times New Roman"/>
          <w:b/>
          <w:bCs/>
          <w:sz w:val="24"/>
          <w:szCs w:val="24"/>
          <w:lang w:val="es-MX"/>
        </w:rPr>
      </w:pPr>
      <w:r w:rsidRPr="0085503C">
        <w:rPr>
          <w:rFonts w:ascii="Times New Roman" w:hAnsi="Times New Roman" w:cs="Times New Roman"/>
          <w:b/>
          <w:bCs/>
          <w:sz w:val="24"/>
          <w:szCs w:val="24"/>
          <w:lang w:val="es-MX"/>
        </w:rPr>
        <w:t>VISTOS:</w:t>
      </w:r>
    </w:p>
    <w:p w14:paraId="4960093A" w14:textId="3470BE76" w:rsidR="00836C72" w:rsidRPr="00D14DDF" w:rsidRDefault="008F6175" w:rsidP="003E34E6">
      <w:pPr>
        <w:spacing w:line="240" w:lineRule="auto"/>
        <w:jc w:val="both"/>
        <w:outlineLvl w:val="0"/>
        <w:rPr>
          <w:rFonts w:ascii="Times New Roman" w:hAnsi="Times New Roman" w:cs="Times New Roman"/>
          <w:b/>
          <w:bCs/>
          <w:sz w:val="24"/>
          <w:szCs w:val="24"/>
          <w:lang w:val="es-PE"/>
        </w:rPr>
      </w:pPr>
      <w:r>
        <w:rPr>
          <w:rFonts w:ascii="Times New Roman" w:hAnsi="Times New Roman"/>
          <w:sz w:val="24"/>
        </w:rPr>
        <w:t xml:space="preserve">El Recurso de Impugnación presentado por ………………… respecto de la Resolución Nro. 114/25, expedida por el Órgano Resolutivo Unipersonal de esta Defensoría del Asegurado (DEFASEG), conforme a la cual se declaró INFUNDADA la reclamación contra por ………………… respecto al SEGURO DE PROTECCIÓN DE TARJETA CON PÓLIZA N° …………………</w:t>
      </w:r>
    </w:p>
    <w:p w14:paraId="0033462B" w14:textId="43859F76" w:rsidR="00FD180C" w:rsidRPr="00B43FD1" w:rsidRDefault="008F6175" w:rsidP="00221FEF">
      <w:pPr>
        <w:spacing w:line="240" w:lineRule="auto"/>
        <w:jc w:val="both"/>
        <w:outlineLvl w:val="0"/>
        <w:rPr>
          <w:rFonts w:ascii="Times New Roman" w:hAnsi="Times New Roman" w:cs="Times New Roman"/>
          <w:sz w:val="24"/>
          <w:szCs w:val="24"/>
          <w:lang w:val="es-PE"/>
        </w:rPr>
      </w:pPr>
      <w:r>
        <w:rPr>
          <w:rFonts w:ascii="Times New Roman" w:hAnsi="Times New Roman"/>
          <w:sz w:val="24"/>
        </w:rPr>
        <w:t xml:space="preserve">Que, el indicado recurso se sustenta resumidamente en lo siguiente: a) señala que el 12 de noviembre de 2024 se realizaron seis transferencias no autorizadas por un total de S/ 3,000.00 desde su cuenta BBVA hacia una billetera digital BIM, sin su consentimiento, configurándose un caso de robo electrónico; b) precisa que presentó denuncia policial por fraude informático, adjuntó los comprobantes de transferencias fraudulentas y la certificación del BBVA que acredita el bloqueo de su cuenta por detección de fraude, lo que demuestra el acceso ilícito a sus credenciales; c) cuestiona que la aseguradora rechazara el siniestro alegando que la denuncia N° ………………… expresamente los términos “phishing” o “robo de celular”, señalando que tales expresiones no son exigidas en la póliza ni en la ley, y que la cobertura alcanza todo acceso ilícito a las credenciales bancarias que derive en transferencias no autorizadas; e) alega que la interpretación realizada por la aseguradora y confirmada en primera instancia incurre en formalismo indebido, vulnera el principio pro-consumidor, y desconoce el alcance del artículo 10 de la Ley N.° 30096 – Delitos Informáticos, que tipifica el acceso no autorizado a ………………… informáticos como un fraude informático; f) finalmente, solicita que se revoque la Resolución Impugnada y se declare fundado su reclamo, ordenando a ………………… el pago de S/ 3,000.00 correspondientes a la cobertura por robo electrónico.</w:t>
      </w:r>
    </w:p>
    <w:p w14:paraId="2F8330F8" w14:textId="28FE761F" w:rsidR="0009595A" w:rsidRPr="004E6694" w:rsidRDefault="0009595A" w:rsidP="000B24D9">
      <w:pPr>
        <w:pStyle w:val="Textoindependiente"/>
        <w:tabs>
          <w:tab w:val="left" w:pos="930"/>
        </w:tabs>
        <w:spacing w:line="240" w:lineRule="auto"/>
        <w:rPr>
          <w:lang w:val="es-PE"/>
        </w:rPr>
      </w:pPr>
      <w:r>
        <w:rPr>
          <w:rFonts w:ascii="Times New Roman" w:hAnsi="Times New Roman"/>
          <w:sz w:val="24"/>
        </w:rPr>
        <w:t xml:space="preserve">Que, habiéndosele corrido traslado de la señalada impugnación, se advierte que, pese a haber sido debidamente notificada con el recurso presentado por la señora…………………, ………………… no ha presentado escrito alguno ni formulado pronunciamiento respecto a los argumentos expuestos por la reclamante.</w:t>
      </w:r>
    </w:p>
    <w:p w14:paraId="5FFC77FB" w14:textId="77777777" w:rsidR="0009595A" w:rsidRPr="004E6694" w:rsidRDefault="0009595A" w:rsidP="000B24D9">
      <w:pPr>
        <w:pStyle w:val="Textoindependiente"/>
        <w:tabs>
          <w:tab w:val="left" w:pos="930"/>
        </w:tabs>
        <w:spacing w:line="240" w:lineRule="auto"/>
        <w:rPr>
          <w:lang w:val="es-PE"/>
        </w:rPr>
      </w:pPr>
    </w:p>
    <w:p w14:paraId="43B5653B" w14:textId="56FA6B8A" w:rsidR="008F6175" w:rsidRPr="004E6694" w:rsidRDefault="0068142C" w:rsidP="000B24D9">
      <w:pPr>
        <w:pStyle w:val="Textoindependiente"/>
        <w:tabs>
          <w:tab w:val="left" w:pos="930"/>
        </w:tabs>
        <w:spacing w:line="240" w:lineRule="auto"/>
        <w:rPr>
          <w:lang w:val="es-PE"/>
        </w:rPr>
      </w:pPr>
      <w:r w:rsidRPr="004E6694">
        <w:rPr>
          <w:rFonts w:ascii="Times New Roman" w:hAnsi="Times New Roman"/>
          <w:sz w:val="24"/>
          <w:lang w:val="es-PE"/>
        </w:rPr>
        <w:t>Que, atendiendo a lo expuesto, esta Defensoría resuelve finalmente lo siguiente:</w:t>
      </w:r>
    </w:p>
    <w:p w14:paraId="267686CA" w14:textId="77777777" w:rsidR="000B24D9" w:rsidRPr="000B24D9" w:rsidRDefault="000B24D9" w:rsidP="000B24D9">
      <w:pPr>
        <w:pStyle w:val="Textoindependiente"/>
        <w:tabs>
          <w:tab w:val="left" w:pos="930"/>
        </w:tabs>
        <w:spacing w:line="240" w:lineRule="auto"/>
      </w:pPr>
    </w:p>
    <w:p w14:paraId="20F96D70" w14:textId="77777777" w:rsidR="008F6175" w:rsidRPr="008F6175" w:rsidRDefault="008F6175" w:rsidP="008F6175">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14:paraId="3666058B" w14:textId="220296B5" w:rsidR="008F6175" w:rsidRPr="00EC2983" w:rsidRDefault="008F6175" w:rsidP="008F6175">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el asegurado ha ejercido formalmente su derecho a contradecir lo resuelto por la Defensoría.</w:t>
      </w:r>
    </w:p>
    <w:p w14:paraId="6773BA75" w14:textId="56B30CDE" w:rsidR="00D07937" w:rsidRPr="001E22E8" w:rsidRDefault="008F6175" w:rsidP="003D69C2">
      <w:pPr>
        <w:spacing w:line="240" w:lineRule="auto"/>
        <w:jc w:val="both"/>
        <w:rPr>
          <w:rFonts w:ascii="Times New Roman" w:hAnsi="Times New Roman" w:cs="Times New Roman"/>
          <w:bCs/>
          <w:sz w:val="24"/>
          <w:szCs w:val="24"/>
          <w:lang w:val="es-PE"/>
        </w:rPr>
      </w:pPr>
      <w:r>
        <w:rPr>
          <w:rFonts w:ascii="Times New Roman" w:hAnsi="Times New Roman"/>
          <w:sz w:val="24"/>
        </w:rPr>
        <w:t xml:space="preserve">SEGUNDO: Que, el Recurso de Impugnación presentado por la señora………………… se sustenta en que, según su interpretación de la póliza del Seguro de Protección de Tarjeta BBVA – …………………, las transferencias electrónicas no autorizadas realizadas desde su cuenta —a través de una billetera digital (BIM) y sin su consentimiento— deben considerarse comprendidas dentro de la cobertura por robo electrónico.</w:t>
      </w:r>
    </w:p>
    <w:p w14:paraId="5C19A48B" w14:textId="77777777" w:rsidR="00CA48C1" w:rsidRPr="00CA48C1" w:rsidRDefault="00C81C5D" w:rsidP="00CA48C1">
      <w:pPr>
        <w:spacing w:line="240" w:lineRule="auto"/>
        <w:jc w:val="both"/>
        <w:rPr>
          <w:rFonts w:ascii="Times New Roman" w:hAnsi="Times New Roman" w:cs="Times New Roman"/>
          <w:bCs/>
          <w:lang w:val="es-PE"/>
        </w:rPr>
      </w:pPr>
      <w:r>
        <w:rPr>
          <w:rFonts w:ascii="Times New Roman" w:hAnsi="Times New Roman" w:cs="Times New Roman"/>
          <w:b/>
          <w:bCs/>
          <w:sz w:val="24"/>
          <w:szCs w:val="24"/>
          <w:u w:val="single"/>
          <w:lang w:val="es-PE"/>
        </w:rPr>
        <w:t>TERCERO</w:t>
      </w:r>
      <w:r w:rsidRPr="008F6175">
        <w:rPr>
          <w:rFonts w:ascii="Times New Roman" w:hAnsi="Times New Roman" w:cs="Times New Roman"/>
          <w:b/>
          <w:bCs/>
          <w:sz w:val="24"/>
          <w:szCs w:val="24"/>
          <w:lang w:val="es-PE"/>
        </w:rPr>
        <w:t>:</w:t>
      </w:r>
      <w:r w:rsidRPr="008F6175">
        <w:rPr>
          <w:rFonts w:ascii="Times New Roman" w:hAnsi="Times New Roman" w:cs="Times New Roman"/>
          <w:bCs/>
          <w:sz w:val="24"/>
          <w:szCs w:val="24"/>
          <w:lang w:val="es-PE"/>
        </w:rPr>
        <w:t xml:space="preserve"> </w:t>
      </w:r>
      <w:r w:rsidR="00CA48C1" w:rsidRPr="00CA48C1">
        <w:rPr>
          <w:rFonts w:ascii="Times New Roman" w:hAnsi="Times New Roman" w:cs="Times New Roman"/>
          <w:bCs/>
          <w:sz w:val="24"/>
          <w:lang w:val="es-PE"/>
        </w:rPr>
        <w:t>Que, el rechazo del siniestro se sustenta en que, de acuerdo con la denuncia policial presentada por la asegurada, esta manifestó no reconocer transferencias electrónicas (BIM) por un monto total de S/ 3,000.00, pese a que mantuvo su tarjeta en su poder.</w:t>
      </w:r>
    </w:p>
    <w:p w14:paraId="5ECA57C3" w14:textId="7E7A6F2C" w:rsidR="00CA48C1" w:rsidRPr="00CA48C1" w:rsidRDefault="00CA48C1" w:rsidP="00CA48C1">
      <w:pPr>
        <w:spacing w:line="240" w:lineRule="auto"/>
        <w:jc w:val="both"/>
        <w:rPr>
          <w:rFonts w:ascii="Times New Roman" w:hAnsi="Times New Roman" w:cs="Times New Roman"/>
          <w:bCs/>
          <w:sz w:val="24"/>
          <w:szCs w:val="24"/>
          <w:lang w:val="es-PE"/>
        </w:rPr>
      </w:pPr>
      <w:r>
        <w:rPr>
          <w:rFonts w:ascii="Times New Roman" w:hAnsi="Times New Roman"/>
          <w:sz w:val="24"/>
        </w:rPr>
        <w:t xml:space="preserve">En ese sentido, ………………… concluyó que los hechos descritos no se enmarcan dentro de la cobertura por robo o hurto electrónico, toda vez que en la denuncia N° ………………… evidencia que la asegurada haya sido víctima de phishing o de robo o hurto de su teléfono móvil, supuestos que —según la póliza— son los únicos eventos que activan la cobertura por “robo o hurto electrónico”.</w:t>
      </w:r>
    </w:p>
    <w:p w14:paraId="5B8617CE" w14:textId="4134031E" w:rsidR="00FF35A6" w:rsidRPr="00D401A1" w:rsidRDefault="00CA48C1" w:rsidP="001E22E8">
      <w:pPr>
        <w:spacing w:line="240" w:lineRule="auto"/>
        <w:jc w:val="both"/>
        <w:rPr>
          <w:rFonts w:ascii="Times New Roman" w:hAnsi="Times New Roman" w:cs="Times New Roman"/>
          <w:bCs/>
          <w:sz w:val="24"/>
          <w:szCs w:val="24"/>
          <w:lang w:val="es-PE"/>
        </w:rPr>
      </w:pPr>
      <w:r w:rsidRPr="00CA48C1">
        <w:rPr>
          <w:rFonts w:ascii="Times New Roman" w:hAnsi="Times New Roman" w:cs="Times New Roman"/>
          <w:bCs/>
          <w:sz w:val="24"/>
          <w:szCs w:val="24"/>
          <w:lang w:val="es-PE"/>
        </w:rPr>
        <w:t>Por tal motivo, la aseguradora determinó que la situación denunciada no constituye un riesgo cubierto, procediendo al rechazo del siniestro conforme a las condiciones y términos establecidos en la póliza contratada</w:t>
      </w:r>
    </w:p>
    <w:p w14:paraId="6BB4B2DB" w14:textId="77777777" w:rsidR="00554FA8" w:rsidRDefault="00367292" w:rsidP="00554FA8">
      <w:pPr>
        <w:spacing w:line="240" w:lineRule="auto"/>
        <w:jc w:val="both"/>
        <w:rPr>
          <w:rFonts w:ascii="Times New Roman" w:hAnsi="Times New Roman" w:cs="Times New Roman"/>
          <w:bCs/>
          <w:sz w:val="24"/>
          <w:szCs w:val="24"/>
          <w:lang w:val="es-PE"/>
        </w:rPr>
      </w:pPr>
      <w:r w:rsidRPr="00A67190">
        <w:rPr>
          <w:rFonts w:ascii="Times New Roman" w:hAnsi="Times New Roman" w:cs="Times New Roman"/>
          <w:b/>
          <w:sz w:val="24"/>
          <w:szCs w:val="24"/>
          <w:u w:val="single"/>
          <w:lang w:val="es-PE"/>
        </w:rPr>
        <w:t>CUARTO:</w:t>
      </w:r>
      <w:r w:rsidR="00DD1B5D" w:rsidRPr="00D401A1">
        <w:rPr>
          <w:rFonts w:ascii="Times New Roman" w:eastAsia="Times New Roman" w:hAnsi="Times New Roman" w:cs="Times New Roman"/>
          <w:bCs/>
          <w:sz w:val="24"/>
          <w:szCs w:val="24"/>
          <w:lang w:val="es-PE" w:eastAsia="es-PE"/>
        </w:rPr>
        <w:t xml:space="preserve"> </w:t>
      </w:r>
      <w:r w:rsidR="00DD1B5D" w:rsidRPr="00D401A1">
        <w:rPr>
          <w:rFonts w:ascii="Times New Roman" w:hAnsi="Times New Roman" w:cs="Times New Roman"/>
          <w:bCs/>
          <w:sz w:val="24"/>
          <w:szCs w:val="24"/>
          <w:lang w:val="es-PE"/>
        </w:rPr>
        <w:t xml:space="preserve">Que, el Órgano Resolutivo Unipersonal (ORU) declaró infundada la reclamación </w:t>
      </w:r>
      <w:r w:rsidR="006C1DEA">
        <w:rPr>
          <w:rFonts w:ascii="Times New Roman" w:hAnsi="Times New Roman" w:cs="Times New Roman"/>
          <w:bCs/>
          <w:sz w:val="24"/>
          <w:szCs w:val="24"/>
          <w:lang w:val="es-PE"/>
        </w:rPr>
        <w:t>en</w:t>
      </w:r>
      <w:r w:rsidR="00DD1B5D" w:rsidRPr="00D401A1">
        <w:rPr>
          <w:rFonts w:ascii="Times New Roman" w:hAnsi="Times New Roman" w:cs="Times New Roman"/>
          <w:bCs/>
          <w:sz w:val="24"/>
          <w:szCs w:val="24"/>
          <w:lang w:val="es-PE"/>
        </w:rPr>
        <w:t xml:space="preserve"> aplicación de los siguientes fundamentos</w:t>
      </w:r>
      <w:r w:rsidR="00883D6E" w:rsidRPr="00D401A1">
        <w:rPr>
          <w:rFonts w:ascii="Times New Roman" w:hAnsi="Times New Roman" w:cs="Times New Roman"/>
          <w:bCs/>
          <w:sz w:val="24"/>
          <w:szCs w:val="24"/>
          <w:lang w:val="es-PE"/>
        </w:rPr>
        <w:t>:</w:t>
      </w:r>
    </w:p>
    <w:p w14:paraId="385F24BA" w14:textId="20C308EF" w:rsidR="00B92224" w:rsidRPr="004C66AD" w:rsidRDefault="004C66AD" w:rsidP="00B92224">
      <w:pPr>
        <w:pStyle w:val="Prrafodelista"/>
        <w:numPr>
          <w:ilvl w:val="0"/>
          <w:numId w:val="19"/>
        </w:numPr>
        <w:spacing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El</w:t>
      </w:r>
      <w:r w:rsidR="00B92224" w:rsidRPr="004C66AD">
        <w:rPr>
          <w:rFonts w:ascii="Times New Roman" w:hAnsi="Times New Roman" w:cs="Times New Roman"/>
          <w:sz w:val="24"/>
          <w:szCs w:val="24"/>
          <w:lang w:val="es-PE"/>
        </w:rPr>
        <w:t xml:space="preserve"> seguro contratado corresponde a una póliza de riesgos nombrados, por lo que únicamente cubre los eventos expresamente previstos en las condiciones de la póliza.</w:t>
      </w:r>
    </w:p>
    <w:p w14:paraId="13AC7BAD" w14:textId="77777777" w:rsidR="00B92224" w:rsidRPr="004C66AD" w:rsidRDefault="00B92224" w:rsidP="00B92224">
      <w:pPr>
        <w:pStyle w:val="Prrafodelista"/>
        <w:numPr>
          <w:ilvl w:val="0"/>
          <w:numId w:val="19"/>
        </w:numPr>
        <w:spacing w:line="240" w:lineRule="auto"/>
        <w:jc w:val="both"/>
        <w:rPr>
          <w:rFonts w:ascii="Times New Roman" w:hAnsi="Times New Roman" w:cs="Times New Roman"/>
          <w:sz w:val="24"/>
          <w:szCs w:val="24"/>
          <w:lang w:val="es-PE"/>
        </w:rPr>
      </w:pPr>
      <w:r w:rsidRPr="004C66AD">
        <w:rPr>
          <w:rFonts w:ascii="Times New Roman" w:hAnsi="Times New Roman" w:cs="Times New Roman"/>
          <w:sz w:val="24"/>
          <w:szCs w:val="24"/>
          <w:lang w:val="es-PE"/>
        </w:rPr>
        <w:t xml:space="preserve">Conforme al Certificado del Seguro de Protección de Tarjeta </w:t>
      </w:r>
      <w:proofErr w:type="spellStart"/>
      <w:r w:rsidRPr="004C66AD">
        <w:rPr>
          <w:rFonts w:ascii="Times New Roman" w:hAnsi="Times New Roman" w:cs="Times New Roman"/>
          <w:sz w:val="24"/>
          <w:szCs w:val="24"/>
          <w:lang w:val="es-PE"/>
        </w:rPr>
        <w:t>N.°</w:t>
      </w:r>
      <w:proofErr w:type="spellEnd"/>
      <w:r w:rsidRPr="004C66AD">
        <w:rPr>
          <w:rFonts w:ascii="Times New Roman" w:hAnsi="Times New Roman" w:cs="Times New Roman"/>
          <w:sz w:val="24"/>
          <w:szCs w:val="24"/>
          <w:lang w:val="es-PE"/>
        </w:rPr>
        <w:t xml:space="preserve"> 1121-196856, la cobertura por robo o hurto electrónico ampara únicamente las compras, pagos o transferencias bancarias realizadas por terceros como consecuencia del robo o hurto de contraseñas o información bancaria obtenida mediante phishing o robo/hurto del teléfono móvil, siempre que dichas operaciones se efectúen hasta 45 días antes del bloqueo de la tarjeta.</w:t>
      </w:r>
    </w:p>
    <w:p w14:paraId="0EC080F6" w14:textId="77777777" w:rsidR="00B92224" w:rsidRPr="004C66AD" w:rsidRDefault="00B92224" w:rsidP="00B92224">
      <w:pPr>
        <w:pStyle w:val="Prrafodelista"/>
        <w:numPr>
          <w:ilvl w:val="0"/>
          <w:numId w:val="19"/>
        </w:numPr>
        <w:spacing w:line="240" w:lineRule="auto"/>
        <w:jc w:val="both"/>
        <w:rPr>
          <w:rFonts w:ascii="Times New Roman" w:hAnsi="Times New Roman" w:cs="Times New Roman"/>
          <w:sz w:val="24"/>
          <w:szCs w:val="24"/>
          <w:lang w:val="es-PE"/>
        </w:rPr>
      </w:pPr>
      <w:r w:rsidRPr="004C66AD">
        <w:rPr>
          <w:rFonts w:ascii="Times New Roman" w:hAnsi="Times New Roman" w:cs="Times New Roman"/>
          <w:sz w:val="24"/>
          <w:szCs w:val="24"/>
          <w:lang w:val="es-PE"/>
        </w:rPr>
        <w:t>De los hechos narrados por la reclamante y de la denuncia policial, se desprende que las operaciones no reconocidas consistieron en seis transferencias electrónicas desde su cuenta hacia una billetera digital (BIM), sin evidencia de sustracción de la tarjeta física ni del teléfono móvil.</w:t>
      </w:r>
    </w:p>
    <w:p w14:paraId="73371D05" w14:textId="15CBE258" w:rsidR="00B92224" w:rsidRPr="003527AD" w:rsidRDefault="00B92224" w:rsidP="00C263E6">
      <w:pPr>
        <w:pStyle w:val="Prrafodelista"/>
        <w:numPr>
          <w:ilvl w:val="0"/>
          <w:numId w:val="19"/>
        </w:numPr>
        <w:spacing w:line="240" w:lineRule="auto"/>
        <w:jc w:val="both"/>
        <w:rPr>
          <w:rFonts w:ascii="Times New Roman" w:hAnsi="Times New Roman" w:cs="Times New Roman"/>
          <w:sz w:val="24"/>
          <w:szCs w:val="24"/>
          <w:lang w:val="es-PE"/>
        </w:rPr>
      </w:pPr>
      <w:r w:rsidRPr="004C66AD">
        <w:rPr>
          <w:rFonts w:ascii="Times New Roman" w:hAnsi="Times New Roman" w:cs="Times New Roman"/>
          <w:sz w:val="24"/>
          <w:szCs w:val="24"/>
          <w:lang w:val="es-PE"/>
        </w:rPr>
        <w:t>Si bien la reclamante alegó haber sido víctima de fraude informático, no se acreditó la existencia de phishing, puesto que no se ha demostrado que haya recibido correos o mensajes falsos que la llevaran a entregar voluntariamente sus credenciales. En consecuencia, no se configuraron los elementos técnicos que definen un caso de phishing.</w:t>
      </w:r>
    </w:p>
    <w:p w14:paraId="1A9727E5" w14:textId="4CBE302C" w:rsidR="00AE00BB" w:rsidRDefault="00367292" w:rsidP="00C263E6">
      <w:pPr>
        <w:spacing w:line="240" w:lineRule="auto"/>
        <w:jc w:val="both"/>
        <w:rPr>
          <w:rFonts w:ascii="Times New Roman" w:hAnsi="Times New Roman" w:cs="Times New Roman"/>
          <w:sz w:val="24"/>
          <w:szCs w:val="24"/>
          <w:lang w:val="es-PE"/>
        </w:rPr>
      </w:pPr>
      <w:r>
        <w:rPr>
          <w:rFonts w:ascii="Times New Roman" w:hAnsi="Times New Roman"/>
          <w:sz w:val="24"/>
        </w:rPr>
        <w:t xml:space="preserve">QUINTO: Que, atendiendo a los argumentos expuestos por el reclamante, los fundamentos de rechazo formulados por la Compañía y lo concluido en primera instancia, este Colegiado analizará en el presente caso, si las transferencias electrónicas no autorizadas realizadas desde la cuenta BBVA de la señora………………… —por un monto total de S/ 3,000.00 hacia una billetera digital (BIM)— se encuentran comprendidas dentro de la cobertura por robo o hurto electrónico prevista en la Póliza de Protección de Tarjeta N.° ………………… contratada con ………………….</w:t>
      </w:r>
    </w:p>
    <w:p w14:paraId="7764269B" w14:textId="77777777" w:rsidR="0045245B" w:rsidRDefault="0045245B" w:rsidP="00C263E6">
      <w:pPr>
        <w:spacing w:line="240" w:lineRule="auto"/>
        <w:jc w:val="both"/>
        <w:rPr>
          <w:rFonts w:ascii="Times New Roman" w:hAnsi="Times New Roman" w:cs="Times New Roman"/>
          <w:sz w:val="24"/>
          <w:szCs w:val="24"/>
          <w:lang w:val="es-PE"/>
        </w:rPr>
      </w:pPr>
    </w:p>
    <w:p w14:paraId="0B920610" w14:textId="3ABDC866" w:rsidR="00DB527C" w:rsidRDefault="00DB527C" w:rsidP="00C263E6">
      <w:pPr>
        <w:spacing w:line="240" w:lineRule="auto"/>
        <w:jc w:val="both"/>
        <w:rPr>
          <w:rFonts w:ascii="Times New Roman" w:hAnsi="Times New Roman" w:cs="Times New Roman"/>
          <w:sz w:val="24"/>
          <w:szCs w:val="24"/>
          <w:lang w:val="es-PE"/>
        </w:rPr>
      </w:pPr>
      <w:r w:rsidRPr="00DB527C">
        <w:rPr>
          <w:rFonts w:ascii="Times New Roman" w:hAnsi="Times New Roman" w:cs="Times New Roman"/>
          <w:sz w:val="24"/>
          <w:szCs w:val="24"/>
          <w:lang w:val="es-PE"/>
        </w:rPr>
        <w:lastRenderedPageBreak/>
        <w:t>En la denuncia policial la reclamante señalo que, el 12 de noviembre de 2024, aproximadamente a las 23:45 horas, recibió mensajes a su correo electrónico con confirmaciones de pagos, percatándose de que se habían realizado seis (6) transferencias desde su banca móvil BBVA hacia una billetera digital BIM, por un monto total de S/ 3,000.00, operaciones que no reconoció</w:t>
      </w:r>
      <w:r>
        <w:rPr>
          <w:rFonts w:ascii="Times New Roman" w:hAnsi="Times New Roman" w:cs="Times New Roman"/>
          <w:sz w:val="24"/>
          <w:szCs w:val="24"/>
          <w:lang w:val="es-PE"/>
        </w:rPr>
        <w:t>.</w:t>
      </w:r>
    </w:p>
    <w:p w14:paraId="1BC0DC5A" w14:textId="46E21770" w:rsidR="00015B98" w:rsidRDefault="00015B98" w:rsidP="00C263E6">
      <w:pPr>
        <w:spacing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 xml:space="preserve">Así, por el evento reportado y revisando las coberturas contratadas por la reclamante, solo procede analizar </w:t>
      </w:r>
      <w:r w:rsidR="00B754CE">
        <w:rPr>
          <w:rFonts w:ascii="Times New Roman" w:hAnsi="Times New Roman" w:cs="Times New Roman"/>
          <w:sz w:val="24"/>
          <w:szCs w:val="24"/>
          <w:lang w:val="es-PE"/>
        </w:rPr>
        <w:t>la cobertura N° 3 “Robo o Hurto Electrónico”.</w:t>
      </w:r>
    </w:p>
    <w:p w14:paraId="0D7D4197" w14:textId="31D8B081" w:rsidR="002E5029" w:rsidRDefault="002E5029" w:rsidP="00C263E6">
      <w:pPr>
        <w:spacing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Así, según lo plasmado en la póliza, esta cobertura abarca lo siguiente:</w:t>
      </w:r>
    </w:p>
    <w:p w14:paraId="1A7F99D4" w14:textId="2BBF06BE" w:rsidR="002E5029" w:rsidRDefault="002E5029" w:rsidP="003C7E51">
      <w:pPr>
        <w:spacing w:line="240" w:lineRule="auto"/>
        <w:ind w:left="1440"/>
        <w:jc w:val="both"/>
        <w:rPr>
          <w:rFonts w:ascii="Times New Roman" w:hAnsi="Times New Roman" w:cs="Times New Roman"/>
          <w:i/>
          <w:iCs/>
          <w:sz w:val="24"/>
          <w:szCs w:val="24"/>
          <w:lang w:val="es-PE"/>
        </w:rPr>
      </w:pPr>
      <w:r w:rsidRPr="002E5029">
        <w:rPr>
          <w:rFonts w:ascii="Times New Roman" w:hAnsi="Times New Roman" w:cs="Times New Roman"/>
          <w:i/>
          <w:iCs/>
          <w:sz w:val="24"/>
          <w:szCs w:val="24"/>
          <w:lang w:val="es-PE"/>
        </w:rPr>
        <w:t xml:space="preserve">“Las compras y/o pagos a establecimientos comerciales, así como las transferencias bancarias, realizadas por terceros a causa del </w:t>
      </w:r>
      <w:r w:rsidRPr="002E5029">
        <w:rPr>
          <w:rFonts w:ascii="Times New Roman" w:hAnsi="Times New Roman" w:cs="Times New Roman"/>
          <w:b/>
          <w:bCs/>
          <w:i/>
          <w:iCs/>
          <w:sz w:val="24"/>
          <w:szCs w:val="24"/>
          <w:lang w:val="es-PE"/>
        </w:rPr>
        <w:t>robo y/o hurto de contraseñas o información bancaria a través de phishing y/o robo/hurto del teléfono móvil (celular)</w:t>
      </w:r>
      <w:r w:rsidRPr="002E5029">
        <w:rPr>
          <w:rFonts w:ascii="Times New Roman" w:hAnsi="Times New Roman" w:cs="Times New Roman"/>
          <w:i/>
          <w:iCs/>
          <w:sz w:val="24"/>
          <w:szCs w:val="24"/>
          <w:lang w:val="es-PE"/>
        </w:rPr>
        <w:t>, hasta 45 días antes del bloqueo de la tarjeta.”</w:t>
      </w:r>
    </w:p>
    <w:p w14:paraId="320E5586" w14:textId="259EABD4" w:rsidR="002C6C44" w:rsidRPr="002C6C44" w:rsidRDefault="002C6C44" w:rsidP="002C6C44">
      <w:pPr>
        <w:spacing w:line="240" w:lineRule="auto"/>
        <w:jc w:val="both"/>
        <w:rPr>
          <w:rFonts w:ascii="Times New Roman" w:hAnsi="Times New Roman" w:cs="Times New Roman"/>
          <w:sz w:val="24"/>
          <w:szCs w:val="24"/>
          <w:lang w:val="es-PE"/>
        </w:rPr>
      </w:pPr>
      <w:r w:rsidRPr="002C6C44">
        <w:rPr>
          <w:rFonts w:ascii="Times New Roman" w:hAnsi="Times New Roman" w:cs="Times New Roman"/>
          <w:sz w:val="24"/>
          <w:szCs w:val="24"/>
          <w:lang w:val="es-PE"/>
        </w:rPr>
        <w:t>Conforme a lo manifestado por la reclamante, no existió robo ni hurto del teléfono celular, toda vez que este se mantuvo en su poder en todo momento, según lo señalado en su denuncia policial</w:t>
      </w:r>
      <w:r w:rsidR="00B55D90">
        <w:rPr>
          <w:rFonts w:ascii="Times New Roman" w:hAnsi="Times New Roman" w:cs="Times New Roman"/>
          <w:sz w:val="24"/>
          <w:szCs w:val="24"/>
          <w:lang w:val="es-PE"/>
        </w:rPr>
        <w:t>.</w:t>
      </w:r>
    </w:p>
    <w:p w14:paraId="7C44A113" w14:textId="56EE5ABF" w:rsidR="002C6C44" w:rsidRPr="00C5213D" w:rsidRDefault="002C6C44" w:rsidP="002C6C44">
      <w:pPr>
        <w:spacing w:line="240" w:lineRule="auto"/>
        <w:jc w:val="both"/>
        <w:rPr>
          <w:rFonts w:ascii="Times New Roman" w:hAnsi="Times New Roman" w:cs="Times New Roman"/>
          <w:sz w:val="24"/>
          <w:szCs w:val="24"/>
          <w:lang w:val="es-PE"/>
        </w:rPr>
      </w:pPr>
      <w:r w:rsidRPr="002C6C44">
        <w:rPr>
          <w:rFonts w:ascii="Times New Roman" w:hAnsi="Times New Roman" w:cs="Times New Roman"/>
          <w:sz w:val="24"/>
          <w:szCs w:val="24"/>
          <w:lang w:val="es-PE"/>
        </w:rPr>
        <w:t xml:space="preserve">En tal sentido, la determinación de cobertura depende exclusivamente de establecer si las transferencias electrónicas no reconocidas, realizadas el 12 de noviembre de 2024 por un monto </w:t>
      </w:r>
      <w:r w:rsidRPr="00C5213D">
        <w:rPr>
          <w:rFonts w:ascii="Times New Roman" w:hAnsi="Times New Roman" w:cs="Times New Roman"/>
          <w:sz w:val="24"/>
          <w:szCs w:val="24"/>
          <w:lang w:val="es-PE"/>
        </w:rPr>
        <w:t>total de S/ 3,000.00, fueron consecuencia de</w:t>
      </w:r>
      <w:r w:rsidR="008673C3" w:rsidRPr="00C5213D">
        <w:rPr>
          <w:rFonts w:ascii="Times New Roman" w:hAnsi="Times New Roman" w:cs="Times New Roman"/>
          <w:sz w:val="24"/>
          <w:szCs w:val="24"/>
          <w:lang w:val="es-PE"/>
        </w:rPr>
        <w:t xml:space="preserve"> un evento</w:t>
      </w:r>
      <w:r w:rsidRPr="00C5213D">
        <w:rPr>
          <w:rFonts w:ascii="Times New Roman" w:hAnsi="Times New Roman" w:cs="Times New Roman"/>
          <w:sz w:val="24"/>
          <w:szCs w:val="24"/>
          <w:lang w:val="es-PE"/>
        </w:rPr>
        <w:t xml:space="preserve"> phishing</w:t>
      </w:r>
      <w:r w:rsidR="003C7E51" w:rsidRPr="00C5213D">
        <w:rPr>
          <w:rFonts w:ascii="Times New Roman" w:hAnsi="Times New Roman" w:cs="Times New Roman"/>
          <w:sz w:val="24"/>
          <w:szCs w:val="24"/>
          <w:lang w:val="es-PE"/>
        </w:rPr>
        <w:t>.</w:t>
      </w:r>
    </w:p>
    <w:p w14:paraId="09DAE74F" w14:textId="6096A0D1" w:rsidR="00AE00BB" w:rsidRPr="00C5213D" w:rsidRDefault="0045245B" w:rsidP="00C263E6">
      <w:pPr>
        <w:spacing w:line="240" w:lineRule="auto"/>
        <w:jc w:val="both"/>
        <w:rPr>
          <w:rFonts w:ascii="Times New Roman" w:hAnsi="Times New Roman" w:cs="Times New Roman"/>
          <w:sz w:val="24"/>
          <w:szCs w:val="24"/>
          <w:lang w:val="es-PE"/>
        </w:rPr>
      </w:pPr>
      <w:r w:rsidRPr="00C5213D">
        <w:rPr>
          <w:rFonts w:ascii="Times New Roman" w:hAnsi="Times New Roman" w:cs="Times New Roman"/>
          <w:sz w:val="24"/>
          <w:szCs w:val="24"/>
          <w:lang w:val="es-PE"/>
        </w:rPr>
        <w:t xml:space="preserve">Los medios </w:t>
      </w:r>
      <w:r w:rsidR="00E93056" w:rsidRPr="00C5213D">
        <w:rPr>
          <w:rFonts w:ascii="Times New Roman" w:hAnsi="Times New Roman" w:cs="Times New Roman"/>
          <w:sz w:val="24"/>
          <w:szCs w:val="24"/>
          <w:lang w:val="es-PE"/>
        </w:rPr>
        <w:t>probatorios</w:t>
      </w:r>
      <w:r w:rsidRPr="00C5213D">
        <w:rPr>
          <w:rFonts w:ascii="Times New Roman" w:hAnsi="Times New Roman" w:cs="Times New Roman"/>
          <w:sz w:val="24"/>
          <w:szCs w:val="24"/>
          <w:lang w:val="es-PE"/>
        </w:rPr>
        <w:t xml:space="preserve"> que obran en </w:t>
      </w:r>
      <w:proofErr w:type="gramStart"/>
      <w:r w:rsidRPr="00C5213D">
        <w:rPr>
          <w:rFonts w:ascii="Times New Roman" w:hAnsi="Times New Roman" w:cs="Times New Roman"/>
          <w:sz w:val="24"/>
          <w:szCs w:val="24"/>
          <w:lang w:val="es-PE"/>
        </w:rPr>
        <w:t>autos,</w:t>
      </w:r>
      <w:proofErr w:type="gramEnd"/>
      <w:r w:rsidRPr="00C5213D">
        <w:rPr>
          <w:rFonts w:ascii="Times New Roman" w:hAnsi="Times New Roman" w:cs="Times New Roman"/>
          <w:sz w:val="24"/>
          <w:szCs w:val="24"/>
          <w:lang w:val="es-PE"/>
        </w:rPr>
        <w:t xml:space="preserve"> solo dan cuenta de un fraude informático genérico, sin evidencias </w:t>
      </w:r>
      <w:r w:rsidR="004B5731" w:rsidRPr="00C5213D">
        <w:rPr>
          <w:rFonts w:ascii="Times New Roman" w:hAnsi="Times New Roman" w:cs="Times New Roman"/>
          <w:sz w:val="24"/>
          <w:szCs w:val="24"/>
          <w:lang w:val="es-PE"/>
        </w:rPr>
        <w:t xml:space="preserve">de </w:t>
      </w:r>
      <w:r w:rsidRPr="00C5213D">
        <w:rPr>
          <w:rFonts w:ascii="Times New Roman" w:hAnsi="Times New Roman" w:cs="Times New Roman"/>
          <w:sz w:val="24"/>
          <w:szCs w:val="24"/>
          <w:lang w:val="es-PE"/>
        </w:rPr>
        <w:t>que las operaciones fraudulentas sean consecuencia directa del phishing</w:t>
      </w:r>
      <w:r w:rsidR="00161144" w:rsidRPr="00C5213D">
        <w:rPr>
          <w:rFonts w:ascii="Times New Roman" w:hAnsi="Times New Roman" w:cs="Times New Roman"/>
          <w:sz w:val="24"/>
          <w:szCs w:val="24"/>
          <w:lang w:val="es-PE"/>
        </w:rPr>
        <w:t>.</w:t>
      </w:r>
    </w:p>
    <w:p w14:paraId="40A39F07" w14:textId="6864C2B4" w:rsidR="00EA1942" w:rsidRPr="00C5213D" w:rsidRDefault="0024528B" w:rsidP="00C47E15">
      <w:pPr>
        <w:spacing w:line="240" w:lineRule="auto"/>
        <w:jc w:val="both"/>
        <w:rPr>
          <w:rFonts w:ascii="Times New Roman" w:hAnsi="Times New Roman" w:cs="Times New Roman"/>
          <w:sz w:val="24"/>
          <w:szCs w:val="24"/>
          <w:lang w:val="es-PE"/>
        </w:rPr>
      </w:pPr>
      <w:r w:rsidRPr="00C5213D">
        <w:rPr>
          <w:rFonts w:ascii="Times New Roman" w:hAnsi="Times New Roman" w:cs="Times New Roman"/>
          <w:sz w:val="24"/>
          <w:szCs w:val="24"/>
          <w:lang w:val="es-PE"/>
        </w:rPr>
        <w:t xml:space="preserve">Cabe señalar que </w:t>
      </w:r>
      <w:r w:rsidR="00C11761" w:rsidRPr="00C5213D">
        <w:rPr>
          <w:rFonts w:ascii="Times New Roman" w:hAnsi="Times New Roman" w:cs="Times New Roman"/>
          <w:sz w:val="24"/>
          <w:szCs w:val="24"/>
          <w:lang w:val="es-PE"/>
        </w:rPr>
        <w:t>l</w:t>
      </w:r>
      <w:r w:rsidR="008E184B" w:rsidRPr="00C5213D">
        <w:rPr>
          <w:rFonts w:ascii="Times New Roman" w:hAnsi="Times New Roman" w:cs="Times New Roman"/>
          <w:sz w:val="24"/>
          <w:szCs w:val="24"/>
          <w:lang w:val="es-PE"/>
        </w:rPr>
        <w:t xml:space="preserve">a </w:t>
      </w:r>
      <w:r w:rsidR="002C2D55" w:rsidRPr="00C5213D">
        <w:rPr>
          <w:rFonts w:ascii="Times New Roman" w:hAnsi="Times New Roman" w:cs="Times New Roman"/>
          <w:sz w:val="24"/>
          <w:szCs w:val="24"/>
          <w:lang w:val="es-PE"/>
        </w:rPr>
        <w:t>Superintendencia de Banca, Seguros y AFP (SBS) — “</w:t>
      </w:r>
      <w:r w:rsidR="002C2D55" w:rsidRPr="00C5213D">
        <w:rPr>
          <w:rFonts w:ascii="Times New Roman" w:hAnsi="Times New Roman" w:cs="Times New Roman"/>
          <w:i/>
          <w:iCs/>
          <w:sz w:val="24"/>
          <w:szCs w:val="24"/>
          <w:lang w:val="es-PE"/>
        </w:rPr>
        <w:t>un delito cibernético en el que delincuentes simulan comunicaciones de empresas para obtener información personal o financiera</w:t>
      </w:r>
      <w:r w:rsidR="009F4DA5" w:rsidRPr="00C5213D">
        <w:rPr>
          <w:rFonts w:ascii="Times New Roman" w:hAnsi="Times New Roman" w:cs="Times New Roman"/>
          <w:i/>
          <w:iCs/>
          <w:sz w:val="24"/>
          <w:szCs w:val="24"/>
          <w:lang w:val="es-PE"/>
        </w:rPr>
        <w:t>”</w:t>
      </w:r>
      <w:r w:rsidR="00C11761" w:rsidRPr="00C5213D">
        <w:rPr>
          <w:rStyle w:val="Refdenotaalpie"/>
          <w:rFonts w:ascii="Times New Roman" w:hAnsi="Times New Roman" w:cs="Times New Roman"/>
          <w:sz w:val="24"/>
          <w:szCs w:val="24"/>
          <w:lang w:val="es-PE"/>
        </w:rPr>
        <w:t xml:space="preserve"> </w:t>
      </w:r>
      <w:r w:rsidR="00C11761" w:rsidRPr="00C5213D">
        <w:rPr>
          <w:rStyle w:val="Refdenotaalpie"/>
          <w:rFonts w:ascii="Times New Roman" w:hAnsi="Times New Roman" w:cs="Times New Roman"/>
          <w:sz w:val="24"/>
          <w:szCs w:val="24"/>
          <w:lang w:val="es-PE"/>
        </w:rPr>
        <w:footnoteReference w:id="1"/>
      </w:r>
      <w:r w:rsidR="00081BC3" w:rsidRPr="00C5213D">
        <w:rPr>
          <w:rFonts w:ascii="Times New Roman" w:hAnsi="Times New Roman" w:cs="Times New Roman"/>
          <w:sz w:val="24"/>
          <w:szCs w:val="24"/>
          <w:lang w:val="es-PE"/>
        </w:rPr>
        <w:t>.</w:t>
      </w:r>
    </w:p>
    <w:p w14:paraId="293776DA" w14:textId="21FAE380" w:rsidR="00161144" w:rsidRPr="00C5213D" w:rsidRDefault="00161144" w:rsidP="00B53285">
      <w:pPr>
        <w:spacing w:line="240" w:lineRule="auto"/>
        <w:jc w:val="both"/>
        <w:rPr>
          <w:rFonts w:ascii="Times New Roman" w:hAnsi="Times New Roman" w:cs="Times New Roman"/>
          <w:sz w:val="24"/>
          <w:szCs w:val="24"/>
          <w:lang w:val="es-PE"/>
        </w:rPr>
      </w:pPr>
      <w:r w:rsidRPr="00C5213D">
        <w:rPr>
          <w:rFonts w:ascii="Times New Roman" w:hAnsi="Times New Roman" w:cs="Times New Roman"/>
          <w:sz w:val="24"/>
          <w:szCs w:val="24"/>
          <w:lang w:val="es-PE"/>
        </w:rPr>
        <w:t>No obstante, en el presente caso, la reclamante no ha acreditado haber recibido un correo electrónico u otro tipo de comunicación simulando provenir de una empresa, que permita establecer la existencia de un evento de phishing.</w:t>
      </w:r>
    </w:p>
    <w:p w14:paraId="589F69F8" w14:textId="474B2782" w:rsidR="00B53285" w:rsidRPr="00B53285" w:rsidRDefault="00B53285" w:rsidP="00B53285">
      <w:pPr>
        <w:spacing w:line="240" w:lineRule="auto"/>
        <w:jc w:val="both"/>
        <w:rPr>
          <w:rFonts w:ascii="Times New Roman" w:hAnsi="Times New Roman" w:cs="Times New Roman"/>
          <w:sz w:val="24"/>
          <w:szCs w:val="24"/>
          <w:lang w:val="es-PE"/>
        </w:rPr>
      </w:pPr>
      <w:r w:rsidRPr="00C5213D">
        <w:rPr>
          <w:rFonts w:ascii="Times New Roman" w:hAnsi="Times New Roman" w:cs="Times New Roman"/>
          <w:sz w:val="24"/>
          <w:szCs w:val="24"/>
          <w:lang w:val="es-PE"/>
        </w:rPr>
        <w:t>Luego del análisis integral de la póliza, la denuncia</w:t>
      </w:r>
      <w:r w:rsidRPr="00795F38">
        <w:rPr>
          <w:rFonts w:ascii="Times New Roman" w:hAnsi="Times New Roman" w:cs="Times New Roman"/>
          <w:sz w:val="24"/>
          <w:szCs w:val="24"/>
          <w:lang w:val="es-PE"/>
        </w:rPr>
        <w:t xml:space="preserve"> y los descargos, este Colegiado concluye que el evento no configura un robo o hurto electrónico cubierto por la póliza, en tanto</w:t>
      </w:r>
      <w:r w:rsidRPr="00B53285">
        <w:rPr>
          <w:rFonts w:ascii="Times New Roman" w:hAnsi="Times New Roman" w:cs="Times New Roman"/>
          <w:sz w:val="24"/>
          <w:szCs w:val="24"/>
          <w:lang w:val="es-PE"/>
        </w:rPr>
        <w:t>:</w:t>
      </w:r>
    </w:p>
    <w:p w14:paraId="76B13704" w14:textId="77777777" w:rsidR="00B53285" w:rsidRPr="002C0915" w:rsidRDefault="00B53285" w:rsidP="00B53285">
      <w:pPr>
        <w:numPr>
          <w:ilvl w:val="0"/>
          <w:numId w:val="20"/>
        </w:numPr>
        <w:spacing w:line="240" w:lineRule="auto"/>
        <w:jc w:val="both"/>
        <w:rPr>
          <w:rFonts w:ascii="Times New Roman" w:hAnsi="Times New Roman" w:cs="Times New Roman"/>
          <w:sz w:val="24"/>
          <w:szCs w:val="24"/>
          <w:lang w:val="es-PE"/>
        </w:rPr>
      </w:pPr>
      <w:r w:rsidRPr="002C0915">
        <w:rPr>
          <w:rFonts w:ascii="Times New Roman" w:hAnsi="Times New Roman" w:cs="Times New Roman"/>
          <w:sz w:val="24"/>
          <w:szCs w:val="24"/>
          <w:lang w:val="es-PE"/>
        </w:rPr>
        <w:t>No se ha acreditado la obtención ilícita de contraseñas o información bancaria mediante phishing ni el robo del celular.</w:t>
      </w:r>
    </w:p>
    <w:p w14:paraId="26BED1A2" w14:textId="72A07BAC" w:rsidR="00EA1942" w:rsidRPr="00035328" w:rsidRDefault="00B53285" w:rsidP="00C47E15">
      <w:pPr>
        <w:numPr>
          <w:ilvl w:val="0"/>
          <w:numId w:val="20"/>
        </w:numPr>
        <w:spacing w:line="240" w:lineRule="auto"/>
        <w:jc w:val="both"/>
        <w:rPr>
          <w:rFonts w:ascii="Times New Roman" w:hAnsi="Times New Roman" w:cs="Times New Roman"/>
          <w:sz w:val="24"/>
          <w:szCs w:val="24"/>
          <w:lang w:val="es-PE"/>
        </w:rPr>
      </w:pPr>
      <w:r w:rsidRPr="002C0915">
        <w:rPr>
          <w:rFonts w:ascii="Times New Roman" w:hAnsi="Times New Roman" w:cs="Times New Roman"/>
          <w:sz w:val="24"/>
          <w:szCs w:val="24"/>
          <w:lang w:val="es-PE"/>
        </w:rPr>
        <w:t xml:space="preserve">Las operaciones cuestionadas corresponden a transferencias digitales no reconocidas sin evidencia de robo o hurto de información, situándose en el ámbito de una estafa electrónica, riesgo </w:t>
      </w:r>
      <w:r w:rsidR="002C0915">
        <w:rPr>
          <w:rFonts w:ascii="Times New Roman" w:hAnsi="Times New Roman" w:cs="Times New Roman"/>
          <w:sz w:val="24"/>
          <w:szCs w:val="24"/>
          <w:lang w:val="es-PE"/>
        </w:rPr>
        <w:t xml:space="preserve">no </w:t>
      </w:r>
      <w:proofErr w:type="spellStart"/>
      <w:r w:rsidR="002C0915">
        <w:rPr>
          <w:rFonts w:ascii="Times New Roman" w:hAnsi="Times New Roman" w:cs="Times New Roman"/>
          <w:sz w:val="24"/>
          <w:szCs w:val="24"/>
          <w:lang w:val="es-PE"/>
        </w:rPr>
        <w:t>coberturado</w:t>
      </w:r>
      <w:proofErr w:type="spellEnd"/>
      <w:r w:rsidR="002C0915">
        <w:rPr>
          <w:rFonts w:ascii="Times New Roman" w:hAnsi="Times New Roman" w:cs="Times New Roman"/>
          <w:sz w:val="24"/>
          <w:szCs w:val="24"/>
          <w:lang w:val="es-PE"/>
        </w:rPr>
        <w:t xml:space="preserve"> por la póliza contratada.</w:t>
      </w:r>
    </w:p>
    <w:p w14:paraId="63A82ED3" w14:textId="56F6C31B" w:rsidR="00C47E15" w:rsidRPr="00C47E15" w:rsidRDefault="00035328" w:rsidP="00C47E15">
      <w:pPr>
        <w:spacing w:line="240" w:lineRule="auto"/>
        <w:jc w:val="both"/>
        <w:rPr>
          <w:rFonts w:ascii="Times New Roman" w:hAnsi="Times New Roman" w:cs="Times New Roman"/>
          <w:sz w:val="24"/>
          <w:szCs w:val="24"/>
          <w:lang w:val="es-PE"/>
        </w:rPr>
      </w:pPr>
      <w:r>
        <w:rPr>
          <w:rFonts w:ascii="Times New Roman" w:hAnsi="Times New Roman" w:cs="Times New Roman"/>
          <w:sz w:val="24"/>
          <w:szCs w:val="24"/>
          <w:lang w:val="es-PE"/>
        </w:rPr>
        <w:t>Asimismo</w:t>
      </w:r>
      <w:r w:rsidR="00C47E15" w:rsidRPr="00C47E15">
        <w:rPr>
          <w:rFonts w:ascii="Times New Roman" w:hAnsi="Times New Roman" w:cs="Times New Roman"/>
          <w:sz w:val="24"/>
          <w:szCs w:val="24"/>
          <w:lang w:val="es-PE"/>
        </w:rPr>
        <w:t>,</w:t>
      </w:r>
      <w:r w:rsidR="00366B0E" w:rsidRPr="00366B0E">
        <w:rPr>
          <w:rFonts w:ascii="Times New Roman" w:hAnsi="Times New Roman" w:cs="Times New Roman"/>
          <w:sz w:val="24"/>
          <w:szCs w:val="24"/>
          <w:lang w:val="es-PE"/>
        </w:rPr>
        <w:t xml:space="preserve"> en</w:t>
      </w:r>
      <w:r w:rsidR="00C47E15" w:rsidRPr="00C47E15">
        <w:rPr>
          <w:rFonts w:ascii="Times New Roman" w:hAnsi="Times New Roman" w:cs="Times New Roman"/>
          <w:sz w:val="24"/>
          <w:szCs w:val="24"/>
          <w:lang w:val="es-PE"/>
        </w:rPr>
        <w:t xml:space="preserve"> la séptima regla de interpretación contenida en el artículo IV </w:t>
      </w:r>
      <w:r w:rsidR="00EA4B4D" w:rsidRPr="00C47E15">
        <w:rPr>
          <w:rFonts w:ascii="Times New Roman" w:hAnsi="Times New Roman" w:cs="Times New Roman"/>
          <w:sz w:val="24"/>
          <w:szCs w:val="24"/>
          <w:lang w:val="es-PE"/>
        </w:rPr>
        <w:t xml:space="preserve">de la Ley </w:t>
      </w:r>
      <w:proofErr w:type="spellStart"/>
      <w:r w:rsidR="00EA4B4D" w:rsidRPr="00C47E15">
        <w:rPr>
          <w:rFonts w:ascii="Times New Roman" w:hAnsi="Times New Roman" w:cs="Times New Roman"/>
          <w:sz w:val="24"/>
          <w:szCs w:val="24"/>
          <w:lang w:val="es-PE"/>
        </w:rPr>
        <w:t>N.°</w:t>
      </w:r>
      <w:proofErr w:type="spellEnd"/>
      <w:r w:rsidR="00EA4B4D" w:rsidRPr="00C47E15">
        <w:rPr>
          <w:rFonts w:ascii="Times New Roman" w:hAnsi="Times New Roman" w:cs="Times New Roman"/>
          <w:sz w:val="24"/>
          <w:szCs w:val="24"/>
          <w:lang w:val="es-PE"/>
        </w:rPr>
        <w:t xml:space="preserve"> 29946 – Ley del Contrato de Seguro</w:t>
      </w:r>
      <w:r w:rsidR="00C47E15" w:rsidRPr="00C47E15">
        <w:rPr>
          <w:rFonts w:ascii="Times New Roman" w:hAnsi="Times New Roman" w:cs="Times New Roman"/>
          <w:sz w:val="24"/>
          <w:szCs w:val="24"/>
          <w:lang w:val="es-PE"/>
        </w:rPr>
        <w:t xml:space="preserve">, </w:t>
      </w:r>
      <w:r w:rsidR="00366B0E" w:rsidRPr="00366B0E">
        <w:rPr>
          <w:rFonts w:ascii="Times New Roman" w:hAnsi="Times New Roman" w:cs="Times New Roman"/>
          <w:sz w:val="24"/>
          <w:szCs w:val="24"/>
          <w:lang w:val="es-PE"/>
        </w:rPr>
        <w:t xml:space="preserve">se plasma que </w:t>
      </w:r>
      <w:r w:rsidR="00C47E15" w:rsidRPr="00C47E15">
        <w:rPr>
          <w:rFonts w:ascii="Times New Roman" w:hAnsi="Times New Roman" w:cs="Times New Roman"/>
          <w:sz w:val="24"/>
          <w:szCs w:val="24"/>
          <w:lang w:val="es-PE"/>
        </w:rPr>
        <w:t>las coberturas, exclusiones y extensión del riesgo deben interpretarse de manera literal, sin que sea posible extender su alcance a supuestos no expresamente pactados.</w:t>
      </w:r>
    </w:p>
    <w:p w14:paraId="0B7A2896" w14:textId="7696AE4B" w:rsidR="00C47E15" w:rsidRPr="00366B0E" w:rsidRDefault="00C47E15" w:rsidP="00C263E6">
      <w:pPr>
        <w:spacing w:line="240" w:lineRule="auto"/>
        <w:jc w:val="both"/>
        <w:rPr>
          <w:rFonts w:ascii="Times New Roman" w:hAnsi="Times New Roman" w:cs="Times New Roman"/>
          <w:sz w:val="24"/>
          <w:szCs w:val="24"/>
          <w:lang w:val="es-PE"/>
        </w:rPr>
      </w:pPr>
      <w:r w:rsidRPr="00C47E15">
        <w:rPr>
          <w:rFonts w:ascii="Times New Roman" w:hAnsi="Times New Roman" w:cs="Times New Roman"/>
          <w:sz w:val="24"/>
          <w:szCs w:val="24"/>
          <w:lang w:val="es-PE"/>
        </w:rPr>
        <w:lastRenderedPageBreak/>
        <w:t>En tal sentido, siendo el presente un seguro de riesgos nombrados, y al no haberse verificado ninguna de las circunstancias previstas en las coberturas contratadas, no corresponde otorgar cobertura al siniestro materia de análisis.</w:t>
      </w:r>
    </w:p>
    <w:p w14:paraId="0E5F0017" w14:textId="2862249E" w:rsidR="008F6175" w:rsidRPr="008F6175" w:rsidRDefault="00A67190" w:rsidP="008F6175">
      <w:pPr>
        <w:spacing w:line="240" w:lineRule="auto"/>
        <w:jc w:val="both"/>
        <w:rPr>
          <w:rFonts w:ascii="Times New Roman" w:hAnsi="Times New Roman" w:cs="Times New Roman"/>
          <w:sz w:val="24"/>
          <w:szCs w:val="24"/>
          <w:lang w:val="es-PE"/>
        </w:rPr>
      </w:pPr>
      <w:r>
        <w:rPr>
          <w:rFonts w:ascii="Times New Roman" w:hAnsi="Times New Roman" w:cs="Times New Roman"/>
          <w:b/>
          <w:sz w:val="24"/>
          <w:szCs w:val="24"/>
          <w:u w:val="single"/>
          <w:lang w:val="es-PE"/>
        </w:rPr>
        <w:t>SEXTO</w:t>
      </w:r>
      <w:r w:rsidR="008F6175" w:rsidRPr="008F6175">
        <w:rPr>
          <w:rFonts w:ascii="Times New Roman" w:hAnsi="Times New Roman" w:cs="Times New Roman"/>
          <w:b/>
          <w:sz w:val="24"/>
          <w:szCs w:val="24"/>
          <w:lang w:val="es-PE"/>
        </w:rPr>
        <w:t>:</w:t>
      </w:r>
      <w:r w:rsidR="008F6175" w:rsidRPr="008F6175">
        <w:rPr>
          <w:rFonts w:ascii="Times New Roman" w:hAnsi="Times New Roman" w:cs="Times New Roman"/>
          <w:sz w:val="24"/>
          <w:szCs w:val="24"/>
          <w:lang w:val="es-PE"/>
        </w:rPr>
        <w:t xml:space="preserve">  </w:t>
      </w:r>
      <w:r w:rsidR="008C11C5" w:rsidRPr="008F6175">
        <w:rPr>
          <w:rFonts w:ascii="Times New Roman" w:hAnsi="Times New Roman" w:cs="Times New Roman"/>
          <w:sz w:val="24"/>
          <w:szCs w:val="24"/>
          <w:lang w:val="es-PE"/>
        </w:rPr>
        <w:t>Por lo expuesto, este Colegiado aprecia finalmente que no se ha aportado suficiente prueba que conlleve a conclusiones distintas a las establecidas en la resolución materia de impugnación, por lo que no existe mérito ni razón objetiva para revocarla.</w:t>
      </w:r>
    </w:p>
    <w:p w14:paraId="42726A4B" w14:textId="77777777" w:rsidR="008F6175" w:rsidRPr="008F6175" w:rsidRDefault="008F6175" w:rsidP="008F6175">
      <w:pPr>
        <w:spacing w:line="240" w:lineRule="auto"/>
        <w:jc w:val="both"/>
        <w:rPr>
          <w:rFonts w:ascii="Times New Roman" w:hAnsi="Times New Roman" w:cs="Times New Roman"/>
          <w:b/>
          <w:sz w:val="24"/>
          <w:szCs w:val="24"/>
          <w:lang w:val="es-PE"/>
        </w:rPr>
      </w:pPr>
      <w:r w:rsidRPr="008F6175">
        <w:rPr>
          <w:rFonts w:ascii="Times New Roman" w:hAnsi="Times New Roman" w:cs="Times New Roman"/>
          <w:b/>
          <w:sz w:val="24"/>
          <w:szCs w:val="24"/>
          <w:lang w:val="es-PE"/>
        </w:rPr>
        <w:t>ATENDIENDO A LO EXPRESADO, CONFORME A SU REGLAMENTO, ESTE COLEGIADO RESUELVE:</w:t>
      </w:r>
    </w:p>
    <w:p w14:paraId="04AB0140" w14:textId="3046E4FA" w:rsidR="005D0F66" w:rsidRPr="008F6175" w:rsidRDefault="005D0F66" w:rsidP="005D0F66">
      <w:pPr>
        <w:pStyle w:val="Default"/>
        <w:spacing w:line="240" w:lineRule="auto"/>
        <w:jc w:val="both"/>
        <w:rPr>
          <w:rFonts w:ascii="Times New Roman" w:hAnsi="Times New Roman" w:cs="Times New Roman"/>
          <w:b/>
        </w:rPr>
      </w:pPr>
      <w:r>
        <w:rPr>
          <w:rFonts w:ascii="Times New Roman" w:hAnsi="Times New Roman"/>
          <w:sz w:val="24"/>
        </w:rPr>
        <w:t xml:space="preserve">DECLARAR INFUNDADO el Recurso de Impugnación interpuesto por ………………… y, por consiguiente, CONFIRMAR la Resolución N° 114/25.</w:t>
      </w:r>
    </w:p>
    <w:p w14:paraId="066E0C16" w14:textId="77777777" w:rsidR="0000335D" w:rsidRPr="008F6175" w:rsidRDefault="0000335D" w:rsidP="0000335D">
      <w:pPr>
        <w:spacing w:after="0" w:line="240" w:lineRule="auto"/>
        <w:jc w:val="both"/>
        <w:rPr>
          <w:rFonts w:ascii="Times New Roman" w:eastAsia="Times New Roman" w:hAnsi="Times New Roman" w:cs="Times New Roman"/>
          <w:sz w:val="24"/>
          <w:szCs w:val="24"/>
          <w:lang w:val="es-PE" w:eastAsia="ar-SA"/>
        </w:rPr>
      </w:pPr>
    </w:p>
    <w:p w14:paraId="78A39B5B" w14:textId="09ACB40D" w:rsidR="00077B6F" w:rsidRPr="008F6175" w:rsidRDefault="0091528B" w:rsidP="00C671F5">
      <w:pPr>
        <w:suppressAutoHyphens/>
        <w:spacing w:after="0" w:line="240" w:lineRule="auto"/>
        <w:jc w:val="right"/>
        <w:outlineLvl w:val="0"/>
        <w:rPr>
          <w:rFonts w:ascii="Times New Roman" w:eastAsia="Arial Unicode MS" w:hAnsi="Times New Roman" w:cs="Times New Roman"/>
          <w:sz w:val="24"/>
          <w:szCs w:val="24"/>
          <w:lang w:val="es-PE" w:eastAsia="ar-SA"/>
        </w:rPr>
      </w:pPr>
      <w:r w:rsidRPr="008F6175">
        <w:rPr>
          <w:rFonts w:ascii="Times New Roman" w:eastAsia="Arial Unicode MS" w:hAnsi="Times New Roman" w:cs="Times New Roman"/>
          <w:sz w:val="24"/>
          <w:szCs w:val="24"/>
          <w:lang w:val="es-PE" w:eastAsia="ar-SA"/>
        </w:rPr>
        <w:t>Lima,</w:t>
      </w:r>
      <w:r w:rsidR="00925E72">
        <w:rPr>
          <w:rFonts w:ascii="Times New Roman" w:eastAsia="Arial Unicode MS" w:hAnsi="Times New Roman" w:cs="Times New Roman"/>
          <w:sz w:val="24"/>
          <w:szCs w:val="24"/>
          <w:lang w:val="es-PE" w:eastAsia="ar-SA"/>
        </w:rPr>
        <w:t xml:space="preserve"> 19 </w:t>
      </w:r>
      <w:r w:rsidR="00383AE6">
        <w:rPr>
          <w:rFonts w:ascii="Times New Roman" w:eastAsia="Arial Unicode MS" w:hAnsi="Times New Roman" w:cs="Times New Roman"/>
          <w:sz w:val="24"/>
          <w:szCs w:val="24"/>
          <w:lang w:val="es-PE" w:eastAsia="ar-SA"/>
        </w:rPr>
        <w:t>de</w:t>
      </w:r>
      <w:r w:rsidR="00925E72">
        <w:rPr>
          <w:rFonts w:ascii="Times New Roman" w:eastAsia="Arial Unicode MS" w:hAnsi="Times New Roman" w:cs="Times New Roman"/>
          <w:sz w:val="24"/>
          <w:szCs w:val="24"/>
          <w:lang w:val="es-PE" w:eastAsia="ar-SA"/>
        </w:rPr>
        <w:t xml:space="preserve"> </w:t>
      </w:r>
      <w:r w:rsidR="001B39F0">
        <w:rPr>
          <w:rFonts w:ascii="Times New Roman" w:eastAsia="Arial Unicode MS" w:hAnsi="Times New Roman" w:cs="Times New Roman"/>
          <w:sz w:val="24"/>
          <w:szCs w:val="24"/>
          <w:lang w:val="es-PE" w:eastAsia="ar-SA"/>
        </w:rPr>
        <w:t>diciembre</w:t>
      </w:r>
      <w:r w:rsidR="00FC3FF7">
        <w:rPr>
          <w:rFonts w:ascii="Times New Roman" w:eastAsia="Arial Unicode MS" w:hAnsi="Times New Roman" w:cs="Times New Roman"/>
          <w:sz w:val="24"/>
          <w:szCs w:val="24"/>
          <w:lang w:val="es-PE" w:eastAsia="ar-SA"/>
        </w:rPr>
        <w:t xml:space="preserve"> </w:t>
      </w:r>
      <w:r w:rsidR="00F06498" w:rsidRPr="008F6175">
        <w:rPr>
          <w:rFonts w:ascii="Times New Roman" w:eastAsia="Arial Unicode MS" w:hAnsi="Times New Roman" w:cs="Times New Roman"/>
          <w:sz w:val="24"/>
          <w:szCs w:val="24"/>
          <w:lang w:val="es-PE" w:eastAsia="ar-SA"/>
        </w:rPr>
        <w:t>de 202</w:t>
      </w:r>
      <w:r w:rsidR="00A5182E">
        <w:rPr>
          <w:rFonts w:ascii="Times New Roman" w:eastAsia="Arial Unicode MS" w:hAnsi="Times New Roman" w:cs="Times New Roman"/>
          <w:sz w:val="24"/>
          <w:szCs w:val="24"/>
          <w:lang w:val="es-PE" w:eastAsia="ar-SA"/>
        </w:rPr>
        <w:t>5</w:t>
      </w:r>
    </w:p>
    <w:p w14:paraId="2B9BAAC8" w14:textId="77777777" w:rsidR="00231C58" w:rsidRPr="008F6175"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562B45CE" w14:textId="77777777" w:rsidR="003C276A" w:rsidRDefault="003C276A" w:rsidP="003C276A">
      <w:pPr>
        <w:spacing w:after="0" w:line="240" w:lineRule="auto"/>
        <w:jc w:val="both"/>
        <w:rPr>
          <w:rFonts w:ascii="Times New Roman" w:hAnsi="Times New Roman" w:cs="Times New Roman"/>
          <w:b/>
          <w:bCs/>
          <w:i/>
          <w:iCs/>
          <w:sz w:val="24"/>
          <w:szCs w:val="24"/>
          <w:lang w:val="es-PE"/>
        </w:rPr>
      </w:pPr>
      <w:r w:rsidRPr="00254B7C">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099C4B41" w14:textId="77777777" w:rsidR="002A0130" w:rsidRPr="00254B7C" w:rsidRDefault="002A0130" w:rsidP="003C276A">
      <w:pPr>
        <w:spacing w:after="0" w:line="360" w:lineRule="auto"/>
        <w:jc w:val="both"/>
        <w:rPr>
          <w:rFonts w:ascii="Times New Roman" w:hAnsi="Times New Roman" w:cs="Times New Roman"/>
          <w:b/>
          <w:bCs/>
          <w:i/>
          <w:iCs/>
          <w:sz w:val="24"/>
          <w:szCs w:val="24"/>
          <w:lang w:val="es-PE"/>
        </w:rPr>
      </w:pPr>
    </w:p>
    <w:p w14:paraId="7455414B" w14:textId="12877BEC" w:rsidR="002A0130" w:rsidRPr="002A0130" w:rsidRDefault="007033F8" w:rsidP="002A0130">
      <w:pPr>
        <w:spacing w:line="360" w:lineRule="auto" w:after="0"/>
        <w:jc w:val="center"/>
        <w:rPr>
          <w:rFonts w:ascii="Times New Roman" w:hAnsi="Times New Roman" w:cs="Times New Roman"/>
          <w:b/>
          <w:bCs/>
          <w:sz w:val="24"/>
          <w:szCs w:val="24"/>
          <w:lang w:val="es-PE"/>
        </w:rPr>
      </w:pPr>
      <w:r>
        <w:rPr>
          <w:rFonts w:ascii="Times New Roman" w:hAnsi="Times New Roman" w:cs="Times New Roman"/>
          <w:b/>
          <w:bCs/>
          <w:sz w:val="24"/>
          <w:szCs w:val="24"/>
          <w:lang w:val="es-PE"/>
        </w:rPr>
        <w:t xml:space="preserve">Antonio Rodríguez </w:t>
      </w:r>
      <w:proofErr w:type="spellStart"/>
      <w:r>
        <w:rPr>
          <w:rFonts w:ascii="Times New Roman" w:hAnsi="Times New Roman" w:cs="Times New Roman"/>
          <w:b/>
          <w:bCs/>
          <w:sz w:val="24"/>
          <w:szCs w:val="24"/>
          <w:lang w:val="es-PE"/>
        </w:rPr>
        <w:t>Lobaton</w:t>
      </w:r>
      <w:proofErr w:type="spellEnd"/>
      <w:r w:rsidR="00FC3FF7" w:rsidRPr="00254B7C">
        <w:rPr>
          <w:rFonts w:ascii="Times New Roman" w:hAnsi="Times New Roman" w:cs="Times New Roman"/>
          <w:b/>
          <w:bCs/>
          <w:sz w:val="24"/>
          <w:szCs w:val="24"/>
          <w:lang w:val="es-PE"/>
        </w:rPr>
        <w:t xml:space="preserve"> – </w:t>
      </w:r>
      <w:proofErr w:type="gramStart"/>
      <w:r w:rsidR="00830BA3">
        <w:rPr>
          <w:rFonts w:ascii="Times New Roman" w:hAnsi="Times New Roman" w:cs="Times New Roman"/>
          <w:b/>
          <w:bCs/>
          <w:sz w:val="24"/>
          <w:szCs w:val="24"/>
          <w:lang w:val="es-PE"/>
        </w:rPr>
        <w:t>Presidente</w:t>
      </w:r>
      <w:proofErr w:type="gramEnd"/>
    </w:p>
    <w:p w14:paraId="6F88F614" w14:textId="6711A622" w:rsidR="002A0130" w:rsidRPr="00254B7C" w:rsidRDefault="002A0130" w:rsidP="002A0130">
      <w:pPr>
        <w:spacing w:line="360" w:lineRule="auto" w:after="0"/>
        <w:jc w:val="center"/>
        <w:rPr>
          <w:rFonts w:ascii="Times New Roman" w:hAnsi="Times New Roman" w:cs="Times New Roman"/>
          <w:b/>
          <w:bCs/>
          <w:sz w:val="24"/>
          <w:szCs w:val="24"/>
          <w:lang w:val="es-PE"/>
        </w:rPr>
      </w:pPr>
      <w:r w:rsidRPr="00254B7C">
        <w:rPr>
          <w:rFonts w:ascii="Times New Roman" w:hAnsi="Times New Roman" w:cs="Times New Roman"/>
          <w:b/>
          <w:bCs/>
          <w:sz w:val="24"/>
          <w:szCs w:val="24"/>
          <w:lang w:val="es-PE"/>
        </w:rPr>
        <w:t xml:space="preserve">María Eugenia Valdez Fernández Baca – </w:t>
      </w:r>
      <w:r w:rsidR="00830BA3">
        <w:rPr>
          <w:rFonts w:ascii="Times New Roman" w:hAnsi="Times New Roman" w:cs="Times New Roman"/>
          <w:b/>
          <w:bCs/>
          <w:sz w:val="24"/>
          <w:szCs w:val="24"/>
          <w:lang w:val="es-PE"/>
        </w:rPr>
        <w:t>Vocal</w:t>
      </w:r>
    </w:p>
    <w:p w14:paraId="633FF2E1" w14:textId="54839A4A" w:rsidR="003C276A" w:rsidRPr="00254B7C" w:rsidRDefault="007033F8" w:rsidP="003C276A">
      <w:pPr>
        <w:spacing w:line="360" w:lineRule="auto" w:after="0"/>
        <w:jc w:val="center"/>
        <w:rPr>
          <w:rFonts w:ascii="Times New Roman" w:hAnsi="Times New Roman" w:cs="Times New Roman"/>
          <w:sz w:val="24"/>
          <w:szCs w:val="24"/>
          <w:lang w:val="es-MX"/>
        </w:rPr>
      </w:pPr>
      <w:r w:rsidRPr="00254B7C">
        <w:rPr>
          <w:rFonts w:ascii="Times New Roman" w:hAnsi="Times New Roman" w:cs="Times New Roman"/>
          <w:b/>
          <w:bCs/>
          <w:sz w:val="24"/>
          <w:szCs w:val="24"/>
          <w:lang w:val="es-PE"/>
        </w:rPr>
        <w:t xml:space="preserve">Rolando Eyzaguirre </w:t>
      </w:r>
      <w:proofErr w:type="spellStart"/>
      <w:r w:rsidRPr="00254B7C">
        <w:rPr>
          <w:rFonts w:ascii="Times New Roman" w:hAnsi="Times New Roman" w:cs="Times New Roman"/>
          <w:b/>
          <w:bCs/>
          <w:sz w:val="24"/>
          <w:szCs w:val="24"/>
          <w:lang w:val="es-PE"/>
        </w:rPr>
        <w:t>Maccan</w:t>
      </w:r>
      <w:proofErr w:type="spellEnd"/>
      <w:r w:rsidRPr="00254B7C">
        <w:rPr>
          <w:rFonts w:ascii="Times New Roman" w:hAnsi="Times New Roman" w:cs="Times New Roman"/>
          <w:b/>
          <w:bCs/>
          <w:sz w:val="24"/>
          <w:szCs w:val="24"/>
          <w:lang w:val="es-PE"/>
        </w:rPr>
        <w:t xml:space="preserve"> </w:t>
      </w:r>
      <w:r w:rsidR="003C276A" w:rsidRPr="00254B7C">
        <w:rPr>
          <w:rFonts w:ascii="Times New Roman" w:hAnsi="Times New Roman" w:cs="Times New Roman"/>
          <w:b/>
          <w:bCs/>
          <w:sz w:val="24"/>
          <w:szCs w:val="24"/>
          <w:lang w:val="es-PE"/>
        </w:rPr>
        <w:t>- Vocal</w:t>
      </w:r>
    </w:p>
    <w:p w14:paraId="33E0FAB8" w14:textId="77777777" w:rsidR="00C671F5" w:rsidRPr="003C276A" w:rsidRDefault="00C671F5" w:rsidP="00C671F5">
      <w:pPr>
        <w:suppressAutoHyphens/>
        <w:spacing w:after="0" w:line="240" w:lineRule="auto"/>
        <w:outlineLvl w:val="0"/>
        <w:rPr>
          <w:rFonts w:ascii="Times New Roman" w:eastAsia="Arial Unicode MS" w:hAnsi="Times New Roman" w:cs="Times New Roman"/>
          <w:sz w:val="24"/>
          <w:szCs w:val="24"/>
          <w:lang w:val="es-MX" w:eastAsia="ar-SA"/>
        </w:rPr>
      </w:pPr>
    </w:p>
    <w:p w14:paraId="2C3A0205" w14:textId="77777777" w:rsidR="00C671F5" w:rsidRPr="008F6175" w:rsidRDefault="00C671F5" w:rsidP="00C671F5">
      <w:pPr>
        <w:spacing w:line="240" w:lineRule="auto"/>
        <w:rPr>
          <w:rFonts w:ascii="Times New Roman" w:eastAsia="Arial Unicode MS" w:hAnsi="Times New Roman" w:cs="Times New Roman"/>
          <w:sz w:val="24"/>
          <w:szCs w:val="24"/>
          <w:lang w:val="es-ES" w:eastAsia="ar-SA"/>
        </w:rPr>
      </w:pPr>
    </w:p>
    <w:sectPr w:rsidR="00C671F5" w:rsidRPr="008F6175"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0EA70" w14:textId="77777777" w:rsidR="00371004" w:rsidRDefault="00371004" w:rsidP="00784355">
      <w:pPr>
        <w:spacing w:after="0" w:line="240" w:lineRule="auto"/>
      </w:pPr>
      <w:r>
        <w:separator/>
      </w:r>
    </w:p>
  </w:endnote>
  <w:endnote w:type="continuationSeparator" w:id="0">
    <w:p w14:paraId="38C9F493" w14:textId="77777777" w:rsidR="00371004" w:rsidRDefault="00371004"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9225DD" w:rsidRDefault="00C671F5">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14:paraId="3BA05C52" w14:textId="77777777" w:rsidR="00784355" w:rsidRPr="009225DD" w:rsidRDefault="00784355">
    <w:pPr>
      <w:pStyle w:val="Piedepgina"/>
      <w:spacing w:line="240" w:lineRule="auto"/>
      <w:rPr>
        <w:rFonts w:ascii="Times New Roman" w:hAnsi="Times New Roman" w:cs="Times New Roman"/>
        <w:sz w:val="18"/>
        <w:szCs w:val="18"/>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C1509" w14:textId="77777777" w:rsidR="00371004" w:rsidRDefault="00371004" w:rsidP="00784355">
      <w:pPr>
        <w:spacing w:after="0" w:line="240" w:lineRule="auto"/>
      </w:pPr>
      <w:r>
        <w:separator/>
      </w:r>
    </w:p>
  </w:footnote>
  <w:footnote w:type="continuationSeparator" w:id="0">
    <w:p w14:paraId="7BE51882" w14:textId="77777777" w:rsidR="00371004" w:rsidRDefault="00371004" w:rsidP="00784355">
      <w:pPr>
        <w:spacing w:after="0" w:line="240" w:lineRule="auto"/>
      </w:pPr>
      <w:r>
        <w:continuationSeparator/>
      </w:r>
    </w:p>
  </w:footnote>
  <w:footnote w:id="1">
    <w:p w14:paraId="387EFD69" w14:textId="77777777" w:rsidR="00C11761" w:rsidRDefault="00C11761" w:rsidP="00C11761">
      <w:pPr>
        <w:pStyle w:val="Textonotapie"/>
      </w:pPr>
      <w:r>
        <w:rPr>
          <w:rStyle w:val="Refdenotaalpie"/>
        </w:rPr>
        <w:footnoteRef/>
      </w:r>
      <w:r>
        <w:t xml:space="preserve"> </w:t>
      </w:r>
      <w:hyperlink r:id="rId1" w:history="1">
        <w:r w:rsidRPr="00E67015">
          <w:rPr>
            <w:rStyle w:val="Hipervnculo"/>
          </w:rPr>
          <w:t>https://www.sbs.gob.pe/usuarios/aprende-con-la-sbs/fraudes-digitales-y-telefonicos/utm_source</w:t>
        </w:r>
      </w:hyperlink>
    </w:p>
    <w:p w14:paraId="7ACC717E" w14:textId="77777777" w:rsidR="00C11761" w:rsidRPr="009F4DA5" w:rsidRDefault="00C11761" w:rsidP="00C11761">
      <w:pPr>
        <w:pStyle w:val="Textonotapie"/>
        <w:rPr>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D812CA"/>
    <w:multiLevelType w:val="hybridMultilevel"/>
    <w:tmpl w:val="467A30D4"/>
    <w:lvl w:ilvl="0" w:tplc="15001F6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2204C41"/>
    <w:multiLevelType w:val="multilevel"/>
    <w:tmpl w:val="37589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465146"/>
    <w:multiLevelType w:val="multilevel"/>
    <w:tmpl w:val="4DF8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994C3D"/>
    <w:multiLevelType w:val="multilevel"/>
    <w:tmpl w:val="F3C46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3F22B0"/>
    <w:multiLevelType w:val="hybridMultilevel"/>
    <w:tmpl w:val="62361152"/>
    <w:lvl w:ilvl="0" w:tplc="49E09AA0">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35E547CB"/>
    <w:multiLevelType w:val="hybridMultilevel"/>
    <w:tmpl w:val="6D223018"/>
    <w:lvl w:ilvl="0" w:tplc="6810848C">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9B053D"/>
    <w:multiLevelType w:val="hybridMultilevel"/>
    <w:tmpl w:val="6ECE2FB8"/>
    <w:lvl w:ilvl="0" w:tplc="6A6E9CF8">
      <w:start w:val="1"/>
      <w:numFmt w:val="lowerRoman"/>
      <w:lvlText w:val="(%1)"/>
      <w:lvlJc w:val="left"/>
      <w:pPr>
        <w:ind w:left="1440" w:hanging="108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42F44E88"/>
    <w:multiLevelType w:val="hybridMultilevel"/>
    <w:tmpl w:val="80CA68C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44BD41E5"/>
    <w:multiLevelType w:val="multilevel"/>
    <w:tmpl w:val="3C48F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85066C5"/>
    <w:multiLevelType w:val="hybridMultilevel"/>
    <w:tmpl w:val="7DA6D3C6"/>
    <w:lvl w:ilvl="0" w:tplc="E5C68F0E">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73485288"/>
    <w:multiLevelType w:val="hybridMultilevel"/>
    <w:tmpl w:val="16DEA4AC"/>
    <w:lvl w:ilvl="0" w:tplc="43BA9F06">
      <w:start w:val="1"/>
      <w:numFmt w:val="lowerRoman"/>
      <w:lvlText w:val="(%1)"/>
      <w:lvlJc w:val="left"/>
      <w:pPr>
        <w:ind w:left="1080" w:hanging="720"/>
      </w:pPr>
      <w:rPr>
        <w:rFonts w:ascii="Times New Roman" w:hAnsi="Times New Roman" w:cs="Times New Roman" w:hint="default"/>
        <w:sz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7E9E4EED"/>
    <w:multiLevelType w:val="hybridMultilevel"/>
    <w:tmpl w:val="5218E882"/>
    <w:lvl w:ilvl="0" w:tplc="2D4E7D3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088623508">
    <w:abstractNumId w:val="1"/>
  </w:num>
  <w:num w:numId="2" w16cid:durableId="314064985">
    <w:abstractNumId w:val="15"/>
  </w:num>
  <w:num w:numId="3" w16cid:durableId="852691207">
    <w:abstractNumId w:val="12"/>
  </w:num>
  <w:num w:numId="4" w16cid:durableId="28268131">
    <w:abstractNumId w:val="11"/>
  </w:num>
  <w:num w:numId="5" w16cid:durableId="110785780">
    <w:abstractNumId w:val="14"/>
  </w:num>
  <w:num w:numId="6" w16cid:durableId="443963034">
    <w:abstractNumId w:val="0"/>
  </w:num>
  <w:num w:numId="7" w16cid:durableId="581913718">
    <w:abstractNumId w:val="16"/>
  </w:num>
  <w:num w:numId="8" w16cid:durableId="1704209520">
    <w:abstractNumId w:val="17"/>
  </w:num>
  <w:num w:numId="9" w16cid:durableId="247988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435177">
    <w:abstractNumId w:val="8"/>
  </w:num>
  <w:num w:numId="11" w16cid:durableId="878511064">
    <w:abstractNumId w:val="3"/>
  </w:num>
  <w:num w:numId="12" w16cid:durableId="334504384">
    <w:abstractNumId w:val="13"/>
  </w:num>
  <w:num w:numId="13" w16cid:durableId="1638532284">
    <w:abstractNumId w:val="9"/>
  </w:num>
  <w:num w:numId="14" w16cid:durableId="675235113">
    <w:abstractNumId w:val="10"/>
  </w:num>
  <w:num w:numId="15" w16cid:durableId="387655436">
    <w:abstractNumId w:val="6"/>
  </w:num>
  <w:num w:numId="16" w16cid:durableId="1778716469">
    <w:abstractNumId w:val="18"/>
  </w:num>
  <w:num w:numId="17" w16cid:durableId="1136676979">
    <w:abstractNumId w:val="19"/>
  </w:num>
  <w:num w:numId="18" w16cid:durableId="2088961663">
    <w:abstractNumId w:val="5"/>
  </w:num>
  <w:num w:numId="19" w16cid:durableId="1037198819">
    <w:abstractNumId w:val="2"/>
  </w:num>
  <w:num w:numId="20" w16cid:durableId="21037214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5FF"/>
    <w:rsid w:val="00010987"/>
    <w:rsid w:val="00012612"/>
    <w:rsid w:val="00013057"/>
    <w:rsid w:val="00014175"/>
    <w:rsid w:val="000159CC"/>
    <w:rsid w:val="00015B98"/>
    <w:rsid w:val="00015C22"/>
    <w:rsid w:val="000167E0"/>
    <w:rsid w:val="0002274F"/>
    <w:rsid w:val="000235E9"/>
    <w:rsid w:val="00025DEB"/>
    <w:rsid w:val="0002637D"/>
    <w:rsid w:val="0002733C"/>
    <w:rsid w:val="00027978"/>
    <w:rsid w:val="00035328"/>
    <w:rsid w:val="00035B80"/>
    <w:rsid w:val="0004480C"/>
    <w:rsid w:val="00047261"/>
    <w:rsid w:val="00050034"/>
    <w:rsid w:val="00050659"/>
    <w:rsid w:val="00053D16"/>
    <w:rsid w:val="0005504D"/>
    <w:rsid w:val="00055193"/>
    <w:rsid w:val="00056B81"/>
    <w:rsid w:val="00056D9F"/>
    <w:rsid w:val="00062BD6"/>
    <w:rsid w:val="00063183"/>
    <w:rsid w:val="00064A99"/>
    <w:rsid w:val="0006548C"/>
    <w:rsid w:val="0006754B"/>
    <w:rsid w:val="000678D8"/>
    <w:rsid w:val="00067D85"/>
    <w:rsid w:val="00070DB6"/>
    <w:rsid w:val="00071A25"/>
    <w:rsid w:val="00076E73"/>
    <w:rsid w:val="00077B6F"/>
    <w:rsid w:val="00080A9A"/>
    <w:rsid w:val="00081BC3"/>
    <w:rsid w:val="000822C7"/>
    <w:rsid w:val="000835CB"/>
    <w:rsid w:val="00083D69"/>
    <w:rsid w:val="00083F50"/>
    <w:rsid w:val="00084148"/>
    <w:rsid w:val="00092684"/>
    <w:rsid w:val="0009595A"/>
    <w:rsid w:val="00097A6F"/>
    <w:rsid w:val="000A5666"/>
    <w:rsid w:val="000A5921"/>
    <w:rsid w:val="000A5CAA"/>
    <w:rsid w:val="000B06DD"/>
    <w:rsid w:val="000B19A0"/>
    <w:rsid w:val="000B24D9"/>
    <w:rsid w:val="000B3DA1"/>
    <w:rsid w:val="000B4A6A"/>
    <w:rsid w:val="000B58D8"/>
    <w:rsid w:val="000B5CDC"/>
    <w:rsid w:val="000B6F96"/>
    <w:rsid w:val="000C0734"/>
    <w:rsid w:val="000E0D38"/>
    <w:rsid w:val="000E33D6"/>
    <w:rsid w:val="000E49FC"/>
    <w:rsid w:val="000F6340"/>
    <w:rsid w:val="00103D74"/>
    <w:rsid w:val="0010485B"/>
    <w:rsid w:val="00107167"/>
    <w:rsid w:val="00112DA8"/>
    <w:rsid w:val="00112E4C"/>
    <w:rsid w:val="0011308C"/>
    <w:rsid w:val="001143D4"/>
    <w:rsid w:val="001169F9"/>
    <w:rsid w:val="001233F2"/>
    <w:rsid w:val="00125B9B"/>
    <w:rsid w:val="0013120D"/>
    <w:rsid w:val="00131519"/>
    <w:rsid w:val="001320DF"/>
    <w:rsid w:val="00132DD1"/>
    <w:rsid w:val="00133085"/>
    <w:rsid w:val="001347AE"/>
    <w:rsid w:val="00136E12"/>
    <w:rsid w:val="0013714D"/>
    <w:rsid w:val="001373AF"/>
    <w:rsid w:val="001377EF"/>
    <w:rsid w:val="00141827"/>
    <w:rsid w:val="00143BEA"/>
    <w:rsid w:val="00150874"/>
    <w:rsid w:val="001508BC"/>
    <w:rsid w:val="001529FE"/>
    <w:rsid w:val="00161144"/>
    <w:rsid w:val="001625DE"/>
    <w:rsid w:val="001626F3"/>
    <w:rsid w:val="00164739"/>
    <w:rsid w:val="00165B3A"/>
    <w:rsid w:val="001703D8"/>
    <w:rsid w:val="00170E39"/>
    <w:rsid w:val="001742CE"/>
    <w:rsid w:val="00174918"/>
    <w:rsid w:val="00174DA5"/>
    <w:rsid w:val="001757E3"/>
    <w:rsid w:val="001767EE"/>
    <w:rsid w:val="00180244"/>
    <w:rsid w:val="00181908"/>
    <w:rsid w:val="00181DCE"/>
    <w:rsid w:val="00182B4A"/>
    <w:rsid w:val="00185B32"/>
    <w:rsid w:val="00187BFD"/>
    <w:rsid w:val="0019649B"/>
    <w:rsid w:val="001966B6"/>
    <w:rsid w:val="001A008A"/>
    <w:rsid w:val="001A3395"/>
    <w:rsid w:val="001A44E1"/>
    <w:rsid w:val="001B1E59"/>
    <w:rsid w:val="001B39F0"/>
    <w:rsid w:val="001B58A3"/>
    <w:rsid w:val="001C2F48"/>
    <w:rsid w:val="001C35EC"/>
    <w:rsid w:val="001C4628"/>
    <w:rsid w:val="001D0EED"/>
    <w:rsid w:val="001D24DA"/>
    <w:rsid w:val="001D59D9"/>
    <w:rsid w:val="001D6136"/>
    <w:rsid w:val="001E119C"/>
    <w:rsid w:val="001E22E8"/>
    <w:rsid w:val="001E3B18"/>
    <w:rsid w:val="001E4337"/>
    <w:rsid w:val="001E4554"/>
    <w:rsid w:val="001E5E1A"/>
    <w:rsid w:val="001E64B0"/>
    <w:rsid w:val="001E65C9"/>
    <w:rsid w:val="001E673E"/>
    <w:rsid w:val="001E72CE"/>
    <w:rsid w:val="001F1B02"/>
    <w:rsid w:val="001F29A6"/>
    <w:rsid w:val="00201C0D"/>
    <w:rsid w:val="00202BE5"/>
    <w:rsid w:val="00204407"/>
    <w:rsid w:val="0020749F"/>
    <w:rsid w:val="002108AD"/>
    <w:rsid w:val="00211172"/>
    <w:rsid w:val="00211977"/>
    <w:rsid w:val="002130B0"/>
    <w:rsid w:val="0021627D"/>
    <w:rsid w:val="00220941"/>
    <w:rsid w:val="00221FEF"/>
    <w:rsid w:val="0022459C"/>
    <w:rsid w:val="00225288"/>
    <w:rsid w:val="00227D02"/>
    <w:rsid w:val="002300E1"/>
    <w:rsid w:val="00231C58"/>
    <w:rsid w:val="002331C3"/>
    <w:rsid w:val="00233857"/>
    <w:rsid w:val="00241719"/>
    <w:rsid w:val="00243F57"/>
    <w:rsid w:val="00243F6B"/>
    <w:rsid w:val="0024471E"/>
    <w:rsid w:val="0024528B"/>
    <w:rsid w:val="00253752"/>
    <w:rsid w:val="002547E1"/>
    <w:rsid w:val="00254D07"/>
    <w:rsid w:val="002616A2"/>
    <w:rsid w:val="00266105"/>
    <w:rsid w:val="00267FF6"/>
    <w:rsid w:val="00270F86"/>
    <w:rsid w:val="0027261F"/>
    <w:rsid w:val="00272F4F"/>
    <w:rsid w:val="0027301E"/>
    <w:rsid w:val="0027408A"/>
    <w:rsid w:val="00274985"/>
    <w:rsid w:val="002768C6"/>
    <w:rsid w:val="00276A92"/>
    <w:rsid w:val="00277667"/>
    <w:rsid w:val="00280CE6"/>
    <w:rsid w:val="00290CA4"/>
    <w:rsid w:val="002924B1"/>
    <w:rsid w:val="00292DF9"/>
    <w:rsid w:val="002A0130"/>
    <w:rsid w:val="002A31D3"/>
    <w:rsid w:val="002A7519"/>
    <w:rsid w:val="002A7E2E"/>
    <w:rsid w:val="002B474B"/>
    <w:rsid w:val="002B6184"/>
    <w:rsid w:val="002B726E"/>
    <w:rsid w:val="002C0041"/>
    <w:rsid w:val="002C0286"/>
    <w:rsid w:val="002C0915"/>
    <w:rsid w:val="002C2800"/>
    <w:rsid w:val="002C2A0F"/>
    <w:rsid w:val="002C2D55"/>
    <w:rsid w:val="002C4801"/>
    <w:rsid w:val="002C6C44"/>
    <w:rsid w:val="002D0DB0"/>
    <w:rsid w:val="002D1FCD"/>
    <w:rsid w:val="002D3B01"/>
    <w:rsid w:val="002E1221"/>
    <w:rsid w:val="002E17F9"/>
    <w:rsid w:val="002E2E7B"/>
    <w:rsid w:val="002E332F"/>
    <w:rsid w:val="002E47EA"/>
    <w:rsid w:val="002E5029"/>
    <w:rsid w:val="002F09CA"/>
    <w:rsid w:val="002F0B71"/>
    <w:rsid w:val="002F35F0"/>
    <w:rsid w:val="00300116"/>
    <w:rsid w:val="003028AF"/>
    <w:rsid w:val="003045E3"/>
    <w:rsid w:val="00316103"/>
    <w:rsid w:val="0032132E"/>
    <w:rsid w:val="003253DA"/>
    <w:rsid w:val="0032580B"/>
    <w:rsid w:val="00331DA3"/>
    <w:rsid w:val="00333EA2"/>
    <w:rsid w:val="0033413E"/>
    <w:rsid w:val="00340E4B"/>
    <w:rsid w:val="00340EDA"/>
    <w:rsid w:val="003417C2"/>
    <w:rsid w:val="00341989"/>
    <w:rsid w:val="00342A1C"/>
    <w:rsid w:val="00345DF0"/>
    <w:rsid w:val="00345F7F"/>
    <w:rsid w:val="00347D7E"/>
    <w:rsid w:val="003501B2"/>
    <w:rsid w:val="00350A6F"/>
    <w:rsid w:val="003527AD"/>
    <w:rsid w:val="00353092"/>
    <w:rsid w:val="003544B1"/>
    <w:rsid w:val="00357D70"/>
    <w:rsid w:val="00362449"/>
    <w:rsid w:val="00364E0F"/>
    <w:rsid w:val="00365F9D"/>
    <w:rsid w:val="00366842"/>
    <w:rsid w:val="00366B0E"/>
    <w:rsid w:val="00367292"/>
    <w:rsid w:val="00367746"/>
    <w:rsid w:val="00371004"/>
    <w:rsid w:val="00371A30"/>
    <w:rsid w:val="003732C7"/>
    <w:rsid w:val="00373C06"/>
    <w:rsid w:val="0038290F"/>
    <w:rsid w:val="00383262"/>
    <w:rsid w:val="00383AE6"/>
    <w:rsid w:val="0038751C"/>
    <w:rsid w:val="00391F72"/>
    <w:rsid w:val="00392259"/>
    <w:rsid w:val="00395395"/>
    <w:rsid w:val="003A2B40"/>
    <w:rsid w:val="003A3F8C"/>
    <w:rsid w:val="003A50C3"/>
    <w:rsid w:val="003A6451"/>
    <w:rsid w:val="003A6A43"/>
    <w:rsid w:val="003B348C"/>
    <w:rsid w:val="003B3512"/>
    <w:rsid w:val="003B3A93"/>
    <w:rsid w:val="003B41F7"/>
    <w:rsid w:val="003B798E"/>
    <w:rsid w:val="003C168C"/>
    <w:rsid w:val="003C23C4"/>
    <w:rsid w:val="003C276A"/>
    <w:rsid w:val="003C27C8"/>
    <w:rsid w:val="003C7CFB"/>
    <w:rsid w:val="003C7E51"/>
    <w:rsid w:val="003C7FAE"/>
    <w:rsid w:val="003D09A9"/>
    <w:rsid w:val="003D4684"/>
    <w:rsid w:val="003D4687"/>
    <w:rsid w:val="003D64A9"/>
    <w:rsid w:val="003D69C2"/>
    <w:rsid w:val="003E0CC2"/>
    <w:rsid w:val="003E14F8"/>
    <w:rsid w:val="003E34E6"/>
    <w:rsid w:val="003E450C"/>
    <w:rsid w:val="003F0C97"/>
    <w:rsid w:val="003F0CD8"/>
    <w:rsid w:val="003F1149"/>
    <w:rsid w:val="003F1B5F"/>
    <w:rsid w:val="003F229E"/>
    <w:rsid w:val="003F3254"/>
    <w:rsid w:val="004009B2"/>
    <w:rsid w:val="004018F8"/>
    <w:rsid w:val="00403814"/>
    <w:rsid w:val="00403B81"/>
    <w:rsid w:val="004049B9"/>
    <w:rsid w:val="00413707"/>
    <w:rsid w:val="00415D80"/>
    <w:rsid w:val="0041625E"/>
    <w:rsid w:val="00417E23"/>
    <w:rsid w:val="004255C4"/>
    <w:rsid w:val="00425D74"/>
    <w:rsid w:val="00425F75"/>
    <w:rsid w:val="004332B6"/>
    <w:rsid w:val="00434D9C"/>
    <w:rsid w:val="0043702D"/>
    <w:rsid w:val="00440145"/>
    <w:rsid w:val="00440BC2"/>
    <w:rsid w:val="00442DCB"/>
    <w:rsid w:val="00444232"/>
    <w:rsid w:val="0044549D"/>
    <w:rsid w:val="00445BDB"/>
    <w:rsid w:val="00446A96"/>
    <w:rsid w:val="00450392"/>
    <w:rsid w:val="0045245B"/>
    <w:rsid w:val="0045535C"/>
    <w:rsid w:val="00460C30"/>
    <w:rsid w:val="00465FB9"/>
    <w:rsid w:val="00466302"/>
    <w:rsid w:val="00473597"/>
    <w:rsid w:val="0047370C"/>
    <w:rsid w:val="0047522D"/>
    <w:rsid w:val="00476BA1"/>
    <w:rsid w:val="00481AFA"/>
    <w:rsid w:val="00484E55"/>
    <w:rsid w:val="00485F43"/>
    <w:rsid w:val="00490F9F"/>
    <w:rsid w:val="00496A1A"/>
    <w:rsid w:val="004A0CED"/>
    <w:rsid w:val="004A1330"/>
    <w:rsid w:val="004A3E25"/>
    <w:rsid w:val="004A5D6D"/>
    <w:rsid w:val="004A6E75"/>
    <w:rsid w:val="004B1CA1"/>
    <w:rsid w:val="004B51ED"/>
    <w:rsid w:val="004B5731"/>
    <w:rsid w:val="004B7193"/>
    <w:rsid w:val="004C51EC"/>
    <w:rsid w:val="004C5A91"/>
    <w:rsid w:val="004C5F6B"/>
    <w:rsid w:val="004C66AD"/>
    <w:rsid w:val="004E1493"/>
    <w:rsid w:val="004E49CA"/>
    <w:rsid w:val="004E65DD"/>
    <w:rsid w:val="004E6694"/>
    <w:rsid w:val="004E74E9"/>
    <w:rsid w:val="004E79A7"/>
    <w:rsid w:val="004E7B47"/>
    <w:rsid w:val="004F549E"/>
    <w:rsid w:val="004F6C8B"/>
    <w:rsid w:val="00500EE1"/>
    <w:rsid w:val="005025EA"/>
    <w:rsid w:val="005038D1"/>
    <w:rsid w:val="00504C79"/>
    <w:rsid w:val="00505C8C"/>
    <w:rsid w:val="00513C19"/>
    <w:rsid w:val="005147C4"/>
    <w:rsid w:val="00517F35"/>
    <w:rsid w:val="005201E9"/>
    <w:rsid w:val="00521B4C"/>
    <w:rsid w:val="00522E2A"/>
    <w:rsid w:val="005259E7"/>
    <w:rsid w:val="00525AFB"/>
    <w:rsid w:val="005265A5"/>
    <w:rsid w:val="00527B27"/>
    <w:rsid w:val="00531365"/>
    <w:rsid w:val="005316B2"/>
    <w:rsid w:val="00531BEE"/>
    <w:rsid w:val="005323A2"/>
    <w:rsid w:val="0053470F"/>
    <w:rsid w:val="00535473"/>
    <w:rsid w:val="00536F1C"/>
    <w:rsid w:val="00537DBF"/>
    <w:rsid w:val="0054073A"/>
    <w:rsid w:val="00540F01"/>
    <w:rsid w:val="00540F89"/>
    <w:rsid w:val="00544BFC"/>
    <w:rsid w:val="005479AC"/>
    <w:rsid w:val="00547EE5"/>
    <w:rsid w:val="00550CD6"/>
    <w:rsid w:val="00554FA8"/>
    <w:rsid w:val="005565A5"/>
    <w:rsid w:val="00560916"/>
    <w:rsid w:val="00561520"/>
    <w:rsid w:val="00562238"/>
    <w:rsid w:val="00565113"/>
    <w:rsid w:val="00566021"/>
    <w:rsid w:val="00567DEC"/>
    <w:rsid w:val="0057035B"/>
    <w:rsid w:val="0057089D"/>
    <w:rsid w:val="00574FD0"/>
    <w:rsid w:val="00577C29"/>
    <w:rsid w:val="005818E3"/>
    <w:rsid w:val="00582D26"/>
    <w:rsid w:val="0058358B"/>
    <w:rsid w:val="00583A87"/>
    <w:rsid w:val="00585261"/>
    <w:rsid w:val="00585D65"/>
    <w:rsid w:val="0059150F"/>
    <w:rsid w:val="00591C3C"/>
    <w:rsid w:val="00592D3C"/>
    <w:rsid w:val="00594564"/>
    <w:rsid w:val="005948EF"/>
    <w:rsid w:val="00597430"/>
    <w:rsid w:val="005A0B70"/>
    <w:rsid w:val="005A26A6"/>
    <w:rsid w:val="005A782D"/>
    <w:rsid w:val="005A7E5B"/>
    <w:rsid w:val="005B2924"/>
    <w:rsid w:val="005B3DFF"/>
    <w:rsid w:val="005B3E65"/>
    <w:rsid w:val="005C524E"/>
    <w:rsid w:val="005C5AB9"/>
    <w:rsid w:val="005C681D"/>
    <w:rsid w:val="005D0081"/>
    <w:rsid w:val="005D02F1"/>
    <w:rsid w:val="005D0F66"/>
    <w:rsid w:val="005D1D7B"/>
    <w:rsid w:val="005D1EBE"/>
    <w:rsid w:val="005D3E68"/>
    <w:rsid w:val="005D58DA"/>
    <w:rsid w:val="005D7D46"/>
    <w:rsid w:val="005E0EC2"/>
    <w:rsid w:val="005E21D2"/>
    <w:rsid w:val="005E2CBE"/>
    <w:rsid w:val="005E4870"/>
    <w:rsid w:val="005F1F2D"/>
    <w:rsid w:val="005F3C55"/>
    <w:rsid w:val="005F456A"/>
    <w:rsid w:val="005F4C97"/>
    <w:rsid w:val="005F4FF1"/>
    <w:rsid w:val="00604606"/>
    <w:rsid w:val="0060496E"/>
    <w:rsid w:val="00604EAC"/>
    <w:rsid w:val="00605902"/>
    <w:rsid w:val="00606105"/>
    <w:rsid w:val="006118FF"/>
    <w:rsid w:val="00612C36"/>
    <w:rsid w:val="00613A39"/>
    <w:rsid w:val="006206CF"/>
    <w:rsid w:val="006228E6"/>
    <w:rsid w:val="00622ABC"/>
    <w:rsid w:val="00623204"/>
    <w:rsid w:val="0062402F"/>
    <w:rsid w:val="00624034"/>
    <w:rsid w:val="00627E35"/>
    <w:rsid w:val="00640BA4"/>
    <w:rsid w:val="0064134A"/>
    <w:rsid w:val="006442E0"/>
    <w:rsid w:val="0064607A"/>
    <w:rsid w:val="00652672"/>
    <w:rsid w:val="0065542B"/>
    <w:rsid w:val="0065594D"/>
    <w:rsid w:val="00655A90"/>
    <w:rsid w:val="00655BA3"/>
    <w:rsid w:val="006560C7"/>
    <w:rsid w:val="00657AD2"/>
    <w:rsid w:val="00660BD9"/>
    <w:rsid w:val="00660E35"/>
    <w:rsid w:val="00660FD2"/>
    <w:rsid w:val="00663AAE"/>
    <w:rsid w:val="00663E76"/>
    <w:rsid w:val="00671DB5"/>
    <w:rsid w:val="00676137"/>
    <w:rsid w:val="00680D8A"/>
    <w:rsid w:val="0068142C"/>
    <w:rsid w:val="0068228B"/>
    <w:rsid w:val="006844EF"/>
    <w:rsid w:val="00685214"/>
    <w:rsid w:val="006862C9"/>
    <w:rsid w:val="00686BB2"/>
    <w:rsid w:val="00687555"/>
    <w:rsid w:val="006878E1"/>
    <w:rsid w:val="0069304A"/>
    <w:rsid w:val="00697D6C"/>
    <w:rsid w:val="006A1FC6"/>
    <w:rsid w:val="006A7609"/>
    <w:rsid w:val="006B5CAE"/>
    <w:rsid w:val="006B76A4"/>
    <w:rsid w:val="006C1A65"/>
    <w:rsid w:val="006C1A7D"/>
    <w:rsid w:val="006C1DEA"/>
    <w:rsid w:val="006C29A7"/>
    <w:rsid w:val="006C6261"/>
    <w:rsid w:val="006C6F36"/>
    <w:rsid w:val="006C71F6"/>
    <w:rsid w:val="006D2BA9"/>
    <w:rsid w:val="006D397E"/>
    <w:rsid w:val="006E0527"/>
    <w:rsid w:val="006E08BC"/>
    <w:rsid w:val="006E0DF8"/>
    <w:rsid w:val="006E2366"/>
    <w:rsid w:val="006E4547"/>
    <w:rsid w:val="006E605A"/>
    <w:rsid w:val="006F2E7E"/>
    <w:rsid w:val="006F36EF"/>
    <w:rsid w:val="006F47A8"/>
    <w:rsid w:val="006F4986"/>
    <w:rsid w:val="006F6F34"/>
    <w:rsid w:val="0070030F"/>
    <w:rsid w:val="00701598"/>
    <w:rsid w:val="00701893"/>
    <w:rsid w:val="007033F8"/>
    <w:rsid w:val="00703430"/>
    <w:rsid w:val="00704A95"/>
    <w:rsid w:val="00706392"/>
    <w:rsid w:val="00706EB2"/>
    <w:rsid w:val="00707C99"/>
    <w:rsid w:val="00716EA7"/>
    <w:rsid w:val="007176E0"/>
    <w:rsid w:val="0072050F"/>
    <w:rsid w:val="00720DBC"/>
    <w:rsid w:val="00721B59"/>
    <w:rsid w:val="0072240A"/>
    <w:rsid w:val="00724C9A"/>
    <w:rsid w:val="007261FD"/>
    <w:rsid w:val="00726664"/>
    <w:rsid w:val="007300C4"/>
    <w:rsid w:val="00732CF0"/>
    <w:rsid w:val="00733A60"/>
    <w:rsid w:val="007434BA"/>
    <w:rsid w:val="00744447"/>
    <w:rsid w:val="007473E5"/>
    <w:rsid w:val="0075080D"/>
    <w:rsid w:val="007514AD"/>
    <w:rsid w:val="00754DAC"/>
    <w:rsid w:val="00755C2C"/>
    <w:rsid w:val="0075750E"/>
    <w:rsid w:val="007578B4"/>
    <w:rsid w:val="007703E9"/>
    <w:rsid w:val="007708AB"/>
    <w:rsid w:val="00771625"/>
    <w:rsid w:val="00772232"/>
    <w:rsid w:val="00772DDB"/>
    <w:rsid w:val="00775731"/>
    <w:rsid w:val="00781235"/>
    <w:rsid w:val="00782721"/>
    <w:rsid w:val="00784355"/>
    <w:rsid w:val="007906AF"/>
    <w:rsid w:val="00794424"/>
    <w:rsid w:val="007950DD"/>
    <w:rsid w:val="00795458"/>
    <w:rsid w:val="007955BD"/>
    <w:rsid w:val="00795F38"/>
    <w:rsid w:val="007965C0"/>
    <w:rsid w:val="007A09BB"/>
    <w:rsid w:val="007A4108"/>
    <w:rsid w:val="007A4EA9"/>
    <w:rsid w:val="007A7CDD"/>
    <w:rsid w:val="007A7D8A"/>
    <w:rsid w:val="007A7F95"/>
    <w:rsid w:val="007B1018"/>
    <w:rsid w:val="007C14D0"/>
    <w:rsid w:val="007C213D"/>
    <w:rsid w:val="007C41EA"/>
    <w:rsid w:val="007C69FE"/>
    <w:rsid w:val="007D13E3"/>
    <w:rsid w:val="007D13F3"/>
    <w:rsid w:val="007D153A"/>
    <w:rsid w:val="007D39D3"/>
    <w:rsid w:val="007D5AE6"/>
    <w:rsid w:val="007D5BB1"/>
    <w:rsid w:val="007D7213"/>
    <w:rsid w:val="007E0338"/>
    <w:rsid w:val="007E1EBE"/>
    <w:rsid w:val="007E5917"/>
    <w:rsid w:val="007E670D"/>
    <w:rsid w:val="007F461C"/>
    <w:rsid w:val="007F74F1"/>
    <w:rsid w:val="008010D0"/>
    <w:rsid w:val="008020A1"/>
    <w:rsid w:val="008032C7"/>
    <w:rsid w:val="008054D5"/>
    <w:rsid w:val="008138F8"/>
    <w:rsid w:val="00816B3F"/>
    <w:rsid w:val="0081754D"/>
    <w:rsid w:val="008177B9"/>
    <w:rsid w:val="00821801"/>
    <w:rsid w:val="00821DED"/>
    <w:rsid w:val="00822EBF"/>
    <w:rsid w:val="00830BA3"/>
    <w:rsid w:val="00834478"/>
    <w:rsid w:val="00836831"/>
    <w:rsid w:val="00836C72"/>
    <w:rsid w:val="00837DDE"/>
    <w:rsid w:val="00840953"/>
    <w:rsid w:val="0084119E"/>
    <w:rsid w:val="008465B5"/>
    <w:rsid w:val="008523F5"/>
    <w:rsid w:val="008548F9"/>
    <w:rsid w:val="0085503C"/>
    <w:rsid w:val="0085575C"/>
    <w:rsid w:val="008557A3"/>
    <w:rsid w:val="0085791F"/>
    <w:rsid w:val="00857988"/>
    <w:rsid w:val="00860AB8"/>
    <w:rsid w:val="008622B5"/>
    <w:rsid w:val="0086244F"/>
    <w:rsid w:val="00863FCE"/>
    <w:rsid w:val="008673C3"/>
    <w:rsid w:val="00871F40"/>
    <w:rsid w:val="00874F7E"/>
    <w:rsid w:val="00880B61"/>
    <w:rsid w:val="00883121"/>
    <w:rsid w:val="0088343A"/>
    <w:rsid w:val="008837D0"/>
    <w:rsid w:val="0088392F"/>
    <w:rsid w:val="00883B7E"/>
    <w:rsid w:val="00883D6E"/>
    <w:rsid w:val="00884426"/>
    <w:rsid w:val="00886D60"/>
    <w:rsid w:val="00887814"/>
    <w:rsid w:val="008916FF"/>
    <w:rsid w:val="00891DB3"/>
    <w:rsid w:val="00891E82"/>
    <w:rsid w:val="00895A85"/>
    <w:rsid w:val="008A1D12"/>
    <w:rsid w:val="008A3A47"/>
    <w:rsid w:val="008B0DE4"/>
    <w:rsid w:val="008C11C5"/>
    <w:rsid w:val="008C5B7C"/>
    <w:rsid w:val="008D0B62"/>
    <w:rsid w:val="008D4FAC"/>
    <w:rsid w:val="008D6DDF"/>
    <w:rsid w:val="008D6FF4"/>
    <w:rsid w:val="008E184B"/>
    <w:rsid w:val="008E4614"/>
    <w:rsid w:val="008F1161"/>
    <w:rsid w:val="008F256D"/>
    <w:rsid w:val="008F479E"/>
    <w:rsid w:val="008F5EC4"/>
    <w:rsid w:val="008F6175"/>
    <w:rsid w:val="008F7C83"/>
    <w:rsid w:val="009011F1"/>
    <w:rsid w:val="009016A5"/>
    <w:rsid w:val="009037E8"/>
    <w:rsid w:val="00903D7D"/>
    <w:rsid w:val="009127A6"/>
    <w:rsid w:val="0091528B"/>
    <w:rsid w:val="009157B1"/>
    <w:rsid w:val="00917CAF"/>
    <w:rsid w:val="009225DD"/>
    <w:rsid w:val="00925E72"/>
    <w:rsid w:val="00926C98"/>
    <w:rsid w:val="009272D7"/>
    <w:rsid w:val="009319B6"/>
    <w:rsid w:val="00933532"/>
    <w:rsid w:val="00935901"/>
    <w:rsid w:val="00935DF2"/>
    <w:rsid w:val="00943343"/>
    <w:rsid w:val="00943E72"/>
    <w:rsid w:val="00946694"/>
    <w:rsid w:val="00950A9B"/>
    <w:rsid w:val="00951B99"/>
    <w:rsid w:val="009539C9"/>
    <w:rsid w:val="00955C03"/>
    <w:rsid w:val="00964237"/>
    <w:rsid w:val="00966813"/>
    <w:rsid w:val="00966AEB"/>
    <w:rsid w:val="00967B16"/>
    <w:rsid w:val="0097301B"/>
    <w:rsid w:val="00974D2D"/>
    <w:rsid w:val="009754DD"/>
    <w:rsid w:val="00986A55"/>
    <w:rsid w:val="00987B8B"/>
    <w:rsid w:val="00987C4D"/>
    <w:rsid w:val="00994234"/>
    <w:rsid w:val="00997863"/>
    <w:rsid w:val="009A18E5"/>
    <w:rsid w:val="009A5B27"/>
    <w:rsid w:val="009A6404"/>
    <w:rsid w:val="009A701F"/>
    <w:rsid w:val="009A7E68"/>
    <w:rsid w:val="009B0538"/>
    <w:rsid w:val="009B29C9"/>
    <w:rsid w:val="009B4291"/>
    <w:rsid w:val="009C1066"/>
    <w:rsid w:val="009C1372"/>
    <w:rsid w:val="009C5373"/>
    <w:rsid w:val="009C6404"/>
    <w:rsid w:val="009D3B98"/>
    <w:rsid w:val="009D6055"/>
    <w:rsid w:val="009E5F11"/>
    <w:rsid w:val="009E7994"/>
    <w:rsid w:val="009F143B"/>
    <w:rsid w:val="009F299E"/>
    <w:rsid w:val="009F2EEB"/>
    <w:rsid w:val="009F4DA5"/>
    <w:rsid w:val="00A02270"/>
    <w:rsid w:val="00A02B18"/>
    <w:rsid w:val="00A0362B"/>
    <w:rsid w:val="00A077D2"/>
    <w:rsid w:val="00A16942"/>
    <w:rsid w:val="00A1708E"/>
    <w:rsid w:val="00A17A72"/>
    <w:rsid w:val="00A25BA2"/>
    <w:rsid w:val="00A25F51"/>
    <w:rsid w:val="00A272DC"/>
    <w:rsid w:val="00A30393"/>
    <w:rsid w:val="00A30563"/>
    <w:rsid w:val="00A30FE6"/>
    <w:rsid w:val="00A32246"/>
    <w:rsid w:val="00A328C0"/>
    <w:rsid w:val="00A35EEF"/>
    <w:rsid w:val="00A3714C"/>
    <w:rsid w:val="00A427D6"/>
    <w:rsid w:val="00A44564"/>
    <w:rsid w:val="00A44E53"/>
    <w:rsid w:val="00A46044"/>
    <w:rsid w:val="00A46E96"/>
    <w:rsid w:val="00A5080E"/>
    <w:rsid w:val="00A5182E"/>
    <w:rsid w:val="00A52030"/>
    <w:rsid w:val="00A57F06"/>
    <w:rsid w:val="00A62BEC"/>
    <w:rsid w:val="00A658C1"/>
    <w:rsid w:val="00A66E2F"/>
    <w:rsid w:val="00A67190"/>
    <w:rsid w:val="00A723F1"/>
    <w:rsid w:val="00A72CB9"/>
    <w:rsid w:val="00A734AD"/>
    <w:rsid w:val="00A80844"/>
    <w:rsid w:val="00A837A0"/>
    <w:rsid w:val="00A84972"/>
    <w:rsid w:val="00A84D51"/>
    <w:rsid w:val="00A90926"/>
    <w:rsid w:val="00A97287"/>
    <w:rsid w:val="00AA2099"/>
    <w:rsid w:val="00AA2DED"/>
    <w:rsid w:val="00AA33C3"/>
    <w:rsid w:val="00AB1C66"/>
    <w:rsid w:val="00AB1D56"/>
    <w:rsid w:val="00AC574B"/>
    <w:rsid w:val="00AC58C2"/>
    <w:rsid w:val="00AC5A9E"/>
    <w:rsid w:val="00AD1FEC"/>
    <w:rsid w:val="00AD2DF1"/>
    <w:rsid w:val="00AE00BB"/>
    <w:rsid w:val="00AE4125"/>
    <w:rsid w:val="00AE6AA6"/>
    <w:rsid w:val="00AF0122"/>
    <w:rsid w:val="00AF0855"/>
    <w:rsid w:val="00AF5E87"/>
    <w:rsid w:val="00B00552"/>
    <w:rsid w:val="00B02BEE"/>
    <w:rsid w:val="00B03AEE"/>
    <w:rsid w:val="00B048DD"/>
    <w:rsid w:val="00B05510"/>
    <w:rsid w:val="00B1153E"/>
    <w:rsid w:val="00B11C1C"/>
    <w:rsid w:val="00B17BD8"/>
    <w:rsid w:val="00B212BF"/>
    <w:rsid w:val="00B2293D"/>
    <w:rsid w:val="00B230EF"/>
    <w:rsid w:val="00B27933"/>
    <w:rsid w:val="00B30B53"/>
    <w:rsid w:val="00B313E9"/>
    <w:rsid w:val="00B32325"/>
    <w:rsid w:val="00B32FEC"/>
    <w:rsid w:val="00B33049"/>
    <w:rsid w:val="00B340A4"/>
    <w:rsid w:val="00B36EFA"/>
    <w:rsid w:val="00B43FD1"/>
    <w:rsid w:val="00B45C2D"/>
    <w:rsid w:val="00B473C7"/>
    <w:rsid w:val="00B53285"/>
    <w:rsid w:val="00B55D90"/>
    <w:rsid w:val="00B56649"/>
    <w:rsid w:val="00B606D1"/>
    <w:rsid w:val="00B60A18"/>
    <w:rsid w:val="00B6171A"/>
    <w:rsid w:val="00B625F2"/>
    <w:rsid w:val="00B62886"/>
    <w:rsid w:val="00B65711"/>
    <w:rsid w:val="00B661FC"/>
    <w:rsid w:val="00B662B3"/>
    <w:rsid w:val="00B663DC"/>
    <w:rsid w:val="00B710D8"/>
    <w:rsid w:val="00B7142F"/>
    <w:rsid w:val="00B73629"/>
    <w:rsid w:val="00B7466E"/>
    <w:rsid w:val="00B74C84"/>
    <w:rsid w:val="00B754CE"/>
    <w:rsid w:val="00B779BD"/>
    <w:rsid w:val="00B8021E"/>
    <w:rsid w:val="00B8028F"/>
    <w:rsid w:val="00B833BE"/>
    <w:rsid w:val="00B855C0"/>
    <w:rsid w:val="00B87B08"/>
    <w:rsid w:val="00B92224"/>
    <w:rsid w:val="00B928FB"/>
    <w:rsid w:val="00B93C7A"/>
    <w:rsid w:val="00B956C4"/>
    <w:rsid w:val="00BA0192"/>
    <w:rsid w:val="00BA3AD8"/>
    <w:rsid w:val="00BA3D41"/>
    <w:rsid w:val="00BB2152"/>
    <w:rsid w:val="00BB2BE0"/>
    <w:rsid w:val="00BB376A"/>
    <w:rsid w:val="00BB405B"/>
    <w:rsid w:val="00BB7D9F"/>
    <w:rsid w:val="00BC29D0"/>
    <w:rsid w:val="00BC4A86"/>
    <w:rsid w:val="00BC7DBC"/>
    <w:rsid w:val="00BD076D"/>
    <w:rsid w:val="00BD4239"/>
    <w:rsid w:val="00BD797F"/>
    <w:rsid w:val="00BE1470"/>
    <w:rsid w:val="00BE33BD"/>
    <w:rsid w:val="00BE43DF"/>
    <w:rsid w:val="00BE4BAF"/>
    <w:rsid w:val="00BE5348"/>
    <w:rsid w:val="00BE79B6"/>
    <w:rsid w:val="00BE7C72"/>
    <w:rsid w:val="00BF1421"/>
    <w:rsid w:val="00BF1E0E"/>
    <w:rsid w:val="00BF3DF9"/>
    <w:rsid w:val="00BF414E"/>
    <w:rsid w:val="00BF4277"/>
    <w:rsid w:val="00BF4646"/>
    <w:rsid w:val="00BF5453"/>
    <w:rsid w:val="00BF5D7A"/>
    <w:rsid w:val="00BF78BF"/>
    <w:rsid w:val="00C00BBF"/>
    <w:rsid w:val="00C01789"/>
    <w:rsid w:val="00C02CC4"/>
    <w:rsid w:val="00C035EE"/>
    <w:rsid w:val="00C04AA4"/>
    <w:rsid w:val="00C05445"/>
    <w:rsid w:val="00C075DD"/>
    <w:rsid w:val="00C10ADF"/>
    <w:rsid w:val="00C11761"/>
    <w:rsid w:val="00C12B50"/>
    <w:rsid w:val="00C12CBD"/>
    <w:rsid w:val="00C134DB"/>
    <w:rsid w:val="00C2105B"/>
    <w:rsid w:val="00C240C4"/>
    <w:rsid w:val="00C25B78"/>
    <w:rsid w:val="00C263E6"/>
    <w:rsid w:val="00C32068"/>
    <w:rsid w:val="00C3350F"/>
    <w:rsid w:val="00C33FEF"/>
    <w:rsid w:val="00C40F1D"/>
    <w:rsid w:val="00C4163B"/>
    <w:rsid w:val="00C41F24"/>
    <w:rsid w:val="00C47619"/>
    <w:rsid w:val="00C47E15"/>
    <w:rsid w:val="00C5213D"/>
    <w:rsid w:val="00C52848"/>
    <w:rsid w:val="00C52B25"/>
    <w:rsid w:val="00C61FF5"/>
    <w:rsid w:val="00C62CAD"/>
    <w:rsid w:val="00C64AD6"/>
    <w:rsid w:val="00C671F5"/>
    <w:rsid w:val="00C67E5D"/>
    <w:rsid w:val="00C70DB9"/>
    <w:rsid w:val="00C716E3"/>
    <w:rsid w:val="00C72528"/>
    <w:rsid w:val="00C73D99"/>
    <w:rsid w:val="00C748FF"/>
    <w:rsid w:val="00C74DA7"/>
    <w:rsid w:val="00C75B93"/>
    <w:rsid w:val="00C7666A"/>
    <w:rsid w:val="00C76747"/>
    <w:rsid w:val="00C767DA"/>
    <w:rsid w:val="00C805FB"/>
    <w:rsid w:val="00C80817"/>
    <w:rsid w:val="00C81C5D"/>
    <w:rsid w:val="00C820FF"/>
    <w:rsid w:val="00C83750"/>
    <w:rsid w:val="00C85D0A"/>
    <w:rsid w:val="00C8675B"/>
    <w:rsid w:val="00C86CD7"/>
    <w:rsid w:val="00C91381"/>
    <w:rsid w:val="00C9376B"/>
    <w:rsid w:val="00C9581A"/>
    <w:rsid w:val="00C960BE"/>
    <w:rsid w:val="00C9791B"/>
    <w:rsid w:val="00CA055E"/>
    <w:rsid w:val="00CA2BC2"/>
    <w:rsid w:val="00CA3682"/>
    <w:rsid w:val="00CA48C1"/>
    <w:rsid w:val="00CA7520"/>
    <w:rsid w:val="00CA766A"/>
    <w:rsid w:val="00CB20C7"/>
    <w:rsid w:val="00CB44BB"/>
    <w:rsid w:val="00CB48DB"/>
    <w:rsid w:val="00CC07CE"/>
    <w:rsid w:val="00CC3744"/>
    <w:rsid w:val="00CC4AEF"/>
    <w:rsid w:val="00CC6C0C"/>
    <w:rsid w:val="00CD1FB3"/>
    <w:rsid w:val="00CD4BE8"/>
    <w:rsid w:val="00CF55D6"/>
    <w:rsid w:val="00CF78D3"/>
    <w:rsid w:val="00D00F4E"/>
    <w:rsid w:val="00D07937"/>
    <w:rsid w:val="00D10B27"/>
    <w:rsid w:val="00D12CFF"/>
    <w:rsid w:val="00D1447F"/>
    <w:rsid w:val="00D14DDF"/>
    <w:rsid w:val="00D15560"/>
    <w:rsid w:val="00D156AF"/>
    <w:rsid w:val="00D15F02"/>
    <w:rsid w:val="00D16367"/>
    <w:rsid w:val="00D2092C"/>
    <w:rsid w:val="00D214A1"/>
    <w:rsid w:val="00D22DC3"/>
    <w:rsid w:val="00D25683"/>
    <w:rsid w:val="00D27042"/>
    <w:rsid w:val="00D30FC6"/>
    <w:rsid w:val="00D378F7"/>
    <w:rsid w:val="00D401A1"/>
    <w:rsid w:val="00D4253A"/>
    <w:rsid w:val="00D47AD5"/>
    <w:rsid w:val="00D47F07"/>
    <w:rsid w:val="00D501F1"/>
    <w:rsid w:val="00D50B42"/>
    <w:rsid w:val="00D53D43"/>
    <w:rsid w:val="00D57228"/>
    <w:rsid w:val="00D57356"/>
    <w:rsid w:val="00D60D33"/>
    <w:rsid w:val="00D61C6D"/>
    <w:rsid w:val="00D64034"/>
    <w:rsid w:val="00D65B18"/>
    <w:rsid w:val="00D7099D"/>
    <w:rsid w:val="00D73109"/>
    <w:rsid w:val="00D73128"/>
    <w:rsid w:val="00D73E60"/>
    <w:rsid w:val="00D763F9"/>
    <w:rsid w:val="00D76C43"/>
    <w:rsid w:val="00D76C6E"/>
    <w:rsid w:val="00D80DC0"/>
    <w:rsid w:val="00D810EC"/>
    <w:rsid w:val="00D835B6"/>
    <w:rsid w:val="00D83C59"/>
    <w:rsid w:val="00D84464"/>
    <w:rsid w:val="00D86ED2"/>
    <w:rsid w:val="00D92C44"/>
    <w:rsid w:val="00D97211"/>
    <w:rsid w:val="00DA0540"/>
    <w:rsid w:val="00DA2840"/>
    <w:rsid w:val="00DA2EC5"/>
    <w:rsid w:val="00DA4030"/>
    <w:rsid w:val="00DA5534"/>
    <w:rsid w:val="00DA6AFA"/>
    <w:rsid w:val="00DB13D8"/>
    <w:rsid w:val="00DB15FD"/>
    <w:rsid w:val="00DB1640"/>
    <w:rsid w:val="00DB527C"/>
    <w:rsid w:val="00DB58EC"/>
    <w:rsid w:val="00DB679F"/>
    <w:rsid w:val="00DC1802"/>
    <w:rsid w:val="00DC2290"/>
    <w:rsid w:val="00DC399B"/>
    <w:rsid w:val="00DC7A89"/>
    <w:rsid w:val="00DD1B5D"/>
    <w:rsid w:val="00DD2A4A"/>
    <w:rsid w:val="00DD4265"/>
    <w:rsid w:val="00DD5E2B"/>
    <w:rsid w:val="00DD660B"/>
    <w:rsid w:val="00DE24FD"/>
    <w:rsid w:val="00DF0A25"/>
    <w:rsid w:val="00DF3781"/>
    <w:rsid w:val="00DF6E69"/>
    <w:rsid w:val="00E031E2"/>
    <w:rsid w:val="00E107CA"/>
    <w:rsid w:val="00E10B2C"/>
    <w:rsid w:val="00E1216B"/>
    <w:rsid w:val="00E1477F"/>
    <w:rsid w:val="00E16C63"/>
    <w:rsid w:val="00E20EDD"/>
    <w:rsid w:val="00E25348"/>
    <w:rsid w:val="00E25D54"/>
    <w:rsid w:val="00E30E76"/>
    <w:rsid w:val="00E341F5"/>
    <w:rsid w:val="00E43D94"/>
    <w:rsid w:val="00E47427"/>
    <w:rsid w:val="00E51C16"/>
    <w:rsid w:val="00E531B9"/>
    <w:rsid w:val="00E53BC5"/>
    <w:rsid w:val="00E53DC6"/>
    <w:rsid w:val="00E55E55"/>
    <w:rsid w:val="00E57869"/>
    <w:rsid w:val="00E61DBC"/>
    <w:rsid w:val="00E64057"/>
    <w:rsid w:val="00E66AFF"/>
    <w:rsid w:val="00E6771C"/>
    <w:rsid w:val="00E677B9"/>
    <w:rsid w:val="00E70381"/>
    <w:rsid w:val="00E70F8F"/>
    <w:rsid w:val="00E73DEF"/>
    <w:rsid w:val="00E80D65"/>
    <w:rsid w:val="00E854F1"/>
    <w:rsid w:val="00E92354"/>
    <w:rsid w:val="00E93056"/>
    <w:rsid w:val="00EA1942"/>
    <w:rsid w:val="00EA4B4D"/>
    <w:rsid w:val="00EA4C4B"/>
    <w:rsid w:val="00EA77BE"/>
    <w:rsid w:val="00EB0757"/>
    <w:rsid w:val="00EB1BD2"/>
    <w:rsid w:val="00EB6ACE"/>
    <w:rsid w:val="00EC19C1"/>
    <w:rsid w:val="00EC2983"/>
    <w:rsid w:val="00EC7271"/>
    <w:rsid w:val="00ED09B6"/>
    <w:rsid w:val="00ED0C43"/>
    <w:rsid w:val="00ED38AF"/>
    <w:rsid w:val="00ED5F03"/>
    <w:rsid w:val="00ED60A1"/>
    <w:rsid w:val="00ED6123"/>
    <w:rsid w:val="00ED7216"/>
    <w:rsid w:val="00EE1C4A"/>
    <w:rsid w:val="00EE2262"/>
    <w:rsid w:val="00EE2F0A"/>
    <w:rsid w:val="00EE4110"/>
    <w:rsid w:val="00EE47A4"/>
    <w:rsid w:val="00EE65E2"/>
    <w:rsid w:val="00EE6D21"/>
    <w:rsid w:val="00EE7517"/>
    <w:rsid w:val="00EF071B"/>
    <w:rsid w:val="00EF1ACC"/>
    <w:rsid w:val="00EF6024"/>
    <w:rsid w:val="00F008F5"/>
    <w:rsid w:val="00F01B55"/>
    <w:rsid w:val="00F01C31"/>
    <w:rsid w:val="00F0237B"/>
    <w:rsid w:val="00F06498"/>
    <w:rsid w:val="00F1081B"/>
    <w:rsid w:val="00F11E0A"/>
    <w:rsid w:val="00F13013"/>
    <w:rsid w:val="00F141F0"/>
    <w:rsid w:val="00F14F22"/>
    <w:rsid w:val="00F15642"/>
    <w:rsid w:val="00F16540"/>
    <w:rsid w:val="00F16CF9"/>
    <w:rsid w:val="00F20B09"/>
    <w:rsid w:val="00F3335E"/>
    <w:rsid w:val="00F349E0"/>
    <w:rsid w:val="00F4336C"/>
    <w:rsid w:val="00F439B5"/>
    <w:rsid w:val="00F47289"/>
    <w:rsid w:val="00F52E75"/>
    <w:rsid w:val="00F54AC7"/>
    <w:rsid w:val="00F54C75"/>
    <w:rsid w:val="00F57DED"/>
    <w:rsid w:val="00F63F49"/>
    <w:rsid w:val="00F65837"/>
    <w:rsid w:val="00F72857"/>
    <w:rsid w:val="00F72D00"/>
    <w:rsid w:val="00F76BB0"/>
    <w:rsid w:val="00F76F89"/>
    <w:rsid w:val="00F80E04"/>
    <w:rsid w:val="00F81150"/>
    <w:rsid w:val="00F833B7"/>
    <w:rsid w:val="00F83A22"/>
    <w:rsid w:val="00F84CF9"/>
    <w:rsid w:val="00F85075"/>
    <w:rsid w:val="00F85727"/>
    <w:rsid w:val="00F87C6C"/>
    <w:rsid w:val="00F87E38"/>
    <w:rsid w:val="00F90F13"/>
    <w:rsid w:val="00F97EA2"/>
    <w:rsid w:val="00FA155E"/>
    <w:rsid w:val="00FA2322"/>
    <w:rsid w:val="00FB1320"/>
    <w:rsid w:val="00FB4B0C"/>
    <w:rsid w:val="00FC0D10"/>
    <w:rsid w:val="00FC1934"/>
    <w:rsid w:val="00FC3FF7"/>
    <w:rsid w:val="00FD180C"/>
    <w:rsid w:val="00FD3255"/>
    <w:rsid w:val="00FD5782"/>
    <w:rsid w:val="00FE0556"/>
    <w:rsid w:val="00FE068A"/>
    <w:rsid w:val="00FE38F0"/>
    <w:rsid w:val="00FE43A9"/>
    <w:rsid w:val="00FE4DAE"/>
    <w:rsid w:val="00FE7AEB"/>
    <w:rsid w:val="00FF35A6"/>
    <w:rsid w:val="00FF3E7D"/>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paragraph" w:styleId="Ttulo6">
    <w:name w:val="heading 6"/>
    <w:basedOn w:val="Normal"/>
    <w:next w:val="Normal"/>
    <w:link w:val="Ttulo6Car"/>
    <w:uiPriority w:val="9"/>
    <w:semiHidden/>
    <w:unhideWhenUsed/>
    <w:qFormat/>
    <w:rsid w:val="00A72CB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CD1FB3"/>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qFormat/>
    <w:rsid w:val="00490F9F"/>
    <w:rPr>
      <w:b/>
    </w:rPr>
  </w:style>
  <w:style w:type="character" w:customStyle="1" w:styleId="normaltextrun">
    <w:name w:val="normaltextrun"/>
    <w:basedOn w:val="Fuentedeprrafopredeter"/>
    <w:rsid w:val="004A6E75"/>
  </w:style>
  <w:style w:type="paragraph" w:styleId="NormalWeb">
    <w:name w:val="Normal (Web)"/>
    <w:basedOn w:val="Normal"/>
    <w:uiPriority w:val="99"/>
    <w:semiHidden/>
    <w:unhideWhenUsed/>
    <w:rsid w:val="00221FEF"/>
    <w:rPr>
      <w:rFonts w:ascii="Times New Roman" w:hAnsi="Times New Roman" w:cs="Times New Roman"/>
      <w:sz w:val="24"/>
      <w:szCs w:val="24"/>
    </w:rPr>
  </w:style>
  <w:style w:type="character" w:customStyle="1" w:styleId="Ttulo6Car">
    <w:name w:val="Título 6 Car"/>
    <w:basedOn w:val="Fuentedeprrafopredeter"/>
    <w:link w:val="Ttulo6"/>
    <w:uiPriority w:val="9"/>
    <w:semiHidden/>
    <w:rsid w:val="00A72CB9"/>
    <w:rPr>
      <w:rFonts w:asciiTheme="majorHAnsi" w:eastAsiaTheme="majorEastAsia" w:hAnsiTheme="majorHAnsi" w:cstheme="majorBidi"/>
      <w:color w:val="1F4D78" w:themeColor="accent1" w:themeShade="7F"/>
    </w:rPr>
  </w:style>
  <w:style w:type="paragraph" w:styleId="Textonotapie">
    <w:name w:val="footnote text"/>
    <w:basedOn w:val="Normal"/>
    <w:link w:val="TextonotapieCar"/>
    <w:uiPriority w:val="99"/>
    <w:semiHidden/>
    <w:unhideWhenUsed/>
    <w:rsid w:val="009F4DA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F4DA5"/>
    <w:rPr>
      <w:sz w:val="20"/>
      <w:szCs w:val="20"/>
    </w:rPr>
  </w:style>
  <w:style w:type="character" w:styleId="Refdenotaalpie">
    <w:name w:val="footnote reference"/>
    <w:basedOn w:val="Fuentedeprrafopredeter"/>
    <w:uiPriority w:val="99"/>
    <w:semiHidden/>
    <w:unhideWhenUsed/>
    <w:rsid w:val="009F4DA5"/>
    <w:rPr>
      <w:vertAlign w:val="superscript"/>
    </w:rPr>
  </w:style>
  <w:style w:type="character" w:styleId="Mencinsinresolver">
    <w:name w:val="Unresolved Mention"/>
    <w:basedOn w:val="Fuentedeprrafopredeter"/>
    <w:uiPriority w:val="99"/>
    <w:semiHidden/>
    <w:unhideWhenUsed/>
    <w:rsid w:val="009F4D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8395">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11836006">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23915243">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0123309">
      <w:bodyDiv w:val="1"/>
      <w:marLeft w:val="0"/>
      <w:marRight w:val="0"/>
      <w:marTop w:val="0"/>
      <w:marBottom w:val="0"/>
      <w:divBdr>
        <w:top w:val="none" w:sz="0" w:space="0" w:color="auto"/>
        <w:left w:val="none" w:sz="0" w:space="0" w:color="auto"/>
        <w:bottom w:val="none" w:sz="0" w:space="0" w:color="auto"/>
        <w:right w:val="none" w:sz="0" w:space="0" w:color="auto"/>
      </w:divBdr>
    </w:div>
    <w:div w:id="534466347">
      <w:bodyDiv w:val="1"/>
      <w:marLeft w:val="0"/>
      <w:marRight w:val="0"/>
      <w:marTop w:val="0"/>
      <w:marBottom w:val="0"/>
      <w:divBdr>
        <w:top w:val="none" w:sz="0" w:space="0" w:color="auto"/>
        <w:left w:val="none" w:sz="0" w:space="0" w:color="auto"/>
        <w:bottom w:val="none" w:sz="0" w:space="0" w:color="auto"/>
        <w:right w:val="none" w:sz="0" w:space="0" w:color="auto"/>
      </w:divBdr>
    </w:div>
    <w:div w:id="539125968">
      <w:bodyDiv w:val="1"/>
      <w:marLeft w:val="0"/>
      <w:marRight w:val="0"/>
      <w:marTop w:val="0"/>
      <w:marBottom w:val="0"/>
      <w:divBdr>
        <w:top w:val="none" w:sz="0" w:space="0" w:color="auto"/>
        <w:left w:val="none" w:sz="0" w:space="0" w:color="auto"/>
        <w:bottom w:val="none" w:sz="0" w:space="0" w:color="auto"/>
        <w:right w:val="none" w:sz="0" w:space="0" w:color="auto"/>
      </w:divBdr>
    </w:div>
    <w:div w:id="833643758">
      <w:bodyDiv w:val="1"/>
      <w:marLeft w:val="0"/>
      <w:marRight w:val="0"/>
      <w:marTop w:val="0"/>
      <w:marBottom w:val="0"/>
      <w:divBdr>
        <w:top w:val="none" w:sz="0" w:space="0" w:color="auto"/>
        <w:left w:val="none" w:sz="0" w:space="0" w:color="auto"/>
        <w:bottom w:val="none" w:sz="0" w:space="0" w:color="auto"/>
        <w:right w:val="none" w:sz="0" w:space="0" w:color="auto"/>
      </w:divBdr>
    </w:div>
    <w:div w:id="1167787461">
      <w:bodyDiv w:val="1"/>
      <w:marLeft w:val="0"/>
      <w:marRight w:val="0"/>
      <w:marTop w:val="0"/>
      <w:marBottom w:val="0"/>
      <w:divBdr>
        <w:top w:val="none" w:sz="0" w:space="0" w:color="auto"/>
        <w:left w:val="none" w:sz="0" w:space="0" w:color="auto"/>
        <w:bottom w:val="none" w:sz="0" w:space="0" w:color="auto"/>
        <w:right w:val="none" w:sz="0" w:space="0" w:color="auto"/>
      </w:divBdr>
    </w:div>
    <w:div w:id="1261569972">
      <w:bodyDiv w:val="1"/>
      <w:marLeft w:val="0"/>
      <w:marRight w:val="0"/>
      <w:marTop w:val="0"/>
      <w:marBottom w:val="0"/>
      <w:divBdr>
        <w:top w:val="none" w:sz="0" w:space="0" w:color="auto"/>
        <w:left w:val="none" w:sz="0" w:space="0" w:color="auto"/>
        <w:bottom w:val="none" w:sz="0" w:space="0" w:color="auto"/>
        <w:right w:val="none" w:sz="0" w:space="0" w:color="auto"/>
      </w:divBdr>
    </w:div>
    <w:div w:id="1518615378">
      <w:bodyDiv w:val="1"/>
      <w:marLeft w:val="0"/>
      <w:marRight w:val="0"/>
      <w:marTop w:val="0"/>
      <w:marBottom w:val="0"/>
      <w:divBdr>
        <w:top w:val="none" w:sz="0" w:space="0" w:color="auto"/>
        <w:left w:val="none" w:sz="0" w:space="0" w:color="auto"/>
        <w:bottom w:val="none" w:sz="0" w:space="0" w:color="auto"/>
        <w:right w:val="none" w:sz="0" w:space="0" w:color="auto"/>
      </w:divBdr>
    </w:div>
    <w:div w:id="1670864024">
      <w:bodyDiv w:val="1"/>
      <w:marLeft w:val="0"/>
      <w:marRight w:val="0"/>
      <w:marTop w:val="0"/>
      <w:marBottom w:val="0"/>
      <w:divBdr>
        <w:top w:val="none" w:sz="0" w:space="0" w:color="auto"/>
        <w:left w:val="none" w:sz="0" w:space="0" w:color="auto"/>
        <w:bottom w:val="none" w:sz="0" w:space="0" w:color="auto"/>
        <w:right w:val="none" w:sz="0" w:space="0" w:color="auto"/>
      </w:divBdr>
    </w:div>
    <w:div w:id="1735084466">
      <w:bodyDiv w:val="1"/>
      <w:marLeft w:val="0"/>
      <w:marRight w:val="0"/>
      <w:marTop w:val="0"/>
      <w:marBottom w:val="0"/>
      <w:divBdr>
        <w:top w:val="none" w:sz="0" w:space="0" w:color="auto"/>
        <w:left w:val="none" w:sz="0" w:space="0" w:color="auto"/>
        <w:bottom w:val="none" w:sz="0" w:space="0" w:color="auto"/>
        <w:right w:val="none" w:sz="0" w:space="0" w:color="auto"/>
      </w:divBdr>
    </w:div>
    <w:div w:id="1884750941">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35766890">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 Type="http://schemas.openxmlformats.org/officeDocument/2006/relationships/hyperlink" Target="https://www.sbs.gob.pe/usuarios/aprende-con-la-sbs/fraudes-digitales-y-telefonicos/utm_sour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E07E42F-BACA-4A75-AA29-35DB170440E9}"/>
</file>

<file path=customXml/itemProps3.xml><?xml version="1.0" encoding="utf-8"?>
<ds:datastoreItem xmlns:ds="http://schemas.openxmlformats.org/officeDocument/2006/customXml" ds:itemID="{F13B71CB-B952-4418-AA42-767E47861DF9}"/>
</file>

<file path=customXml/itemProps4.xml><?xml version="1.0" encoding="utf-8"?>
<ds:datastoreItem xmlns:ds="http://schemas.openxmlformats.org/officeDocument/2006/customXml" ds:itemID="{3BE80FA2-48BD-4470-8ED6-E6A6D73ED3B2}"/>
</file>

<file path=docProps/app.xml><?xml version="1.0" encoding="utf-8"?>
<Properties xmlns="http://schemas.openxmlformats.org/officeDocument/2006/extended-properties" xmlns:vt="http://schemas.openxmlformats.org/officeDocument/2006/docPropsVTypes">
  <Template>Normal</Template>
  <TotalTime>1139</TotalTime>
  <Pages>4</Pages>
  <Words>1477</Words>
  <Characters>8244</Characters>
  <Application>Microsoft Office Word</Application>
  <DocSecurity>0</DocSecurity>
  <Lines>142</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582</cp:revision>
  <cp:lastPrinted>2025-12-19T18:58:00Z</cp:lastPrinted>
  <dcterms:created xsi:type="dcterms:W3CDTF">2020-12-18T20:17:00Z</dcterms:created>
  <dcterms:modified xsi:type="dcterms:W3CDTF">2025-12-19T18:58:00Z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