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F3702" w:rsidP="00CD67EE" w:rsidRDefault="00F15FBA" w14:paraId="30DA3621" w14:textId="753735B8">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Pr="00CD67EE" w:rsidR="0073373B">
        <w:rPr>
          <w:lang w:val="es-PE"/>
        </w:rPr>
        <w:t>1</w:t>
      </w:r>
      <w:r w:rsidRPr="00CD67EE" w:rsidR="001631D6">
        <w:rPr>
          <w:lang w:val="es-PE"/>
        </w:rPr>
        <w:t>/2</w:t>
      </w:r>
      <w:r w:rsidRPr="00CD67EE" w:rsidR="0073373B">
        <w:rPr>
          <w:lang w:val="es-PE"/>
        </w:rPr>
        <w:t>5</w:t>
      </w:r>
    </w:p>
    <w:p w:rsidRPr="00CD67EE" w:rsidR="00CD67EE" w:rsidP="00CD67EE" w:rsidRDefault="00CD67EE" w14:paraId="514342B2" w14:textId="77777777">
      <w:pPr>
        <w:pStyle w:val="Ttulo"/>
        <w:outlineLvl w:val="0"/>
        <w:rPr>
          <w:lang w:val="es-PE"/>
        </w:rPr>
      </w:pPr>
    </w:p>
    <w:p w:rsidRPr="00CD67EE" w:rsidR="00CD67EE" w:rsidP="00CD67EE" w:rsidRDefault="00CD67EE" w14:paraId="503FB758" w14:textId="77777777">
      <w:pPr>
        <w:jc w:val="both"/>
      </w:pPr>
      <w:r w:rsidRPr="00CD67EE">
        <w:rPr>
          <w:b/>
          <w:bCs/>
        </w:rPr>
        <w:t>VISTOS:</w:t>
      </w:r>
    </w:p>
    <w:p w:rsidRPr="00CD67EE" w:rsidR="00CD67EE" w:rsidP="00CD67EE" w:rsidRDefault="00CD67EE" w14:paraId="376983AF" w14:textId="77777777">
      <w:pPr>
        <w:jc w:val="both"/>
        <w:rPr>
          <w:lang w:val="es-PE"/>
        </w:rPr>
      </w:pPr>
    </w:p>
    <w:p w:rsidRPr="00CD67EE" w:rsidR="00CD67EE" w:rsidP="00CD67EE" w:rsidRDefault="00CD67EE" w14:paraId="65EDACCF" w14:textId="57C4913B">
      <w:pPr>
        <w:jc w:val="both"/>
        <w:rPr>
          <w:lang w:val="es-PE"/>
        </w:rPr>
      </w:pPr>
      <w:r w:rsidRPr="3D863E12" w:rsidR="00CD67EE">
        <w:rPr>
          <w:lang w:val="es-PE"/>
        </w:rPr>
        <w:t xml:space="preserve">Que, el </w:t>
      </w:r>
      <w:r w:rsidRPr="3D863E12" w:rsidR="51A39236">
        <w:rPr>
          <w:b w:val="1"/>
          <w:bCs w:val="1"/>
          <w:lang w:val="es-PE"/>
        </w:rPr>
        <w:t>.........................................................................</w:t>
      </w:r>
      <w:r w:rsidRPr="3D863E12" w:rsidR="00CD67EE">
        <w:rPr>
          <w:lang w:val="es-PE"/>
        </w:rPr>
        <w:t xml:space="preserve"> (en adelante, el reclamante) interpone reclamación ante esta Defensoría del Asegurado (DEFASEG), solicitando que </w:t>
      </w:r>
      <w:r w:rsidRPr="3D863E12" w:rsidR="0E95AB41">
        <w:rPr>
          <w:b w:val="1"/>
          <w:bCs w:val="1"/>
          <w:lang w:val="es-PE"/>
        </w:rPr>
        <w:t>................................................................................</w:t>
      </w:r>
      <w:r w:rsidRPr="3D863E12" w:rsidR="00CD67EE">
        <w:rPr>
          <w:b w:val="1"/>
          <w:bCs w:val="1"/>
          <w:lang w:val="es-PE"/>
        </w:rPr>
        <w:t xml:space="preserve">.  </w:t>
      </w:r>
      <w:r w:rsidRPr="3D863E12" w:rsidR="00CD67EE">
        <w:rPr>
          <w:lang w:val="es-PE"/>
        </w:rPr>
        <w:t>(en adelante, la aseguradora)</w:t>
      </w:r>
      <w:r w:rsidRPr="3D863E12" w:rsidR="00CD67EE">
        <w:rPr>
          <w:b w:val="1"/>
          <w:bCs w:val="1"/>
          <w:lang w:val="es-PE"/>
        </w:rPr>
        <w:t xml:space="preserve"> </w:t>
      </w:r>
      <w:r w:rsidRPr="3D863E12" w:rsidR="00CD67EE">
        <w:rPr>
          <w:lang w:val="es-PE"/>
        </w:rPr>
        <w:t xml:space="preserve">otorgue cobertura al siniestro originado en el accidente de tránsito del 25 de junio de 2022 en el que participara el vehículo asegurado de placa </w:t>
      </w:r>
      <w:r w:rsidRPr="3D863E12" w:rsidR="34B86535">
        <w:rPr>
          <w:lang w:val="es-PE"/>
        </w:rPr>
        <w:t>...................</w:t>
      </w:r>
      <w:r w:rsidRPr="3D863E12" w:rsidR="00CD67EE">
        <w:rPr>
          <w:lang w:val="es-PE"/>
        </w:rPr>
        <w:t xml:space="preserve"> (en adelante, el vehículo), conforme a la Póliza</w:t>
      </w:r>
      <w:r w:rsidRPr="3D863E12" w:rsidR="00CD67EE">
        <w:rPr>
          <w:lang w:val="es-PE"/>
        </w:rPr>
        <w:t xml:space="preserve"> de seguro de vehículos </w:t>
      </w:r>
      <w:r>
        <w:br/>
      </w:r>
      <w:r w:rsidRPr="3D863E12" w:rsidR="00CD67EE">
        <w:rPr>
          <w:lang w:val="es-PE"/>
        </w:rPr>
        <w:t>N°</w:t>
      </w:r>
      <w:r w:rsidRPr="3D863E12" w:rsidR="00CD67EE">
        <w:rPr>
          <w:lang w:val="es-PE"/>
        </w:rPr>
        <w:t xml:space="preserve"> </w:t>
      </w:r>
      <w:r w:rsidRPr="3D863E12" w:rsidR="6A69A1C3">
        <w:rPr>
          <w:lang w:val="es-PE"/>
        </w:rPr>
        <w:t>........................</w:t>
      </w:r>
      <w:r w:rsidRPr="3D863E12" w:rsidR="00CD67EE">
        <w:rPr>
          <w:lang w:val="es-PE"/>
        </w:rPr>
        <w:t xml:space="preserve"> </w:t>
      </w:r>
      <w:r w:rsidRPr="3D863E12" w:rsidR="00CD67EE">
        <w:rPr>
          <w:lang w:val="es-PE"/>
        </w:rPr>
        <w:t>(en adelante, la póliza).</w:t>
      </w:r>
    </w:p>
    <w:p w:rsidRPr="00CD67EE" w:rsidR="00CD67EE" w:rsidP="00CD67EE" w:rsidRDefault="00CD67EE" w14:paraId="6A0B720A" w14:textId="77777777">
      <w:pPr>
        <w:jc w:val="both"/>
        <w:rPr>
          <w:lang w:val="es-PE"/>
        </w:rPr>
      </w:pPr>
    </w:p>
    <w:p w:rsidRPr="00CD67EE" w:rsidR="00CD67EE" w:rsidP="00CD67EE" w:rsidRDefault="00CD67EE" w14:paraId="5422D89A" w14:textId="77777777">
      <w:pPr>
        <w:jc w:val="both"/>
        <w:rPr>
          <w:lang w:val="es-PE"/>
        </w:rPr>
      </w:pPr>
      <w:r w:rsidRPr="00CD67EE">
        <w:rPr>
          <w:lang w:val="es-PE"/>
        </w:rPr>
        <w:t>Que, la señalada reclamación cumple con los requisitos de materia, cuantía y oportunidad establecidos en el Reglamento de la DEFASEG (http://www.defaseg.com.pe/reglamento);</w:t>
      </w:r>
    </w:p>
    <w:p w:rsidRPr="00CD67EE" w:rsidR="00CD67EE" w:rsidP="00CD67EE" w:rsidRDefault="00CD67EE" w14:paraId="57DC6628" w14:textId="77777777">
      <w:pPr>
        <w:jc w:val="both"/>
        <w:rPr>
          <w:lang w:val="es-PE"/>
        </w:rPr>
      </w:pPr>
    </w:p>
    <w:p w:rsidRPr="00CD67EE" w:rsidR="00CD67EE" w:rsidP="00CD67EE" w:rsidRDefault="00CD67EE" w14:paraId="3D48010C" w14:textId="77777777">
      <w:pPr>
        <w:jc w:val="both"/>
        <w:rPr>
          <w:lang w:val="es-PE"/>
        </w:rPr>
      </w:pPr>
      <w:r w:rsidRPr="00CD67EE">
        <w:rPr>
          <w:lang w:val="es-PE"/>
        </w:rPr>
        <w:t>Que, habiéndosele corrido traslado de la respectiva reclamación, la aseguradora presentó sus respectivos descargos y la documentación solicitada;</w:t>
      </w:r>
    </w:p>
    <w:p w:rsidRPr="00CD67EE" w:rsidR="00CD67EE" w:rsidP="00CD67EE" w:rsidRDefault="00CD67EE" w14:paraId="0E5CEE26" w14:textId="77777777">
      <w:pPr>
        <w:jc w:val="both"/>
        <w:rPr>
          <w:lang w:val="es-PE"/>
        </w:rPr>
      </w:pPr>
    </w:p>
    <w:p w:rsidRPr="00CD67EE" w:rsidR="00CD67EE" w:rsidP="00CD67EE" w:rsidRDefault="00CD67EE" w14:paraId="1E28D18B" w14:textId="77777777">
      <w:pPr>
        <w:jc w:val="both"/>
        <w:rPr>
          <w:lang w:val="es-PE"/>
        </w:rPr>
      </w:pPr>
      <w:r w:rsidRPr="00CD67EE">
        <w:rPr>
          <w:lang w:val="es-PE"/>
        </w:rPr>
        <w:t>Que, el 21 de octubre de 2024 se realizó la audiencia virtual de vista con la concurrencia de ambas partes, quienes tuvieron oportunidad de exponer sus respectivas posiciones tratándose de la materia reclamada, absolviendo las diversas preguntas que les fueron formuladas;</w:t>
      </w:r>
    </w:p>
    <w:p w:rsidRPr="00CD67EE" w:rsidR="00CD67EE" w:rsidP="00CD67EE" w:rsidRDefault="00CD67EE" w14:paraId="1EFB7BA5" w14:textId="77777777">
      <w:pPr>
        <w:jc w:val="both"/>
        <w:rPr>
          <w:lang w:val="es-PE"/>
        </w:rPr>
      </w:pPr>
    </w:p>
    <w:p w:rsidRPr="00CD67EE" w:rsidR="00CD67EE" w:rsidP="00CD67EE" w:rsidRDefault="00CD67EE" w14:paraId="30C31A9F" w14:textId="77777777">
      <w:pPr>
        <w:jc w:val="both"/>
      </w:pPr>
      <w:r w:rsidRPr="00CD67EE">
        <w:t xml:space="preserve">Que, en síntesis, el reclamante manifiesta lo siguiente: a) el </w:t>
      </w:r>
      <w:r w:rsidRPr="00CD67EE">
        <w:rPr>
          <w:lang w:val="es-PE"/>
        </w:rPr>
        <w:t xml:space="preserve">25 de marzo de 2022, contrató a la aseguradora para que le brinde el servicio de Seguros Patrimoniales y Personales; b) el 25 de junio de 2022, se reportó a la aseguradora el accidente de tránsito del vehículo en Arequipa; no obstante, el 21 de julio de 2022, la aseguradora envió la carta de rechazo de la solicitud de activación de cobertura de la póliza; c) el mencionado rechazo ya había sido comunicado al bróker en una reunión previa, donde le informaron que la documentación presentada es suficiente para rechazar la cobertura, pero, en cumplimiento de la Ley de Seguros habían solicitado la entrega del Informe Policial para emitir un pronunciamiento formal; d) el 12 de setiembre de 2022, el reclamante presentó una carta donde precisaba que el conductor del vehículo había realizado un adelantamiento indebido, pues en la vía en la que sucedió el accidente era de dos carriles y de tránsito en un solo sentido. Por ello, correspondería una Infracción “G01 Adelantar o sobrepasar en indebida a otro vehículo”, la misma que es una infracción “grave”, por tanto, corresponde que la aseguradora active la cobertura del seguro; e) 08 meses después de la presentación de la carta del reclamante, el 23 de mayo de 2023, la aseguradora se limitó a repetir lo señalado en su carta de rechazo del 21 de julio, sin adjuntar algún documento que acredite haberse configurado un supuesto de infracción “muy grave”; f) según la información remitida por el bróker, ya existía la intención de la aseguradora de rechazar la cobertura, aunque no existía el Informe policial final. Además, en un accidente vehicular, el conductor con las lesiones ocasionadas puede quedar susceptible y firmar declaraciones estando aún aturdido por el impacto; g) el artículo 12 de las Condiciones Generales, el contratante podrá presentar sus quejas y/o reclamos, los mismos que deberán ser atendidos en un plazo máximo de 30 días desde su recepción, sin embargo, la aseguradora dilató su respuesta por 8 meses; h) la aseguradora menciona que no se aprobó la cobertura porque, de acuerdo con el acta de intervención policial, el conductor del vehículo accidentado refiere que, al sobrepasar a otro vehículo, </w:t>
      </w:r>
      <w:r w:rsidRPr="00CD67EE">
        <w:rPr>
          <w:lang w:val="es-PE"/>
        </w:rPr>
        <w:lastRenderedPageBreak/>
        <w:t xml:space="preserve">generó el accidente de tránsito. Por lo tanto, al invadir y circular por el carril contrario se concluyó que habría incurrido en una infracción “MUY GRAVE”; i) en su segunda carta (remitida fuera de plazo), la aseguradora indica que el siniestro ocurrió en una vía de doble sentido de circulación y se encontraba separada por una doble línea amarilla continua, por lo que estaba restringido cualquier adelanto; j) el artículo 2 del Decreto Supremo </w:t>
      </w:r>
      <w:proofErr w:type="spellStart"/>
      <w:r w:rsidRPr="00CD67EE">
        <w:rPr>
          <w:lang w:val="es-PE"/>
        </w:rPr>
        <w:t>N°</w:t>
      </w:r>
      <w:proofErr w:type="spellEnd"/>
      <w:r w:rsidRPr="00CD67EE">
        <w:rPr>
          <w:lang w:val="es-PE"/>
        </w:rPr>
        <w:t xml:space="preserve"> 016-2009-MTC “TUO del Reglamento Nacional de Tránsito-Código de Tránsito” define como adelantar como “la maniobra mediante la cual un vehículo se sitúa delante de otro que lo antecede, utilizando el carril de la izquierda a su posición, salvo excepciones. Asimismo, define que sobrepasar es “la maniobra mediante la cual un vehículo adelanta a otro que transita por distinto carril”; k) el literal a) del artículo 25 del Código de Tránsito, referido a Reglas Generales, establece que el sobrepaso o adelantamiento de un vehículo en movimiento “se efectúa salvo excepciones por la izquierda, retornando el vehículo después de la maniobra a su carril original”; l) atendiendo a lo indicado previamente correspondería la infracción G01: Adelantar o sobrepasar en forma indebida a otro vehículo, lo que correspondería a una infracción GRAVE; m) de acuerdo con el Acta de intervención, el conductor del vehículo accidentado refiere que al sobrepasar a otros vehículos generó el accidente de tránsito; n) debe tomarse en cuenta que en una carretera el tránsito es fluido, por lo que no puede constituirse la causa de “circulación en sentido contrario”, ya que resulta ilógico que, en este tipo de vía, con carga pesada y a la hora del siniestro se puede transitar en sentido contrario.</w:t>
      </w:r>
    </w:p>
    <w:p w:rsidRPr="00CD67EE" w:rsidR="00CD67EE" w:rsidP="00CD67EE" w:rsidRDefault="00CD67EE" w14:paraId="47E109A6" w14:textId="77777777">
      <w:pPr>
        <w:jc w:val="both"/>
      </w:pPr>
    </w:p>
    <w:p w:rsidRPr="00CD67EE" w:rsidR="00CD67EE" w:rsidP="00CD67EE" w:rsidRDefault="00CD67EE" w14:paraId="1F3BEE83" w14:textId="77777777">
      <w:pPr>
        <w:jc w:val="both"/>
        <w:rPr>
          <w:lang w:val="es-PE"/>
        </w:rPr>
      </w:pPr>
      <w:r w:rsidRPr="00CD67EE">
        <w:t xml:space="preserve">Que, por su parte, la aseguradora sustenta su posición resumidamente en lo siguiente: a) el </w:t>
      </w:r>
      <w:r w:rsidRPr="00CD67EE">
        <w:rPr>
          <w:lang w:val="es-PE"/>
        </w:rPr>
        <w:t>reclamante ha solicitado el pago de la indemnización correspondiente por el siniestro ocurrido el 25 de junio de 2022. La aseguradora, el 21 de julio de 2022, comunicó la negativa de activación de la cobertura, en base a lo estipulado en la póliza vehicular; b) el reclamante, tras la negativa de la aseguradora presentó una carta el 12 de septiembre de 2022, argumentando que la maniobra realizada por el conductor del vehículo fue un adelantamiento indebido, no una circulación en sentido contrario. Por lo tanto, esto sería una infracción "grave" (G01) y la Aseguradora debe activar la cobertura del seguro; c) el reclamante tenía un seguro vehicular vigente desde el 18 de abril de 2022 hasta el 18 de abril de 2023. La póliza incluía coberturas específicas para eventuales siniestros. El reclamante ha reconocido haber recibido la Póliza y estar al tanto de sus condiciones generales, particulares y exclusiones, habiendo citado a la Póliza en sus reclamos; d) mediante comunicación del 06 de julio de 2022, dentro del plazo legal, la aseguradora procedió a rechazar el siniestro, conforme a los términos del contrato; e) el reclamante presentó una solicitud de reconsideración del rechazo el 15 de septiembre de 2022. El 23 de mayo de 2023, la aseguradora reiteró el rechazo previamente comunicado, manteniendo su postura basada en la infracción grave cometida y las exclusiones de la póliza; f) si bien el reclamante afirma que no se habría remitido el rechazo dentro del plazo establecido, la Defensoría del Asegurado no tiene competencia para abordar cuestiones relacionadas con la idoneidad del servicio o las conductas sancionables bajo el Código de Protección y Defensa al Consumidor; g) si el escrito referido por el reclamante hubiera sido una reconsideración, tampoco existe normativamente ningún plazo estimado de respuesta; máxime que, la carta de rechazo inicial sí fue dentro del plazo legal;</w:t>
      </w:r>
    </w:p>
    <w:p w:rsidRPr="00CD67EE" w:rsidR="00CD67EE" w:rsidP="00CD67EE" w:rsidRDefault="00CD67EE" w14:paraId="5939DCD3" w14:textId="77777777">
      <w:pPr>
        <w:jc w:val="both"/>
      </w:pPr>
    </w:p>
    <w:p w:rsidR="00CD67EE" w:rsidP="00CD67EE" w:rsidRDefault="00CD67EE" w14:paraId="0B4A36A2" w14:textId="77777777">
      <w:pPr>
        <w:jc w:val="both"/>
        <w:rPr>
          <w:b/>
          <w:bCs/>
        </w:rPr>
      </w:pPr>
    </w:p>
    <w:p w:rsidR="00CD67EE" w:rsidP="00CD67EE" w:rsidRDefault="00CD67EE" w14:paraId="647C0F0F" w14:textId="77777777">
      <w:pPr>
        <w:jc w:val="both"/>
        <w:rPr>
          <w:b/>
          <w:bCs/>
        </w:rPr>
      </w:pPr>
    </w:p>
    <w:p w:rsidR="00CD67EE" w:rsidP="00CD67EE" w:rsidRDefault="00CD67EE" w14:paraId="5CBBCDEC" w14:textId="77777777">
      <w:pPr>
        <w:jc w:val="both"/>
        <w:rPr>
          <w:b/>
          <w:bCs/>
        </w:rPr>
      </w:pPr>
    </w:p>
    <w:p w:rsidRPr="00CD67EE" w:rsidR="00CD67EE" w:rsidP="00CD67EE" w:rsidRDefault="00CD67EE" w14:paraId="1BD95E33" w14:textId="065A9968">
      <w:pPr>
        <w:jc w:val="both"/>
      </w:pPr>
      <w:r w:rsidRPr="00CD67EE">
        <w:rPr>
          <w:b/>
          <w:bCs/>
        </w:rPr>
        <w:lastRenderedPageBreak/>
        <w:t>CONSIDERANDO:</w:t>
      </w:r>
    </w:p>
    <w:p w:rsidRPr="00CD67EE" w:rsidR="00CD67EE" w:rsidP="00CD67EE" w:rsidRDefault="00CD67EE" w14:paraId="7CFF924E" w14:textId="77777777">
      <w:pPr>
        <w:jc w:val="both"/>
      </w:pPr>
      <w:r w:rsidRPr="00CD67EE">
        <w:t> </w:t>
      </w:r>
    </w:p>
    <w:p w:rsidRPr="00CD67EE" w:rsidR="00CD67EE" w:rsidP="00CD67EE" w:rsidRDefault="00CD67EE" w14:paraId="739CBAFC" w14:textId="77777777">
      <w:pPr>
        <w:jc w:val="both"/>
        <w:rPr>
          <w:lang w:val="es-PE"/>
        </w:rPr>
      </w:pPr>
      <w:r w:rsidRPr="00CD67EE">
        <w:rPr>
          <w:b/>
          <w:u w:val="single"/>
          <w:lang w:val="es-PE"/>
        </w:rPr>
        <w:t>Primero</w:t>
      </w:r>
      <w:r w:rsidRPr="00CD67EE">
        <w:rPr>
          <w:b/>
          <w:lang w:val="es-PE"/>
        </w:rPr>
        <w:t xml:space="preserve">: </w:t>
      </w:r>
      <w:r w:rsidRPr="00CD67EE">
        <w:rPr>
          <w:lang w:val="es-PE"/>
        </w:rPr>
        <w:t>Conforme a su Reglamento, la</w:t>
      </w:r>
      <w:r w:rsidRPr="00CD67EE">
        <w:rPr>
          <w:b/>
          <w:bCs/>
          <w:lang w:val="es-PE"/>
        </w:rPr>
        <w:t xml:space="preserve"> </w:t>
      </w:r>
      <w:r w:rsidRPr="00CD67E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D67EE" w:rsidR="00CD67EE" w:rsidP="00CD67EE" w:rsidRDefault="00CD67EE" w14:paraId="5EBE511A" w14:textId="77777777">
      <w:pPr>
        <w:jc w:val="both"/>
        <w:rPr>
          <w:bCs/>
        </w:rPr>
      </w:pPr>
    </w:p>
    <w:p w:rsidRPr="00CD67EE" w:rsidR="00CD67EE" w:rsidP="00CD67EE" w:rsidRDefault="00CD67EE" w14:paraId="463A4084" w14:textId="77777777">
      <w:pPr>
        <w:jc w:val="both"/>
        <w:rPr>
          <w:bCs/>
          <w:lang w:val="es-PE"/>
        </w:rPr>
      </w:pPr>
      <w:r w:rsidRPr="00CD67EE">
        <w:rPr>
          <w:b/>
          <w:bCs/>
          <w:u w:val="single"/>
          <w:lang w:val="es-PE"/>
        </w:rPr>
        <w:t>Segundo</w:t>
      </w:r>
      <w:r w:rsidRPr="00CD67EE">
        <w:rPr>
          <w:b/>
          <w:bCs/>
          <w:lang w:val="es-PE"/>
        </w:rPr>
        <w:t>:</w:t>
      </w:r>
      <w:r w:rsidRPr="00CD67EE">
        <w:rPr>
          <w:bCs/>
          <w:lang w:val="es-PE"/>
        </w:rPr>
        <w:t xml:space="preserve"> </w:t>
      </w:r>
      <w:r w:rsidRPr="00CD67EE">
        <w:rPr>
          <w:lang w:val="es-PE"/>
        </w:rPr>
        <w:t xml:space="preserve">Asimismo, de acuerdo a </w:t>
      </w:r>
      <w:r w:rsidRPr="00CD67E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D67EE" w:rsidR="00CD67EE" w:rsidP="00CD67EE" w:rsidRDefault="00CD67EE" w14:paraId="43C9DB46" w14:textId="77777777">
      <w:pPr>
        <w:jc w:val="both"/>
        <w:rPr>
          <w:lang w:val="es-PE"/>
        </w:rPr>
      </w:pPr>
    </w:p>
    <w:p w:rsidRPr="00CD67EE" w:rsidR="00CD67EE" w:rsidP="00CD67EE" w:rsidRDefault="00CD67EE" w14:paraId="31EDE5AC" w14:textId="77777777">
      <w:pPr>
        <w:jc w:val="both"/>
      </w:pPr>
      <w:r w:rsidRPr="00CD67EE">
        <w:rPr>
          <w:b/>
          <w:bCs/>
          <w:u w:val="single"/>
          <w:lang w:val="es-PE"/>
        </w:rPr>
        <w:t>Tercero</w:t>
      </w:r>
      <w:r w:rsidRPr="00CD67EE">
        <w:rPr>
          <w:b/>
          <w:bCs/>
          <w:lang w:val="es-PE"/>
        </w:rPr>
        <w:t>:</w:t>
      </w:r>
      <w:r w:rsidRPr="00CD67EE">
        <w:rPr>
          <w:lang w:val="es-PE"/>
        </w:rPr>
        <w:t xml:space="preserve"> Que, de acuerdo a la Ley Nro. </w:t>
      </w:r>
      <w:r w:rsidRPr="00CD67EE">
        <w:t xml:space="preserve">29946 – Ley del Contrato de Seguro, norma legal vigente con ocasión de la celebración del contrato al cual se contrae el presente caso, </w:t>
      </w:r>
      <w:r w:rsidRPr="00CD67E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D67EE" w:rsidR="00CD67EE" w:rsidP="00CD67EE" w:rsidRDefault="00CD67EE" w14:paraId="0E90B7C7" w14:textId="77777777">
      <w:pPr>
        <w:jc w:val="both"/>
        <w:rPr>
          <w:b/>
          <w:u w:val="single"/>
          <w:lang w:val="es-PE"/>
        </w:rPr>
      </w:pPr>
    </w:p>
    <w:p w:rsidRPr="00CD67EE" w:rsidR="00CD67EE" w:rsidP="00CD67EE" w:rsidRDefault="00CD67EE" w14:paraId="60E6FAEC" w14:textId="77777777">
      <w:pPr>
        <w:jc w:val="both"/>
        <w:rPr>
          <w:lang w:val="es-PE"/>
        </w:rPr>
      </w:pPr>
      <w:r w:rsidRPr="00CD67EE">
        <w:rPr>
          <w:b/>
          <w:u w:val="single"/>
          <w:lang w:val="es-PE"/>
        </w:rPr>
        <w:t>Cuarto</w:t>
      </w:r>
      <w:r w:rsidRPr="00CD67EE">
        <w:rPr>
          <w:b/>
          <w:lang w:val="es-PE"/>
        </w:rPr>
        <w:t>:</w:t>
      </w:r>
      <w:r w:rsidRPr="00CD67E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D67EE" w:rsidR="00CD67EE" w:rsidP="00CD67EE" w:rsidRDefault="00CD67EE" w14:paraId="18352154" w14:textId="77777777">
      <w:pPr>
        <w:jc w:val="both"/>
        <w:rPr>
          <w:bCs/>
        </w:rPr>
      </w:pPr>
    </w:p>
    <w:p w:rsidRPr="00CD67EE" w:rsidR="00CD67EE" w:rsidP="00CD67EE" w:rsidRDefault="00CD67EE" w14:paraId="494C5514" w14:textId="77777777">
      <w:pPr>
        <w:jc w:val="both"/>
      </w:pPr>
      <w:r w:rsidRPr="00CD67EE">
        <w:rPr>
          <w:b/>
          <w:bCs/>
          <w:u w:val="single"/>
          <w:lang w:val="es-PE"/>
        </w:rPr>
        <w:t>Quinto</w:t>
      </w:r>
      <w:r w:rsidRPr="00CD67EE">
        <w:rPr>
          <w:b/>
          <w:bCs/>
          <w:lang w:val="es-PE"/>
        </w:rPr>
        <w:t xml:space="preserve">: </w:t>
      </w:r>
      <w:r w:rsidRPr="00CD67EE">
        <w:rPr>
          <w:lang w:val="es-PE"/>
        </w:rPr>
        <w:t>Que, conforme al</w:t>
      </w:r>
      <w:r w:rsidRPr="00CD67EE">
        <w:rPr>
          <w:b/>
          <w:bCs/>
          <w:lang w:val="es-PE"/>
        </w:rPr>
        <w:t xml:space="preserve"> </w:t>
      </w:r>
      <w:r w:rsidRPr="00CD67E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D67EE" w:rsidR="00CD67EE" w:rsidP="00CD67EE" w:rsidRDefault="00CD67EE" w14:paraId="1068B7A3" w14:textId="77777777">
      <w:pPr>
        <w:jc w:val="both"/>
      </w:pPr>
    </w:p>
    <w:p w:rsidRPr="00CD67EE" w:rsidR="00CD67EE" w:rsidP="00CD67EE" w:rsidRDefault="00CD67EE" w14:paraId="1C5993C0" w14:textId="77777777">
      <w:pPr>
        <w:jc w:val="both"/>
      </w:pPr>
      <w:r w:rsidRPr="00CD67EE">
        <w:rPr>
          <w:b/>
          <w:bCs/>
          <w:u w:val="single"/>
          <w:lang w:val="es-PE"/>
        </w:rPr>
        <w:t>Sexto</w:t>
      </w:r>
      <w:r w:rsidRPr="00CD67EE">
        <w:rPr>
          <w:b/>
          <w:bCs/>
          <w:lang w:val="es-PE"/>
        </w:rPr>
        <w:t xml:space="preserve">: </w:t>
      </w:r>
      <w:r w:rsidRPr="00CD67EE">
        <w:rPr>
          <w:lang w:val="es-PE"/>
        </w:rPr>
        <w:t>Que, sin perjuicio de lo indicado y el recuento de argumentos de las partes</w:t>
      </w:r>
      <w:r w:rsidRPr="00CD67EE">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CD67EE">
        <w:rPr>
          <w:lang w:val="es-PE"/>
        </w:rPr>
        <w:t>.</w:t>
      </w:r>
    </w:p>
    <w:p w:rsidRPr="00CD67EE" w:rsidR="00CD67EE" w:rsidP="00CD67EE" w:rsidRDefault="00CD67EE" w14:paraId="3385F4AF" w14:textId="77777777">
      <w:pPr>
        <w:jc w:val="both"/>
      </w:pPr>
    </w:p>
    <w:p w:rsidRPr="00CD67EE" w:rsidR="00CD67EE" w:rsidP="00CD67EE" w:rsidRDefault="00CD67EE" w14:paraId="35089F70" w14:textId="77777777">
      <w:pPr>
        <w:jc w:val="both"/>
        <w:rPr>
          <w:bCs/>
        </w:rPr>
      </w:pPr>
      <w:r w:rsidRPr="00CD67EE">
        <w:rPr>
          <w:b/>
          <w:u w:val="single"/>
        </w:rPr>
        <w:t>Sétimo</w:t>
      </w:r>
      <w:r w:rsidRPr="00CD67EE">
        <w:rPr>
          <w:b/>
        </w:rPr>
        <w:t>:</w:t>
      </w:r>
      <w:r w:rsidRPr="00CD67EE">
        <w:rPr>
          <w:b/>
          <w:lang w:val="es-PE"/>
        </w:rPr>
        <w:t xml:space="preserve"> </w:t>
      </w:r>
      <w:r w:rsidRPr="00CD67EE">
        <w:rPr>
          <w:lang w:val="es-PE"/>
        </w:rPr>
        <w:t xml:space="preserve"> </w:t>
      </w:r>
      <w:r w:rsidRPr="00CD67EE">
        <w:rPr>
          <w:bCs/>
        </w:rPr>
        <w:t xml:space="preserve">Que, en el presente caso se discute el rechazo de cobertura realizado por la aseguradora y reseñada en la parte introductoria de la presente resolución. Por ello, en primer lugar, debe determinarse si este se realizó dentro del plazo, para lo que nos remitimos a lo establecido en el artículo 11° del Reglamento para la Gestión y Pago de Siniestros, aprobado mediante Resolución SBS </w:t>
      </w:r>
      <w:proofErr w:type="spellStart"/>
      <w:r w:rsidRPr="00CD67EE">
        <w:rPr>
          <w:bCs/>
        </w:rPr>
        <w:t>N°</w:t>
      </w:r>
      <w:proofErr w:type="spellEnd"/>
      <w:r w:rsidRPr="00CD67EE">
        <w:rPr>
          <w:bCs/>
        </w:rPr>
        <w:t xml:space="preserve"> 3202-2013 (en adelante, el Reglamento):</w:t>
      </w:r>
    </w:p>
    <w:p w:rsidRPr="00CD67EE" w:rsidR="00CD67EE" w:rsidP="00CD67EE" w:rsidRDefault="00CD67EE" w14:paraId="26D95891" w14:textId="77777777">
      <w:pPr>
        <w:jc w:val="both"/>
        <w:rPr>
          <w:bCs/>
        </w:rPr>
      </w:pPr>
    </w:p>
    <w:p w:rsidRPr="00CD67EE" w:rsidR="00CD67EE" w:rsidP="00FA5D1D" w:rsidRDefault="00CD67EE" w14:paraId="7B277416" w14:textId="77777777">
      <w:pPr>
        <w:ind w:left="1440"/>
        <w:jc w:val="both"/>
        <w:rPr>
          <w:b/>
        </w:rPr>
      </w:pPr>
      <w:r w:rsidRPr="00CD67EE">
        <w:rPr>
          <w:b/>
        </w:rPr>
        <w:lastRenderedPageBreak/>
        <w:t>Artículo 11</w:t>
      </w:r>
      <w:proofErr w:type="gramStart"/>
      <w:r w:rsidRPr="00CD67EE">
        <w:rPr>
          <w:b/>
        </w:rPr>
        <w:t>°.-</w:t>
      </w:r>
      <w:proofErr w:type="gramEnd"/>
      <w:r w:rsidRPr="00CD67EE">
        <w:rPr>
          <w:b/>
        </w:rPr>
        <w:t xml:space="preserve"> Liquidación del siniestro cuando no interviene un ajustador </w:t>
      </w:r>
    </w:p>
    <w:p w:rsidR="00CD67EE" w:rsidP="00FA5D1D" w:rsidRDefault="00CD67EE" w14:paraId="339D5FC9" w14:textId="77777777">
      <w:pPr>
        <w:ind w:left="1440"/>
        <w:jc w:val="both"/>
        <w:rPr>
          <w:bCs/>
        </w:rPr>
      </w:pPr>
      <w:r w:rsidRPr="00CD67EE">
        <w:rPr>
          <w:bCs/>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antes señalado; lo que suspenderá el plazo hasta que se presente la documentación e información correspondiente.</w:t>
      </w:r>
    </w:p>
    <w:p w:rsidRPr="00CD67EE" w:rsidR="00CD67EE" w:rsidP="00FA5D1D" w:rsidRDefault="00CD67EE" w14:paraId="37707C29" w14:textId="77777777">
      <w:pPr>
        <w:ind w:left="1440"/>
        <w:jc w:val="both"/>
        <w:rPr>
          <w:bCs/>
        </w:rPr>
      </w:pPr>
      <w:r w:rsidRPr="00CD67EE">
        <w:rPr>
          <w:bCs/>
        </w:rPr>
        <w:t>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conforme a lo señalado en el artículo siguiente.</w:t>
      </w:r>
    </w:p>
    <w:p w:rsidRPr="00CD67EE" w:rsidR="00CD67EE" w:rsidP="00CD67EE" w:rsidRDefault="00CD67EE" w14:paraId="7157F813" w14:textId="77777777">
      <w:pPr>
        <w:jc w:val="both"/>
        <w:rPr>
          <w:bCs/>
        </w:rPr>
      </w:pPr>
    </w:p>
    <w:p w:rsidRPr="00CD67EE" w:rsidR="00CD67EE" w:rsidP="00CD67EE" w:rsidRDefault="00CD67EE" w14:paraId="56D4E02B" w14:textId="77777777">
      <w:pPr>
        <w:jc w:val="both"/>
        <w:rPr>
          <w:bCs/>
        </w:rPr>
      </w:pPr>
      <w:r w:rsidRPr="00CD67EE">
        <w:rPr>
          <w:bCs/>
        </w:rPr>
        <w:t>De este modo, el Reglamento dispone que, una vez que la aseguradora cuente con toda la documentación e información completa, deberán computarse 30 días. En caso dicho plazo transcurra sin pronunciamiento, se entenderá que el siniestro queda como consentido y se procede a su pago.</w:t>
      </w:r>
    </w:p>
    <w:p w:rsidRPr="00CD67EE" w:rsidR="00CD67EE" w:rsidP="00CD67EE" w:rsidRDefault="00CD67EE" w14:paraId="3FA8C7C9" w14:textId="77777777">
      <w:pPr>
        <w:jc w:val="both"/>
        <w:rPr>
          <w:bCs/>
        </w:rPr>
      </w:pPr>
    </w:p>
    <w:p w:rsidRPr="00CD67EE" w:rsidR="00CD67EE" w:rsidP="00CD67EE" w:rsidRDefault="00CD67EE" w14:paraId="49052EA7" w14:textId="7F2B97F6">
      <w:pPr>
        <w:jc w:val="both"/>
        <w:rPr>
          <w:lang w:val="es-PE"/>
        </w:rPr>
      </w:pPr>
      <w:r w:rsidR="00CD67EE">
        <w:rPr/>
        <w:t xml:space="preserve">Ahora bien, según los actuados, se aprecia que la Carta </w:t>
      </w:r>
      <w:r w:rsidRPr="3D863E12" w:rsidR="00CD67EE">
        <w:rPr>
          <w:lang w:val="es-PE"/>
        </w:rPr>
        <w:t xml:space="preserve">LPG.SINIESTROS.AQP </w:t>
      </w:r>
      <w:r>
        <w:br/>
      </w:r>
      <w:r w:rsidRPr="3D863E12" w:rsidR="00CD67EE">
        <w:rPr>
          <w:lang w:val="es-PE"/>
        </w:rPr>
        <w:t>N°</w:t>
      </w:r>
      <w:r w:rsidRPr="3D863E12" w:rsidR="00CD67EE">
        <w:rPr>
          <w:lang w:val="es-PE"/>
        </w:rPr>
        <w:t xml:space="preserve"> </w:t>
      </w:r>
      <w:r w:rsidRPr="3D863E12" w:rsidR="051BA828">
        <w:rPr>
          <w:lang w:val="es-PE"/>
        </w:rPr>
        <w:t>........................</w:t>
      </w:r>
      <w:r w:rsidRPr="3D863E12" w:rsidR="00CD67EE">
        <w:rPr>
          <w:lang w:val="es-PE"/>
        </w:rPr>
        <w:t xml:space="preserve"> (en adelante, la Carta de Rechazo) fue notificada al reclamante el 21 de julio de 2022, tal como ambas partes coinciden. </w:t>
      </w:r>
      <w:r w:rsidRPr="3D863E12" w:rsidR="00CD67EE">
        <w:rPr>
          <w:lang w:val="es-PE"/>
        </w:rPr>
        <w:t>En vista de ello, teniendo en cuenta que tampoco es un hecho controvertido que el siniestro sucede el 25 de junio de 2022, lo cierto es que la Carta de Rechazo se encuentra dentro del plazo establecido en el Reglamento.</w:t>
      </w:r>
    </w:p>
    <w:p w:rsidRPr="00CD67EE" w:rsidR="00CD67EE" w:rsidP="00CD67EE" w:rsidRDefault="00CD67EE" w14:paraId="66DBA531" w14:textId="77777777">
      <w:pPr>
        <w:jc w:val="both"/>
        <w:rPr>
          <w:lang w:val="es-PE"/>
        </w:rPr>
      </w:pPr>
    </w:p>
    <w:p w:rsidRPr="00CD67EE" w:rsidR="00CD67EE" w:rsidP="00CD67EE" w:rsidRDefault="00CD67EE" w14:paraId="135D318E" w14:textId="77777777">
      <w:pPr>
        <w:jc w:val="both"/>
        <w:rPr>
          <w:lang w:val="es-PE"/>
        </w:rPr>
      </w:pPr>
      <w:r w:rsidRPr="00CD67EE">
        <w:rPr>
          <w:lang w:val="es-PE"/>
        </w:rPr>
        <w:t xml:space="preserve">Por otro lado, debemos precisar que, una vez formulado y comunicado el rechazo, todos los actos realizados con posterioridad a ello, no pueden ser analizados ni calificados conforme a los plazos que son exclusivos para la emisión del rechazo (o aceptación) del siniestro. De hecho, tal como se aprecia de la póliza, esta prevé una cláusula específica para atención de quejas y reclamos. En ese sentido, la Carta </w:t>
      </w:r>
      <w:r w:rsidRPr="00CD67EE">
        <w:rPr>
          <w:lang w:val="es-PE"/>
        </w:rPr>
        <w:br/>
      </w:r>
      <w:proofErr w:type="spellStart"/>
      <w:r w:rsidRPr="00CD67EE">
        <w:rPr>
          <w:lang w:val="es-PE"/>
        </w:rPr>
        <w:t>N°</w:t>
      </w:r>
      <w:proofErr w:type="spellEnd"/>
      <w:r w:rsidRPr="00CD67EE">
        <w:rPr>
          <w:lang w:val="es-PE"/>
        </w:rPr>
        <w:t xml:space="preserve"> 486-2022-ITP/OPA (Carta de reconsideración) que cuestiona el rechazo formulado, debe ser analizada a la luz de dicha cláusula y no desde el Reglamento. En resumen, el plazo de atención de la Carta de reconsideración no obsta a que la Carta de Rechazo se encuentre dentro del plazo establecido en el artículo 11° del Reglamento, tal como ya hemos concluido.</w:t>
      </w:r>
    </w:p>
    <w:p w:rsidRPr="00CD67EE" w:rsidR="00CD67EE" w:rsidP="00CD67EE" w:rsidRDefault="00CD67EE" w14:paraId="7942C583" w14:textId="77777777">
      <w:pPr>
        <w:jc w:val="both"/>
        <w:rPr>
          <w:lang w:val="es-PE"/>
        </w:rPr>
      </w:pPr>
    </w:p>
    <w:p w:rsidRPr="00CD67EE" w:rsidR="00CD67EE" w:rsidP="00CD67EE" w:rsidRDefault="00CD67EE" w14:paraId="11A023E2" w14:textId="77777777">
      <w:pPr>
        <w:jc w:val="both"/>
        <w:rPr>
          <w:bCs/>
          <w:lang w:val="es-PE"/>
        </w:rPr>
      </w:pPr>
      <w:r w:rsidRPr="00CD67EE">
        <w:rPr>
          <w:b/>
          <w:u w:val="single"/>
        </w:rPr>
        <w:t>Octavo</w:t>
      </w:r>
      <w:r w:rsidRPr="00CD67EE">
        <w:rPr>
          <w:b/>
        </w:rPr>
        <w:t>:</w:t>
      </w:r>
      <w:r w:rsidRPr="00CD67EE">
        <w:rPr>
          <w:b/>
          <w:lang w:val="es-PE"/>
        </w:rPr>
        <w:t xml:space="preserve"> </w:t>
      </w:r>
      <w:r w:rsidRPr="00CD67EE">
        <w:rPr>
          <w:lang w:val="es-PE"/>
        </w:rPr>
        <w:t xml:space="preserve"> </w:t>
      </w:r>
      <w:r w:rsidRPr="00CD67EE">
        <w:rPr>
          <w:bCs/>
        </w:rPr>
        <w:t xml:space="preserve">Que, habiéndose determinado que la Carta de Rechazo fue notificada dentro del plazo establecido en el artículo 11° del Reglamento, corresponde discutir la legitimidad de los sustentos del rechazo de cobertura realizado por la aseguradora. De este modo, en tanto el rechazo del siniestro, conforme a lo establecido en el artículo 15 del Reglamento, encuentra sustento en lo afirmado en </w:t>
      </w:r>
      <w:r w:rsidRPr="00CD67EE">
        <w:rPr>
          <w:bCs/>
          <w:lang w:val="es-PE"/>
        </w:rPr>
        <w:t>la Carta de Rechazo, nos debemos remitir a esta.</w:t>
      </w:r>
    </w:p>
    <w:p w:rsidR="00CD67EE" w:rsidP="00CD67EE" w:rsidRDefault="00CD67EE" w14:paraId="478D6127" w14:textId="77777777">
      <w:pPr>
        <w:jc w:val="both"/>
        <w:rPr>
          <w:bCs/>
          <w:lang w:val="es-PE"/>
        </w:rPr>
      </w:pPr>
    </w:p>
    <w:p w:rsidR="00FA5D1D" w:rsidP="00CD67EE" w:rsidRDefault="00FA5D1D" w14:paraId="6AED2D40" w14:textId="77777777">
      <w:pPr>
        <w:jc w:val="both"/>
        <w:rPr>
          <w:bCs/>
          <w:lang w:val="es-PE"/>
        </w:rPr>
      </w:pPr>
    </w:p>
    <w:p w:rsidR="00FA5D1D" w:rsidP="00CD67EE" w:rsidRDefault="00FA5D1D" w14:paraId="6BE3FE44" w14:textId="77777777">
      <w:pPr>
        <w:jc w:val="both"/>
        <w:rPr>
          <w:bCs/>
          <w:lang w:val="es-PE"/>
        </w:rPr>
      </w:pPr>
    </w:p>
    <w:p w:rsidRPr="00CD67EE" w:rsidR="00FA5D1D" w:rsidP="00CD67EE" w:rsidRDefault="00FA5D1D" w14:paraId="6EC00E8A" w14:textId="77777777">
      <w:pPr>
        <w:jc w:val="both"/>
        <w:rPr>
          <w:bCs/>
          <w:lang w:val="es-PE"/>
        </w:rPr>
      </w:pPr>
    </w:p>
    <w:p w:rsidRPr="00CD67EE" w:rsidR="00CD67EE" w:rsidP="00CD67EE" w:rsidRDefault="00CD67EE" w14:paraId="15D4FD05" w14:textId="77777777">
      <w:pPr>
        <w:jc w:val="both"/>
        <w:rPr>
          <w:bCs/>
          <w:lang w:val="es-PE"/>
        </w:rPr>
      </w:pPr>
      <w:r w:rsidRPr="00CD67EE">
        <w:rPr>
          <w:bCs/>
          <w:lang w:val="es-PE"/>
        </w:rPr>
        <w:lastRenderedPageBreak/>
        <w:t>Así pues, la Carta de Rechazo afirma lo siguiente:</w:t>
      </w:r>
    </w:p>
    <w:p w:rsidRPr="00CD67EE" w:rsidR="00CD67EE" w:rsidP="00CD67EE" w:rsidRDefault="00CD67EE" w14:paraId="26FB7937" w14:textId="77777777">
      <w:pPr>
        <w:jc w:val="both"/>
        <w:rPr>
          <w:bCs/>
          <w:lang w:val="es-PE"/>
        </w:rPr>
      </w:pPr>
    </w:p>
    <w:p w:rsidRPr="00CD67EE" w:rsidR="00CD67EE" w:rsidP="00CD67EE" w:rsidRDefault="00CD67EE" w14:paraId="18660900" w14:textId="351FD977">
      <w:pPr>
        <w:jc w:val="both"/>
      </w:pPr>
      <w:r w:rsidR="2C83B57E">
        <w:rPr/>
        <w:t>..............................................................................................................................................</w:t>
      </w:r>
    </w:p>
    <w:p w:rsidRPr="00CD67EE" w:rsidR="00CD67EE" w:rsidP="00CD67EE" w:rsidRDefault="00CD67EE" w14:paraId="1D740C8F" w14:textId="77777777">
      <w:pPr>
        <w:jc w:val="both"/>
        <w:rPr>
          <w:bCs/>
          <w:lang w:val="es-PE"/>
        </w:rPr>
      </w:pPr>
    </w:p>
    <w:p w:rsidRPr="00CD67EE" w:rsidR="00CD67EE" w:rsidP="00CD67EE" w:rsidRDefault="00CD67EE" w14:paraId="08128F56" w14:textId="77777777">
      <w:pPr>
        <w:jc w:val="both"/>
        <w:rPr>
          <w:b/>
          <w:bCs/>
        </w:rPr>
      </w:pPr>
    </w:p>
    <w:p w:rsidRPr="00CD67EE" w:rsidR="00CD67EE" w:rsidP="00CD67EE" w:rsidRDefault="00CD67EE" w14:paraId="4B11915C" w14:textId="77777777">
      <w:pPr>
        <w:jc w:val="both"/>
        <w:rPr>
          <w:bCs/>
        </w:rPr>
      </w:pPr>
      <w:r w:rsidRPr="00CD67EE">
        <w:rPr>
          <w:bCs/>
        </w:rPr>
        <w:t>Como vemos, la aseguradora rechaza el pedido de cobertura amparado en la exclusión contenida en el numeral 4.18 del Capítulo IV del Condicionado General de la póliza. Ello, en vista de que, a decir de la aseguradora, el reclamante habría cometido una infracción “muy grave” al Reglamento Nacional de Tránsito, lo que configuraría la exclusión previamente comentada.</w:t>
      </w:r>
    </w:p>
    <w:p w:rsidRPr="00CD67EE" w:rsidR="00CD67EE" w:rsidP="00CD67EE" w:rsidRDefault="00CD67EE" w14:paraId="7C025C52" w14:textId="77777777">
      <w:pPr>
        <w:jc w:val="both"/>
        <w:rPr>
          <w:bCs/>
        </w:rPr>
      </w:pPr>
    </w:p>
    <w:p w:rsidRPr="00CD67EE" w:rsidR="00CD67EE" w:rsidP="00CD67EE" w:rsidRDefault="00CD67EE" w14:paraId="019CB732" w14:textId="77777777">
      <w:pPr>
        <w:jc w:val="both"/>
        <w:rPr>
          <w:bCs/>
        </w:rPr>
      </w:pPr>
      <w:r w:rsidRPr="00CD67EE">
        <w:rPr>
          <w:bCs/>
        </w:rPr>
        <w:t>Ante ello, en resumen, el reclamante afirma que la infracción que corresponde es por adelantar o sobrepasar de forma indebida a otro vehículo. Por ello, la infracción que corresponde aplicarse es “grave”, siendo que la exclusión anotada no se configuraría.</w:t>
      </w:r>
    </w:p>
    <w:p w:rsidRPr="00CD67EE" w:rsidR="00CD67EE" w:rsidP="00CD67EE" w:rsidRDefault="00CD67EE" w14:paraId="742CA0F3" w14:textId="77777777">
      <w:pPr>
        <w:jc w:val="both"/>
        <w:rPr>
          <w:bCs/>
        </w:rPr>
      </w:pPr>
    </w:p>
    <w:p w:rsidRPr="00CD67EE" w:rsidR="00CD67EE" w:rsidP="00CD67EE" w:rsidRDefault="00CD67EE" w14:paraId="6F27756C" w14:textId="199348C6">
      <w:pPr>
        <w:jc w:val="both"/>
        <w:rPr>
          <w:lang w:val="es-PE"/>
        </w:rPr>
      </w:pPr>
      <w:r w:rsidRPr="3D863E12" w:rsidR="00CD67EE">
        <w:rPr>
          <w:b w:val="1"/>
          <w:bCs w:val="1"/>
          <w:u w:val="single"/>
          <w:lang w:val="es-PE"/>
        </w:rPr>
        <w:t>Noveno:</w:t>
      </w:r>
      <w:r w:rsidRPr="3D863E12" w:rsidR="00CD67EE">
        <w:rPr>
          <w:lang w:val="es-PE"/>
        </w:rPr>
        <w:t xml:space="preserve">  Que, debemos tener presente que la controversia, respecto del rechazo, gira en torno a si el vehículo habría invadido un carril con sentido contrario de circulación o si, en su defecto, habría cometido -únicamente- un adelantamiento indebido. Para ello, nos remitimos a los actuados, siendo que se puede apreciar el Registro de Procuración emitido por JPG Consultores y su Segundo Informe Placa </w:t>
      </w:r>
      <w:r w:rsidRPr="3D863E12" w:rsidR="34B86535">
        <w:rPr>
          <w:lang w:val="es-PE"/>
        </w:rPr>
        <w:t>...................</w:t>
      </w:r>
      <w:r w:rsidRPr="3D863E12" w:rsidR="00CD67EE">
        <w:rPr>
          <w:lang w:val="es-PE"/>
        </w:rPr>
        <w:t>, donde se aprecian las siguientes imágenes del lugar de los hechos:</w:t>
      </w:r>
    </w:p>
    <w:p w:rsidRPr="00CD67EE" w:rsidR="00CD67EE" w:rsidP="00CD67EE" w:rsidRDefault="00CD67EE" w14:paraId="57D0B23C" w14:textId="77777777">
      <w:pPr>
        <w:jc w:val="both"/>
        <w:rPr>
          <w:lang w:val="es-PE"/>
        </w:rPr>
      </w:pPr>
    </w:p>
    <w:p w:rsidRPr="00CD67EE" w:rsidR="00CD67EE" w:rsidP="00CD67EE" w:rsidRDefault="00CD67EE" w14:paraId="7C528754" w14:textId="77777777">
      <w:pPr>
        <w:jc w:val="both"/>
        <w:rPr>
          <w:lang w:val="es-PE"/>
        </w:rPr>
      </w:pPr>
    </w:p>
    <w:p w:rsidR="00CD67EE" w:rsidP="28E7E23F" w:rsidRDefault="00CD67EE" w14:paraId="00D61CB3" w14:textId="17A57C1A">
      <w:pPr>
        <w:pStyle w:val="Normal"/>
        <w:jc w:val="both"/>
        <w:rPr>
          <w:lang w:val="es-PE"/>
        </w:rPr>
      </w:pPr>
      <w:r w:rsidRPr="28E7E23F" w:rsidR="304009C5">
        <w:rPr>
          <w:lang w:val="es-PE"/>
        </w:rPr>
        <w:t>.............................................................................................................................................</w:t>
      </w:r>
    </w:p>
    <w:p w:rsidRPr="00CD67EE" w:rsidR="00FA5D1D" w:rsidP="00FA5D1D" w:rsidRDefault="00FA5D1D" w14:paraId="2BADF9B8" w14:textId="77777777">
      <w:pPr>
        <w:jc w:val="both"/>
        <w:rPr>
          <w:lang w:val="es-PE"/>
        </w:rPr>
      </w:pPr>
    </w:p>
    <w:p w:rsidRPr="00CD67EE" w:rsidR="00CD67EE" w:rsidP="00FA5D1D" w:rsidRDefault="00CD67EE" w14:paraId="4EE58F36" w14:textId="0CD624DC">
      <w:pPr>
        <w:jc w:val="center"/>
      </w:pPr>
      <w:r w:rsidR="304009C5">
        <w:rPr/>
        <w:t>.........................................................................................</w:t>
      </w:r>
    </w:p>
    <w:p w:rsidRPr="00CD67EE" w:rsidR="00CD67EE" w:rsidP="00CD67EE" w:rsidRDefault="00CD67EE" w14:paraId="57B3D94A" w14:textId="77777777">
      <w:pPr>
        <w:jc w:val="both"/>
        <w:rPr>
          <w:lang w:val="es-PE"/>
        </w:rPr>
      </w:pPr>
    </w:p>
    <w:p w:rsidRPr="00CD67EE" w:rsidR="00CD67EE" w:rsidP="00CD67EE" w:rsidRDefault="00CD67EE" w14:paraId="29A3E172" w14:textId="77777777">
      <w:pPr>
        <w:jc w:val="both"/>
        <w:rPr>
          <w:lang w:val="es-PE"/>
        </w:rPr>
      </w:pPr>
      <w:r w:rsidRPr="00CD67EE">
        <w:rPr>
          <w:lang w:val="es-PE"/>
        </w:rPr>
        <w:t xml:space="preserve">De ambas imágenes se aprecia que nos encontramos en una vía que cuenta con dos sentidos distintos de circulación. Ello, debido a la línea amarilla que se aprecia en ambas fotografías, entre otras que se aprecian en autos. De este modo, aunado a lo indicado en la Carta de Rechazo, resulta un hecho probado que el accidente sucede en una vía que cuenta </w:t>
      </w:r>
      <w:r w:rsidRPr="00CD67EE">
        <w:rPr>
          <w:lang w:val="es-PE"/>
        </w:rPr>
        <w:lastRenderedPageBreak/>
        <w:t>con dos sentidos de circulación, contrario a lo indicado por el reclamante</w:t>
      </w:r>
      <w:r w:rsidRPr="00CD67EE">
        <w:rPr>
          <w:vertAlign w:val="superscript"/>
          <w:lang w:val="es-PE"/>
        </w:rPr>
        <w:footnoteReference w:id="1"/>
      </w:r>
      <w:r w:rsidRPr="00CD67EE">
        <w:rPr>
          <w:lang w:val="es-PE"/>
        </w:rPr>
        <w:t xml:space="preserve">, quien afirmaba que eran dos carriles de un solo sentido. Así pues, debe destacarse, además, que la circulación en contra del sentido de la vía se encuentra expresamente prohibida por el artículo 134° del Decreto Supremo </w:t>
      </w:r>
      <w:proofErr w:type="spellStart"/>
      <w:r w:rsidRPr="00CD67EE">
        <w:rPr>
          <w:lang w:val="es-PE"/>
        </w:rPr>
        <w:t>N°</w:t>
      </w:r>
      <w:proofErr w:type="spellEnd"/>
      <w:r w:rsidRPr="00CD67EE">
        <w:rPr>
          <w:lang w:val="es-PE"/>
        </w:rPr>
        <w:t xml:space="preserve"> 016-2009-MTC, mediante el que se aprueba el Texto Único Ordenado del Reglamento Nacional de Tránsito - Código de Tránsito (en adelante, TUO del RNT).</w:t>
      </w:r>
    </w:p>
    <w:p w:rsidRPr="00CD67EE" w:rsidR="00CD67EE" w:rsidP="00CD67EE" w:rsidRDefault="00CD67EE" w14:paraId="0F0CAC08" w14:textId="77777777">
      <w:pPr>
        <w:jc w:val="both"/>
        <w:rPr>
          <w:lang w:val="es-PE"/>
        </w:rPr>
      </w:pPr>
    </w:p>
    <w:p w:rsidRPr="00CD67EE" w:rsidR="00CD67EE" w:rsidP="00CD67EE" w:rsidRDefault="00CD67EE" w14:paraId="74306BAC" w14:textId="77777777">
      <w:pPr>
        <w:jc w:val="both"/>
        <w:rPr>
          <w:lang w:val="es-PE"/>
        </w:rPr>
      </w:pPr>
      <w:r w:rsidRPr="00CD67EE">
        <w:rPr>
          <w:lang w:val="es-PE"/>
        </w:rPr>
        <w:t>En conclusión, es menester considerar que la infracción aplicable es la que, de forma específica, coincida con la conducta sancionada; esto es, circular en contra del sentido previsto para la vía. Por lo indicado, el presente Colegiado considera como un hecho acreditado que la infracción cometida es “circular en sentido contrario al tránsito autorizado”, conforme al TUO del RNT y, por tanto, resulta ser una infracción “Muy Grave”.</w:t>
      </w:r>
    </w:p>
    <w:p w:rsidRPr="00CD67EE" w:rsidR="00CD67EE" w:rsidP="00CD67EE" w:rsidRDefault="00CD67EE" w14:paraId="009F8B3E" w14:textId="77777777">
      <w:pPr>
        <w:jc w:val="both"/>
        <w:rPr>
          <w:lang w:val="es-PE"/>
        </w:rPr>
      </w:pPr>
    </w:p>
    <w:p w:rsidRPr="00CD67EE" w:rsidR="00CD67EE" w:rsidP="00CD67EE" w:rsidRDefault="00CD67EE" w14:paraId="03AD706A" w14:textId="77777777">
      <w:pPr>
        <w:jc w:val="both"/>
        <w:rPr>
          <w:lang w:val="es-PE"/>
        </w:rPr>
      </w:pPr>
      <w:r w:rsidRPr="00CD67EE">
        <w:rPr>
          <w:b/>
          <w:u w:val="single"/>
          <w:lang w:val="es-PE"/>
        </w:rPr>
        <w:t>Décimo</w:t>
      </w:r>
      <w:r w:rsidRPr="00CD67EE">
        <w:rPr>
          <w:b/>
          <w:lang w:val="es-PE"/>
        </w:rPr>
        <w:t>:</w:t>
      </w:r>
      <w:r w:rsidRPr="00CD67EE">
        <w:rPr>
          <w:lang w:val="es-PE"/>
        </w:rPr>
        <w:t xml:space="preserve"> Que, habiéndose determinado que nos encontramos ante una infracción “Muy Grave” corresponde que se determine cuál es el efecto de esta respecto de la cobertura requerida por el reclamante. Para ello, nos remitimos a la póliza cuando dispone lo siguiente:</w:t>
      </w:r>
    </w:p>
    <w:p w:rsidRPr="00CD67EE" w:rsidR="00CD67EE" w:rsidP="00CD67EE" w:rsidRDefault="00CD67EE" w14:paraId="2FBE5067" w14:textId="77777777">
      <w:pPr>
        <w:jc w:val="both"/>
        <w:rPr>
          <w:lang w:val="es-PE"/>
        </w:rPr>
      </w:pPr>
    </w:p>
    <w:p w:rsidRPr="00CD67EE" w:rsidR="00CD67EE" w:rsidP="00CD67EE" w:rsidRDefault="00CD67EE" w14:paraId="331F3FBE" w14:textId="77777777">
      <w:pPr>
        <w:jc w:val="both"/>
        <w:rPr>
          <w:lang w:val="es-PE"/>
        </w:rPr>
      </w:pPr>
      <w:r w:rsidRPr="00CD67EE">
        <w:rPr>
          <w:lang w:val="es-PE"/>
        </w:rPr>
        <w:t>4. EXCLUSIONES DEL SEGURO</w:t>
      </w:r>
    </w:p>
    <w:p w:rsidRPr="00CD67EE" w:rsidR="00CD67EE" w:rsidP="00CD67EE" w:rsidRDefault="00CD67EE" w14:paraId="50DD18AD" w14:textId="77777777">
      <w:pPr>
        <w:jc w:val="both"/>
        <w:rPr>
          <w:lang w:val="es-PE"/>
        </w:rPr>
      </w:pPr>
      <w:r w:rsidRPr="00CD67EE">
        <w:rPr>
          <w:lang w:val="es-PE"/>
        </w:rPr>
        <w:t>No se activará ninguna cobertura de la presente póliza en los siguientes supuestos:</w:t>
      </w:r>
    </w:p>
    <w:p w:rsidRPr="00CD67EE" w:rsidR="00CD67EE" w:rsidP="00CD67EE" w:rsidRDefault="00CD67EE" w14:paraId="4D089354" w14:textId="77777777">
      <w:pPr>
        <w:jc w:val="both"/>
        <w:rPr>
          <w:lang w:val="es-PE"/>
        </w:rPr>
      </w:pPr>
      <w:r w:rsidRPr="00CD67EE">
        <w:rPr>
          <w:lang w:val="es-PE"/>
        </w:rPr>
        <w:t>(…)</w:t>
      </w:r>
    </w:p>
    <w:p w:rsidRPr="00CD67EE" w:rsidR="00CD67EE" w:rsidP="00CD67EE" w:rsidRDefault="00CD67EE" w14:paraId="5D08E404" w14:textId="77777777">
      <w:pPr>
        <w:jc w:val="both"/>
        <w:rPr>
          <w:lang w:val="es-PE"/>
        </w:rPr>
      </w:pPr>
      <w:r w:rsidRPr="00CD67EE">
        <w:rPr>
          <w:lang w:val="es-PE"/>
        </w:rPr>
        <w:t>4.18. Infracción muy grave</w:t>
      </w:r>
    </w:p>
    <w:p w:rsidRPr="00CD67EE" w:rsidR="00CD67EE" w:rsidP="00CD67EE" w:rsidRDefault="00CD67EE" w14:paraId="392059E0" w14:textId="77777777">
      <w:pPr>
        <w:jc w:val="both"/>
        <w:rPr>
          <w:lang w:val="es-PE"/>
        </w:rPr>
      </w:pPr>
      <w:r w:rsidRPr="00CD67EE">
        <w:rPr>
          <w:lang w:val="es-PE"/>
        </w:rPr>
        <w:t>Esta póliza no cubre los daños o pérdidas que sufra el vehículo asegurado, así como la responsabilidad civil y demás coberturas, que sean consecuencia de una infracción del conductor de dicho vehículo asegurado calificada como “muy grave” por el Código de Tránsito.</w:t>
      </w:r>
    </w:p>
    <w:p w:rsidRPr="00CD67EE" w:rsidR="00CD67EE" w:rsidP="00CD67EE" w:rsidRDefault="00CD67EE" w14:paraId="2924B9D9" w14:textId="77777777">
      <w:pPr>
        <w:jc w:val="both"/>
        <w:rPr>
          <w:lang w:val="es-PE"/>
        </w:rPr>
      </w:pPr>
      <w:r w:rsidRPr="00CD67EE">
        <w:rPr>
          <w:lang w:val="es-PE"/>
        </w:rPr>
        <w:t>(…)</w:t>
      </w:r>
    </w:p>
    <w:p w:rsidRPr="00CD67EE" w:rsidR="00CD67EE" w:rsidP="00CD67EE" w:rsidRDefault="00CD67EE" w14:paraId="00FA7AA6" w14:textId="77777777">
      <w:pPr>
        <w:jc w:val="both"/>
        <w:rPr>
          <w:lang w:val="es-PE"/>
        </w:rPr>
      </w:pPr>
    </w:p>
    <w:p w:rsidRPr="00CD67EE" w:rsidR="00CD67EE" w:rsidP="00CD67EE" w:rsidRDefault="00CD67EE" w14:paraId="243FEA5A" w14:textId="77777777">
      <w:pPr>
        <w:jc w:val="both"/>
        <w:rPr>
          <w:lang w:val="es-PE"/>
        </w:rPr>
      </w:pPr>
      <w:r w:rsidRPr="00CD67EE">
        <w:rPr>
          <w:lang w:val="es-PE"/>
        </w:rPr>
        <w:t xml:space="preserve">Como vemos, resulta un hecho incontrovertido que existe una exclusión en la póliza que refiere a las consecuencias originadas en la comisión de una infracción calificada como "muy grave”. De este modo, en tanto resulta un hecho no controvertido que las partes son conocedoras de los términos de la póliza, resulta un imperativo que sus consecuencias sean aplicadas en concordancia a esta. </w:t>
      </w:r>
    </w:p>
    <w:p w:rsidRPr="00CD67EE" w:rsidR="00CD67EE" w:rsidP="00CD67EE" w:rsidRDefault="00CD67EE" w14:paraId="430E5371" w14:textId="77777777">
      <w:pPr>
        <w:jc w:val="both"/>
        <w:rPr>
          <w:lang w:val="es-PE"/>
        </w:rPr>
      </w:pPr>
    </w:p>
    <w:p w:rsidRPr="00CD67EE" w:rsidR="00CD67EE" w:rsidP="00CD67EE" w:rsidRDefault="00CD67EE" w14:paraId="17A3E5BD" w14:textId="77777777">
      <w:pPr>
        <w:jc w:val="both"/>
        <w:rPr>
          <w:lang w:val="es-PE"/>
        </w:rPr>
      </w:pPr>
      <w:r w:rsidRPr="00CD67EE">
        <w:rPr>
          <w:lang w:val="es-PE"/>
        </w:rPr>
        <w:t>En conclusión, debido a que se ha acreditado que el reclamante incurrió en una infracción “muy grave”, según el TUO del RNT, corresponde aplicar la exclusión contemplada en la póliza que hemos glosado previamente. Así, el rechazo emitido por la aseguradora resulta legítimo y corresponde a derecho.</w:t>
      </w:r>
    </w:p>
    <w:p w:rsidRPr="00CD67EE" w:rsidR="00CD67EE" w:rsidP="00CD67EE" w:rsidRDefault="00CD67EE" w14:paraId="05B150FD" w14:textId="77777777">
      <w:pPr>
        <w:jc w:val="both"/>
        <w:rPr>
          <w:lang w:val="es-PE"/>
        </w:rPr>
      </w:pPr>
    </w:p>
    <w:p w:rsidRPr="00CD67EE" w:rsidR="00CD67EE" w:rsidP="00CD67EE" w:rsidRDefault="00CD67EE" w14:paraId="7E7CBEC4" w14:textId="77777777">
      <w:pPr>
        <w:jc w:val="both"/>
        <w:rPr>
          <w:b/>
          <w:lang w:val="es-PE"/>
        </w:rPr>
      </w:pPr>
      <w:r w:rsidRPr="00CD67EE">
        <w:rPr>
          <w:b/>
          <w:lang w:val="es-PE"/>
        </w:rPr>
        <w:t xml:space="preserve">Atendiendo a lo expresado, este colegiado </w:t>
      </w:r>
      <w:r w:rsidRPr="00CD67EE">
        <w:rPr>
          <w:b/>
        </w:rPr>
        <w:t>concluye su apreciación razonada y conjunta al amparo de lo establecido en su Reglamento, por lo que</w:t>
      </w:r>
      <w:r w:rsidRPr="00CD67EE">
        <w:rPr>
          <w:b/>
          <w:lang w:val="es-PE"/>
        </w:rPr>
        <w:t xml:space="preserve"> </w:t>
      </w:r>
    </w:p>
    <w:p w:rsidRPr="00CD67EE" w:rsidR="00CD67EE" w:rsidP="00CD67EE" w:rsidRDefault="00CD67EE" w14:paraId="12AF62A3" w14:textId="77777777">
      <w:pPr>
        <w:jc w:val="both"/>
        <w:rPr>
          <w:b/>
          <w:lang w:val="es-PE"/>
        </w:rPr>
      </w:pPr>
    </w:p>
    <w:p w:rsidR="00E25357" w:rsidP="00CD67EE" w:rsidRDefault="00E25357" w14:paraId="5CC1E5E7" w14:textId="77777777">
      <w:pPr>
        <w:jc w:val="both"/>
        <w:rPr>
          <w:b/>
          <w:lang w:val="es-PE"/>
        </w:rPr>
      </w:pPr>
    </w:p>
    <w:p w:rsidR="00E25357" w:rsidP="00CD67EE" w:rsidRDefault="00E25357" w14:paraId="5F14ACFB" w14:textId="77777777">
      <w:pPr>
        <w:jc w:val="both"/>
        <w:rPr>
          <w:b/>
          <w:lang w:val="es-PE"/>
        </w:rPr>
      </w:pPr>
    </w:p>
    <w:p w:rsidR="00E25357" w:rsidP="00CD67EE" w:rsidRDefault="00E25357" w14:paraId="38D69842" w14:textId="77777777">
      <w:pPr>
        <w:jc w:val="both"/>
        <w:rPr>
          <w:b/>
          <w:lang w:val="es-PE"/>
        </w:rPr>
      </w:pPr>
    </w:p>
    <w:p w:rsidRPr="00CD67EE" w:rsidR="00CD67EE" w:rsidP="00CD67EE" w:rsidRDefault="00CD67EE" w14:paraId="6D67BD63" w14:textId="373CF6D8">
      <w:pPr>
        <w:jc w:val="both"/>
        <w:rPr>
          <w:b/>
        </w:rPr>
      </w:pPr>
      <w:r w:rsidRPr="00CD67EE">
        <w:rPr>
          <w:b/>
          <w:lang w:val="es-PE"/>
        </w:rPr>
        <w:lastRenderedPageBreak/>
        <w:t>Resuelve:</w:t>
      </w:r>
    </w:p>
    <w:p w:rsidRPr="00CD67EE" w:rsidR="00CD67EE" w:rsidP="00CD67EE" w:rsidRDefault="00CD67EE" w14:paraId="3FD96551" w14:textId="77777777">
      <w:pPr>
        <w:jc w:val="both"/>
      </w:pPr>
    </w:p>
    <w:p w:rsidRPr="00CD67EE" w:rsidR="00CD67EE" w:rsidP="00CD67EE" w:rsidRDefault="00CD67EE" w14:paraId="1210B310" w14:textId="6B58724D">
      <w:pPr>
        <w:jc w:val="both"/>
        <w:rPr>
          <w:lang w:val="es-PE"/>
        </w:rPr>
      </w:pPr>
      <w:r w:rsidRPr="3D863E12" w:rsidR="00CD67EE">
        <w:rPr>
          <w:lang w:val="es-PE"/>
        </w:rPr>
        <w:t xml:space="preserve">Declarar </w:t>
      </w:r>
      <w:r w:rsidRPr="3D863E12" w:rsidR="00CD67EE">
        <w:rPr>
          <w:b w:val="1"/>
          <w:bCs w:val="1"/>
          <w:lang w:val="es-PE"/>
        </w:rPr>
        <w:t xml:space="preserve">INFUNDADA </w:t>
      </w:r>
      <w:r w:rsidRPr="3D863E12" w:rsidR="00CD67EE">
        <w:rPr>
          <w:lang w:val="es-PE"/>
        </w:rPr>
        <w:t xml:space="preserve">la reclamación interpuesta por </w:t>
      </w:r>
      <w:r w:rsidRPr="3D863E12" w:rsidR="51A39236">
        <w:rPr>
          <w:b w:val="1"/>
          <w:bCs w:val="1"/>
          <w:lang w:val="es-PE"/>
        </w:rPr>
        <w:t>.........................................................................</w:t>
      </w:r>
      <w:r w:rsidRPr="3D863E12" w:rsidR="00CD67EE">
        <w:rPr>
          <w:lang w:val="es-PE"/>
        </w:rPr>
        <w:t xml:space="preserve"> contra </w:t>
      </w:r>
      <w:r w:rsidRPr="3D863E12" w:rsidR="0E95AB41">
        <w:rPr>
          <w:b w:val="1"/>
          <w:bCs w:val="1"/>
          <w:lang w:val="es-PE"/>
        </w:rPr>
        <w:t>................................................................................</w:t>
      </w:r>
      <w:r w:rsidRPr="3D863E12" w:rsidR="00CD67EE">
        <w:rPr>
          <w:b w:val="1"/>
          <w:bCs w:val="1"/>
          <w:lang w:val="es-PE"/>
        </w:rPr>
        <w:t>.</w:t>
      </w:r>
      <w:r w:rsidRPr="3D863E12" w:rsidR="00CD67EE">
        <w:rPr>
          <w:lang w:val="es-PE"/>
        </w:rPr>
        <w:t>, dejando a salvo el derecho de las partes de acudir ante las instancias que estimen pertinentes.</w:t>
      </w:r>
    </w:p>
    <w:p w:rsidRPr="00CD67EE" w:rsidR="00E40C79" w:rsidP="005F4B55" w:rsidRDefault="00E40C79" w14:paraId="3AC09319" w14:textId="77777777">
      <w:pPr>
        <w:jc w:val="both"/>
      </w:pPr>
    </w:p>
    <w:p w:rsidRPr="00CD67EE" w:rsidR="00804FBA" w:rsidP="00804FBA" w:rsidRDefault="00F15FBA" w14:paraId="0B8F9BB3" w14:textId="704B75AA">
      <w:pPr>
        <w:jc w:val="right"/>
        <w:outlineLvl w:val="0"/>
        <w:rPr>
          <w:lang w:val="es-PE"/>
        </w:rPr>
      </w:pPr>
      <w:r w:rsidRPr="00CD67EE">
        <w:rPr>
          <w:lang w:val="es-PE"/>
        </w:rPr>
        <w:t xml:space="preserve">Lima, </w:t>
      </w:r>
      <w:r w:rsidRPr="00CD67EE" w:rsidR="0073373B">
        <w:t>13</w:t>
      </w:r>
      <w:r w:rsidRPr="00CD67EE" w:rsidR="00981056">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748F" w:rsidP="005F148C" w:rsidRDefault="0002748F" w14:paraId="56AA5245" w14:textId="77777777">
      <w:r>
        <w:separator/>
      </w:r>
    </w:p>
  </w:endnote>
  <w:endnote w:type="continuationSeparator" w:id="0">
    <w:p w:rsidR="0002748F" w:rsidP="005F148C" w:rsidRDefault="0002748F" w14:paraId="5B1792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748F" w:rsidP="005F148C" w:rsidRDefault="0002748F" w14:paraId="50946C8D" w14:textId="77777777">
      <w:r>
        <w:separator/>
      </w:r>
    </w:p>
  </w:footnote>
  <w:footnote w:type="continuationSeparator" w:id="0">
    <w:p w:rsidR="0002748F" w:rsidP="005F148C" w:rsidRDefault="0002748F" w14:paraId="6FE25BFB" w14:textId="77777777">
      <w:r>
        <w:continuationSeparator/>
      </w:r>
    </w:p>
  </w:footnote>
  <w:footnote w:id="1">
    <w:p w:rsidR="00CD67EE" w:rsidP="00CD67EE" w:rsidRDefault="00CD67EE" w14:paraId="25B2301A" w14:textId="77777777">
      <w:pPr>
        <w:pStyle w:val="Textonotapie"/>
        <w:rPr>
          <w:lang w:val="es-MX"/>
        </w:rPr>
      </w:pPr>
      <w:r>
        <w:rPr>
          <w:rStyle w:val="Refdenotaalpie"/>
        </w:rPr>
        <w:footnoteRef/>
      </w:r>
      <w:r>
        <w:t xml:space="preserve"> </w:t>
      </w:r>
      <w:r>
        <w:rPr>
          <w:lang w:val="es-MX"/>
        </w:rPr>
        <w:t>Ver numeral 2.3 de su reclamo.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3F73A8"/>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255"/>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3F566A6"/>
    <w:rsid w:val="051BA828"/>
    <w:rsid w:val="0E95AB41"/>
    <w:rsid w:val="0ED9D11B"/>
    <w:rsid w:val="28E7E23F"/>
    <w:rsid w:val="2C83B57E"/>
    <w:rsid w:val="304009C5"/>
    <w:rsid w:val="34B86535"/>
    <w:rsid w:val="3D863E12"/>
    <w:rsid w:val="51A39236"/>
    <w:rsid w:val="5C715783"/>
    <w:rsid w:val="6A69A1C3"/>
    <w:rsid w:val="6D4E2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F0F6F49-B730-4855-85CD-510FE67B9F12}"/>
</file>

<file path=customXml/itemProps3.xml><?xml version="1.0" encoding="utf-8"?>
<ds:datastoreItem xmlns:ds="http://schemas.openxmlformats.org/officeDocument/2006/customXml" ds:itemID="{F614E4A2-DA7B-4D56-A2BB-B7AD6B1E7EF8}"/>
</file>

<file path=customXml/itemProps4.xml><?xml version="1.0" encoding="utf-8"?>
<ds:datastoreItem xmlns:ds="http://schemas.openxmlformats.org/officeDocument/2006/customXml" ds:itemID="{1757E7A2-B1BB-4D3A-B421-73B1F9F5AD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195</cp:revision>
  <cp:lastPrinted>2025-01-20T18:01:00Z</cp:lastPrinted>
  <dcterms:created xsi:type="dcterms:W3CDTF">2023-06-22T13:57:00Z</dcterms:created>
  <dcterms:modified xsi:type="dcterms:W3CDTF">2026-06-24T13:19:44Z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