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F3702" w:rsidP="00CD67EE" w:rsidRDefault="00F15FBA" w14:paraId="30DA3621" w14:textId="489E9CDF">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00</w:t>
      </w:r>
      <w:r w:rsidR="0019343D">
        <w:rPr>
          <w:lang w:val="es-PE"/>
        </w:rPr>
        <w:t>5</w:t>
      </w:r>
      <w:r w:rsidRPr="00CD67EE" w:rsidR="001631D6">
        <w:rPr>
          <w:lang w:val="es-PE"/>
        </w:rPr>
        <w:t>/2</w:t>
      </w:r>
      <w:r w:rsidRPr="00CD67EE" w:rsidR="0073373B">
        <w:rPr>
          <w:lang w:val="es-PE"/>
        </w:rPr>
        <w:t>5</w:t>
      </w:r>
    </w:p>
    <w:p w:rsidRPr="00CD67EE" w:rsidR="00CD67EE" w:rsidP="00CD67EE" w:rsidRDefault="00CD67EE" w14:paraId="514342B2" w14:textId="77777777">
      <w:pPr>
        <w:pStyle w:val="Ttulo"/>
        <w:outlineLvl w:val="0"/>
        <w:rPr>
          <w:lang w:val="es-PE"/>
        </w:rPr>
      </w:pPr>
    </w:p>
    <w:p w:rsidRPr="001662D0" w:rsidR="001662D0" w:rsidP="001662D0" w:rsidRDefault="001662D0" w14:paraId="741887BF" w14:textId="77777777">
      <w:pPr>
        <w:jc w:val="both"/>
        <w:rPr>
          <w:b/>
          <w:bCs/>
        </w:rPr>
      </w:pPr>
    </w:p>
    <w:p w:rsidRPr="005D75EE" w:rsidR="005D75EE" w:rsidP="005D75EE" w:rsidRDefault="005D75EE" w14:paraId="24FA8855" w14:textId="77777777">
      <w:pPr>
        <w:jc w:val="both"/>
        <w:rPr>
          <w:b/>
          <w:bCs/>
        </w:rPr>
      </w:pPr>
    </w:p>
    <w:p w:rsidRPr="005D75EE" w:rsidR="005D75EE" w:rsidP="005D75EE" w:rsidRDefault="005D75EE" w14:paraId="3A4CEDEF" w14:textId="77777777">
      <w:pPr>
        <w:jc w:val="both"/>
      </w:pPr>
      <w:r w:rsidRPr="005D75EE">
        <w:rPr>
          <w:b/>
          <w:bCs/>
        </w:rPr>
        <w:t>VISTOS:</w:t>
      </w:r>
    </w:p>
    <w:p w:rsidRPr="005D75EE" w:rsidR="005D75EE" w:rsidP="005D75EE" w:rsidRDefault="005D75EE" w14:paraId="3450C77C" w14:textId="77777777">
      <w:pPr>
        <w:jc w:val="both"/>
        <w:rPr>
          <w:lang w:val="es-PE"/>
        </w:rPr>
      </w:pPr>
    </w:p>
    <w:p w:rsidRPr="005D75EE" w:rsidR="005D75EE" w:rsidP="005D75EE" w:rsidRDefault="005D75EE" w14:paraId="1A01BBD6" w14:textId="49CF2182">
      <w:pPr>
        <w:jc w:val="both"/>
        <w:rPr>
          <w:lang w:val="es-PE"/>
        </w:rPr>
      </w:pPr>
      <w:r w:rsidRPr="593F53B8" w:rsidR="005D75EE">
        <w:rPr>
          <w:lang w:val="es-PE"/>
        </w:rPr>
        <w:t xml:space="preserve">Que, don </w:t>
      </w:r>
      <w:r w:rsidRPr="593F53B8" w:rsidR="797A2678">
        <w:rPr>
          <w:b w:val="1"/>
          <w:bCs w:val="1"/>
          <w:lang w:val="es-PE"/>
        </w:rPr>
        <w:t>..............................................</w:t>
      </w:r>
      <w:r w:rsidRPr="593F53B8" w:rsidR="005D75EE">
        <w:rPr>
          <w:lang w:val="es-PE"/>
        </w:rPr>
        <w:t xml:space="preserve"> (en adelante, el reclamante) interpone reclamación ante esta Defensoría del Asegurado (DEFASEG), solicitando que </w:t>
      </w:r>
      <w:r w:rsidRPr="593F53B8" w:rsidR="2B3BF5EE">
        <w:rPr>
          <w:b w:val="1"/>
          <w:bCs w:val="1"/>
          <w:lang w:val="es-PE"/>
        </w:rPr>
        <w:t>.........................................................................................................</w:t>
      </w:r>
      <w:r w:rsidRPr="593F53B8" w:rsidR="005D75EE">
        <w:rPr>
          <w:b w:val="1"/>
          <w:bCs w:val="1"/>
          <w:lang w:val="es-PE"/>
        </w:rPr>
        <w:t xml:space="preserve"> </w:t>
      </w:r>
      <w:r w:rsidRPr="593F53B8" w:rsidR="005D75EE">
        <w:rPr>
          <w:lang w:val="es-PE"/>
        </w:rPr>
        <w:t>(en adelante, la aseguradora)</w:t>
      </w:r>
      <w:r w:rsidRPr="593F53B8" w:rsidR="005D75EE">
        <w:rPr>
          <w:b w:val="1"/>
          <w:bCs w:val="1"/>
          <w:lang w:val="es-PE"/>
        </w:rPr>
        <w:t xml:space="preserve"> </w:t>
      </w:r>
      <w:r w:rsidRPr="593F53B8" w:rsidR="005D75EE">
        <w:rPr>
          <w:lang w:val="es-PE"/>
        </w:rPr>
        <w:t xml:space="preserve">otorgue cobertura por concepto de indemnización por muerte y reembolso de sepelio por fallecimiento de su hija, </w:t>
      </w:r>
      <w:r w:rsidRPr="593F53B8" w:rsidR="184B4071">
        <w:rPr>
          <w:lang w:val="es-PE"/>
        </w:rPr>
        <w:t>........................................................</w:t>
      </w:r>
      <w:r w:rsidR="005D75EE">
        <w:rPr/>
        <w:t xml:space="preserve"> (en adelante, la Causante) producto</w:t>
      </w:r>
      <w:r w:rsidRPr="593F53B8" w:rsidR="005D75EE">
        <w:rPr>
          <w:lang w:val="es-PE"/>
        </w:rPr>
        <w:t xml:space="preserve"> del siniestro sufrido el 15 de diciembre de 2023, </w:t>
      </w:r>
      <w:r w:rsidR="005D75EE">
        <w:rPr/>
        <w:t xml:space="preserve">conforme a la Póliza de Seguro Obligatorio de Accidentes de Tránsito </w:t>
      </w:r>
      <w:r>
        <w:br/>
      </w:r>
      <w:r w:rsidRPr="593F53B8" w:rsidR="005D75EE">
        <w:rPr>
          <w:lang w:val="es-PE"/>
        </w:rPr>
        <w:t>N°</w:t>
      </w:r>
      <w:r w:rsidRPr="593F53B8" w:rsidR="005D75EE">
        <w:rPr>
          <w:lang w:val="es-PE"/>
        </w:rPr>
        <w:t xml:space="preserve"> </w:t>
      </w:r>
      <w:r w:rsidRPr="593F53B8" w:rsidR="65335FAA">
        <w:rPr>
          <w:lang w:val="es-PE"/>
        </w:rPr>
        <w:t>...............................</w:t>
      </w:r>
      <w:r w:rsidRPr="593F53B8" w:rsidR="005D75EE">
        <w:rPr>
          <w:lang w:val="es-PE"/>
        </w:rPr>
        <w:t xml:space="preserve"> </w:t>
      </w:r>
      <w:r w:rsidRPr="593F53B8" w:rsidR="005D75EE">
        <w:rPr>
          <w:lang w:val="es-PE"/>
        </w:rPr>
        <w:t>(en adelante, el SOAT).</w:t>
      </w:r>
    </w:p>
    <w:p w:rsidRPr="005D75EE" w:rsidR="005D75EE" w:rsidP="005D75EE" w:rsidRDefault="005D75EE" w14:paraId="4F8FC7C6" w14:textId="77777777">
      <w:pPr>
        <w:jc w:val="both"/>
        <w:rPr>
          <w:lang w:val="es-PE"/>
        </w:rPr>
      </w:pPr>
    </w:p>
    <w:p w:rsidRPr="005D75EE" w:rsidR="005D75EE" w:rsidP="005D75EE" w:rsidRDefault="005D75EE" w14:paraId="59EFD843" w14:textId="77777777">
      <w:pPr>
        <w:jc w:val="both"/>
        <w:rPr>
          <w:lang w:val="es-PE"/>
        </w:rPr>
      </w:pPr>
      <w:r w:rsidRPr="005D75EE">
        <w:rPr>
          <w:lang w:val="es-PE"/>
        </w:rPr>
        <w:t>Que, la señalada reclamación cumple con los requisitos de materia, cuantía y oportunidad establecidos en el Reglamento de la DEFASEG (http://www.defaseg.com.pe/reglamento);</w:t>
      </w:r>
    </w:p>
    <w:p w:rsidRPr="005D75EE" w:rsidR="005D75EE" w:rsidP="005D75EE" w:rsidRDefault="005D75EE" w14:paraId="61485A4E" w14:textId="77777777">
      <w:pPr>
        <w:jc w:val="both"/>
        <w:rPr>
          <w:lang w:val="es-PE"/>
        </w:rPr>
      </w:pPr>
    </w:p>
    <w:p w:rsidRPr="005D75EE" w:rsidR="005D75EE" w:rsidP="005D75EE" w:rsidRDefault="005D75EE" w14:paraId="2FBD459E" w14:textId="77777777">
      <w:pPr>
        <w:jc w:val="both"/>
        <w:rPr>
          <w:lang w:val="es-PE"/>
        </w:rPr>
      </w:pPr>
      <w:r w:rsidRPr="005D75EE">
        <w:rPr>
          <w:lang w:val="es-PE"/>
        </w:rPr>
        <w:t>Que, habiéndosele corrido traslado de la respectiva reclamación, la aseguradora presentó sus respectivos descargos;</w:t>
      </w:r>
    </w:p>
    <w:p w:rsidRPr="005D75EE" w:rsidR="005D75EE" w:rsidP="005D75EE" w:rsidRDefault="005D75EE" w14:paraId="0B248BBA" w14:textId="77777777">
      <w:pPr>
        <w:jc w:val="both"/>
        <w:rPr>
          <w:lang w:val="es-PE"/>
        </w:rPr>
      </w:pPr>
    </w:p>
    <w:p w:rsidRPr="005D75EE" w:rsidR="005D75EE" w:rsidP="005D75EE" w:rsidRDefault="005D75EE" w14:paraId="1411236F" w14:textId="77777777">
      <w:pPr>
        <w:jc w:val="both"/>
        <w:rPr>
          <w:lang w:val="es-PE"/>
        </w:rPr>
      </w:pPr>
      <w:r w:rsidRPr="005D75EE">
        <w:rPr>
          <w:lang w:val="es-PE"/>
        </w:rPr>
        <w:t>Que, el 28 de octubre de 2024 se realizó la audiencia virtual de vista con la concurrencia -únicamente- del representante de la aseguradora, quien tuvo oportunidad de exponer su posición tratándose de la materia reclamada, absolviendo las diversas preguntas que le fueron formuladas;</w:t>
      </w:r>
    </w:p>
    <w:p w:rsidRPr="005D75EE" w:rsidR="005D75EE" w:rsidP="005D75EE" w:rsidRDefault="005D75EE" w14:paraId="70890A06" w14:textId="77777777">
      <w:pPr>
        <w:jc w:val="both"/>
        <w:rPr>
          <w:lang w:val="es-PE"/>
        </w:rPr>
      </w:pPr>
    </w:p>
    <w:p w:rsidRPr="005D75EE" w:rsidR="005D75EE" w:rsidP="005D75EE" w:rsidRDefault="005D75EE" w14:paraId="54528AEE" w14:textId="77777777">
      <w:pPr>
        <w:jc w:val="both"/>
      </w:pPr>
      <w:r w:rsidRPr="005D75EE">
        <w:t xml:space="preserve">Que, en síntesis, el reclamante manifiesta </w:t>
      </w:r>
      <w:r w:rsidRPr="005D75EE">
        <w:rPr>
          <w:lang w:val="es-MX"/>
        </w:rPr>
        <w:t>su pedido de que se reconsidere el rechazo emitido por la aseguradora y pueda recibir indemnización solidaria por parte de esta, ya que la Causante deja en desamparo a dos hijos;</w:t>
      </w:r>
    </w:p>
    <w:p w:rsidRPr="005D75EE" w:rsidR="005D75EE" w:rsidP="005D75EE" w:rsidRDefault="005D75EE" w14:paraId="7DA8A4F3" w14:textId="77777777">
      <w:pPr>
        <w:jc w:val="both"/>
      </w:pPr>
    </w:p>
    <w:p w:rsidRPr="005D75EE" w:rsidR="005D75EE" w:rsidP="005D75EE" w:rsidRDefault="005D75EE" w14:paraId="49CCEBF9" w14:textId="1A203EC3">
      <w:pPr>
        <w:jc w:val="both"/>
        <w:rPr>
          <w:lang w:val="es-PE"/>
        </w:rPr>
      </w:pPr>
      <w:r w:rsidR="005D75EE">
        <w:rPr/>
        <w:t xml:space="preserve">Que, por su parte, la aseguradora sustenta su posición resumidamente en lo siguiente: a) el 15 de diciembre de 2023, ocurrió un accidente de tránsito entre el vehículo de placa </w:t>
      </w:r>
      <w:r w:rsidR="38B51A2A">
        <w:rPr/>
        <w:t>.................</w:t>
      </w:r>
      <w:r w:rsidR="005D75EE">
        <w:rPr/>
        <w:t xml:space="preserve">, que tenía contratada la Póliza de SOAT de la aseguradora, y una moto de placa </w:t>
      </w:r>
      <w:r w:rsidR="0D9EBAAA">
        <w:rPr/>
        <w:t>.................</w:t>
      </w:r>
      <w:r w:rsidR="005D75EE">
        <w:rPr/>
        <w:t xml:space="preserve">, conducida por la Causante; b) como </w:t>
      </w:r>
      <w:r w:rsidRPr="593F53B8" w:rsidR="005D75EE">
        <w:rPr>
          <w:lang w:val="es-PE"/>
        </w:rPr>
        <w:t xml:space="preserve">resultado del accidente, la Causante falleció, tal como se indica en la denuncia policial del 15 de diciembre de 2023; c) el reclamante solicitó activar la cobertura de la póliza, emitida para el vehículo con placa </w:t>
      </w:r>
      <w:r w:rsidRPr="593F53B8" w:rsidR="38B51A2A">
        <w:rPr>
          <w:lang w:val="es-PE"/>
        </w:rPr>
        <w:t>.................</w:t>
      </w:r>
      <w:r w:rsidRPr="593F53B8" w:rsidR="005D75EE">
        <w:rPr>
          <w:lang w:val="es-PE"/>
        </w:rPr>
        <w:t xml:space="preserve">, para cubrir la indemnización por la muerte de la Causante; d) la solicitud se basa en una interpretación errónea, ya que, no tiene responsabilidad directa respecto a terceros no ocupantes del vehículo asegurado, menos aún en cuanto al conductor fallecido en el siniestro; e) por definición, el SOAT cubre solo a los ocupantes del vehículo asegurado y a terceros no ocupantes involucrados en el accidente. Explica que la norma no extiende la cobertura del seguro a ocupantes o conductores de otros vehículos, ya que se presume que estas personas están cubiertas por el SOAT correspondiente a su propio vehículo; f) la Causante, era la conductora del vehículo menor involucrado en el accidente y que no contaba con una póliza de SOAT, según la denuncia policial; g) el artículo 17 del Reglamento del SOAT establece claramente que cada aseguradora es responsable de prestar cobertura únicamente a las personas transportadas en el vehículo que tiene asegurado y a los terceros no ocupantes (como peatones). No existe obligación de cubrir a </w:t>
      </w:r>
      <w:r w:rsidRPr="593F53B8" w:rsidR="005D75EE">
        <w:rPr>
          <w:lang w:val="es-PE"/>
        </w:rPr>
        <w:t>los ocupantes o conductor de un vehículo que no tenga SOAT, ya que ello forzaría una interpretación contraria a la ley;</w:t>
      </w:r>
    </w:p>
    <w:p w:rsidRPr="005D75EE" w:rsidR="005D75EE" w:rsidP="005D75EE" w:rsidRDefault="005D75EE" w14:paraId="5585864C" w14:textId="77777777">
      <w:pPr>
        <w:jc w:val="both"/>
      </w:pPr>
    </w:p>
    <w:p w:rsidRPr="005D75EE" w:rsidR="005D75EE" w:rsidP="005D75EE" w:rsidRDefault="005D75EE" w14:paraId="7E7DFF73" w14:textId="77777777">
      <w:pPr>
        <w:jc w:val="both"/>
      </w:pPr>
      <w:r w:rsidRPr="005D75EE">
        <w:rPr>
          <w:b/>
          <w:bCs/>
        </w:rPr>
        <w:t>CONSIDERANDO:</w:t>
      </w:r>
    </w:p>
    <w:p w:rsidRPr="005D75EE" w:rsidR="005D75EE" w:rsidP="005D75EE" w:rsidRDefault="005D75EE" w14:paraId="42BDE9EB" w14:textId="77777777">
      <w:pPr>
        <w:jc w:val="both"/>
      </w:pPr>
      <w:r w:rsidRPr="005D75EE">
        <w:t> </w:t>
      </w:r>
    </w:p>
    <w:p w:rsidRPr="005D75EE" w:rsidR="005D75EE" w:rsidP="005D75EE" w:rsidRDefault="005D75EE" w14:paraId="0AC3C20D" w14:textId="77777777">
      <w:pPr>
        <w:jc w:val="both"/>
        <w:rPr>
          <w:lang w:val="es-PE"/>
        </w:rPr>
      </w:pPr>
      <w:r w:rsidRPr="005D75EE">
        <w:rPr>
          <w:b/>
          <w:u w:val="single"/>
          <w:lang w:val="es-PE"/>
        </w:rPr>
        <w:t>Primero</w:t>
      </w:r>
      <w:r w:rsidRPr="005D75EE">
        <w:rPr>
          <w:b/>
          <w:lang w:val="es-PE"/>
        </w:rPr>
        <w:t xml:space="preserve">: </w:t>
      </w:r>
      <w:r w:rsidRPr="005D75EE">
        <w:rPr>
          <w:lang w:val="es-PE"/>
        </w:rPr>
        <w:t>Conforme a su Reglamento, la</w:t>
      </w:r>
      <w:r w:rsidRPr="005D75EE">
        <w:rPr>
          <w:b/>
          <w:bCs/>
          <w:lang w:val="es-PE"/>
        </w:rPr>
        <w:t xml:space="preserve"> </w:t>
      </w:r>
      <w:r w:rsidRPr="005D75EE">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5D75EE" w:rsidR="005D75EE" w:rsidP="005D75EE" w:rsidRDefault="005D75EE" w14:paraId="12F832DC" w14:textId="77777777">
      <w:pPr>
        <w:jc w:val="both"/>
        <w:rPr>
          <w:bCs/>
        </w:rPr>
      </w:pPr>
    </w:p>
    <w:p w:rsidRPr="005D75EE" w:rsidR="005D75EE" w:rsidP="005D75EE" w:rsidRDefault="005D75EE" w14:paraId="56C3D5FF" w14:textId="77777777">
      <w:pPr>
        <w:jc w:val="both"/>
        <w:rPr>
          <w:bCs/>
          <w:lang w:val="es-PE"/>
        </w:rPr>
      </w:pPr>
      <w:r w:rsidRPr="005D75EE">
        <w:rPr>
          <w:b/>
          <w:bCs/>
          <w:u w:val="single"/>
          <w:lang w:val="es-PE"/>
        </w:rPr>
        <w:t>Segundo</w:t>
      </w:r>
      <w:r w:rsidRPr="005D75EE">
        <w:rPr>
          <w:b/>
          <w:bCs/>
          <w:lang w:val="es-PE"/>
        </w:rPr>
        <w:t>:</w:t>
      </w:r>
      <w:r w:rsidRPr="005D75EE">
        <w:rPr>
          <w:bCs/>
          <w:lang w:val="es-PE"/>
        </w:rPr>
        <w:t xml:space="preserve"> </w:t>
      </w:r>
      <w:r w:rsidRPr="005D75EE">
        <w:rPr>
          <w:lang w:val="es-PE"/>
        </w:rPr>
        <w:t xml:space="preserve">Asimismo, de acuerdo a </w:t>
      </w:r>
      <w:r w:rsidRPr="005D75E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D75EE" w:rsidR="005D75EE" w:rsidP="005D75EE" w:rsidRDefault="005D75EE" w14:paraId="31F57AB1" w14:textId="77777777">
      <w:pPr>
        <w:jc w:val="both"/>
        <w:rPr>
          <w:lang w:val="es-PE"/>
        </w:rPr>
      </w:pPr>
    </w:p>
    <w:p w:rsidRPr="005D75EE" w:rsidR="005D75EE" w:rsidP="005D75EE" w:rsidRDefault="005D75EE" w14:paraId="3170B716" w14:textId="77777777">
      <w:pPr>
        <w:jc w:val="both"/>
      </w:pPr>
      <w:r w:rsidRPr="005D75EE">
        <w:rPr>
          <w:b/>
          <w:bCs/>
          <w:u w:val="single"/>
          <w:lang w:val="es-PE"/>
        </w:rPr>
        <w:t>Tercero</w:t>
      </w:r>
      <w:r w:rsidRPr="005D75EE">
        <w:rPr>
          <w:b/>
          <w:bCs/>
          <w:lang w:val="es-PE"/>
        </w:rPr>
        <w:t>:</w:t>
      </w:r>
      <w:r w:rsidRPr="005D75EE">
        <w:rPr>
          <w:lang w:val="es-PE"/>
        </w:rPr>
        <w:t xml:space="preserve"> Que, de acuerdo a la Ley Nro. </w:t>
      </w:r>
      <w:r w:rsidRPr="005D75EE">
        <w:t xml:space="preserve">29946 – Ley del Contrato de Seguro, norma legal vigente con ocasión de la celebración del contrato al cual se contrae el presente caso, </w:t>
      </w:r>
      <w:r w:rsidRPr="005D75E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D75EE" w:rsidR="005D75EE" w:rsidP="005D75EE" w:rsidRDefault="005D75EE" w14:paraId="4C2C9837" w14:textId="77777777">
      <w:pPr>
        <w:jc w:val="both"/>
        <w:rPr>
          <w:b/>
          <w:u w:val="single"/>
          <w:lang w:val="es-PE"/>
        </w:rPr>
      </w:pPr>
    </w:p>
    <w:p w:rsidRPr="005D75EE" w:rsidR="005D75EE" w:rsidP="005D75EE" w:rsidRDefault="005D75EE" w14:paraId="65D84BEC" w14:textId="77777777">
      <w:pPr>
        <w:jc w:val="both"/>
        <w:rPr>
          <w:lang w:val="es-PE"/>
        </w:rPr>
      </w:pPr>
      <w:r w:rsidRPr="005D75EE">
        <w:rPr>
          <w:b/>
          <w:u w:val="single"/>
          <w:lang w:val="es-PE"/>
        </w:rPr>
        <w:t>Cuarto</w:t>
      </w:r>
      <w:r w:rsidRPr="005D75EE">
        <w:rPr>
          <w:b/>
          <w:lang w:val="es-PE"/>
        </w:rPr>
        <w:t>:</w:t>
      </w:r>
      <w:r w:rsidRPr="005D75E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D75EE" w:rsidR="005D75EE" w:rsidP="005D75EE" w:rsidRDefault="005D75EE" w14:paraId="35E583B0" w14:textId="77777777">
      <w:pPr>
        <w:jc w:val="both"/>
        <w:rPr>
          <w:b/>
          <w:bCs/>
          <w:u w:val="single"/>
          <w:lang w:val="es-PE"/>
        </w:rPr>
      </w:pPr>
    </w:p>
    <w:p w:rsidRPr="005D75EE" w:rsidR="005D75EE" w:rsidP="005D75EE" w:rsidRDefault="005D75EE" w14:paraId="40F9C071" w14:textId="77777777">
      <w:pPr>
        <w:jc w:val="both"/>
        <w:rPr>
          <w:b/>
          <w:bCs/>
          <w:lang w:val="es-PE"/>
        </w:rPr>
      </w:pPr>
      <w:r w:rsidRPr="005D75EE">
        <w:rPr>
          <w:b/>
          <w:bCs/>
          <w:u w:val="single"/>
          <w:lang w:val="es-PE"/>
        </w:rPr>
        <w:t>Quinto</w:t>
      </w:r>
      <w:r w:rsidRPr="005D75EE">
        <w:rPr>
          <w:b/>
          <w:bCs/>
          <w:lang w:val="es-PE"/>
        </w:rPr>
        <w:t xml:space="preserve">: </w:t>
      </w:r>
      <w:r w:rsidRPr="005D75EE">
        <w:rPr>
          <w:lang w:val="es-PE"/>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5D75EE" w:rsidR="005D75EE" w:rsidP="005D75EE" w:rsidRDefault="005D75EE" w14:paraId="48589028" w14:textId="77777777">
      <w:pPr>
        <w:jc w:val="both"/>
        <w:rPr>
          <w:b/>
          <w:bCs/>
        </w:rPr>
      </w:pPr>
    </w:p>
    <w:p w:rsidRPr="005D75EE" w:rsidR="005D75EE" w:rsidP="005D75EE" w:rsidRDefault="005D75EE" w14:paraId="089F37F6" w14:textId="77777777">
      <w:pPr>
        <w:jc w:val="both"/>
        <w:rPr>
          <w:lang w:val="es-PE"/>
        </w:rPr>
      </w:pPr>
      <w:r w:rsidRPr="005D75EE">
        <w:rPr>
          <w:b/>
          <w:bCs/>
          <w:u w:val="single"/>
          <w:lang w:val="es-PE"/>
        </w:rPr>
        <w:t>Sexto</w:t>
      </w:r>
      <w:r w:rsidRPr="005D75EE">
        <w:rPr>
          <w:b/>
          <w:bCs/>
          <w:lang w:val="es-PE"/>
        </w:rPr>
        <w:t xml:space="preserve">: </w:t>
      </w:r>
      <w:r w:rsidRPr="005D75EE">
        <w:rPr>
          <w:lang w:val="es-PE"/>
        </w:rPr>
        <w:t>Que, sin perjuicio de lo indicado y el recuento de argumentos de las partes</w:t>
      </w:r>
      <w:r w:rsidRPr="005D75EE">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5D75EE">
        <w:rPr>
          <w:lang w:val="es-PE"/>
        </w:rPr>
        <w:t>.</w:t>
      </w:r>
    </w:p>
    <w:p w:rsidRPr="005D75EE" w:rsidR="005D75EE" w:rsidP="005D75EE" w:rsidRDefault="005D75EE" w14:paraId="5F327B48" w14:textId="77777777">
      <w:pPr>
        <w:jc w:val="both"/>
        <w:rPr>
          <w:lang w:val="es-PE"/>
        </w:rPr>
      </w:pPr>
    </w:p>
    <w:p w:rsidRPr="005D75EE" w:rsidR="005D75EE" w:rsidP="005D75EE" w:rsidRDefault="005D75EE" w14:paraId="2EB06BB9" w14:textId="580992DF">
      <w:pPr>
        <w:jc w:val="both"/>
        <w:rPr>
          <w:lang w:val="es-PE"/>
        </w:rPr>
      </w:pPr>
      <w:r w:rsidRPr="593F53B8" w:rsidR="005D75EE">
        <w:rPr>
          <w:b w:val="1"/>
          <w:bCs w:val="1"/>
          <w:u w:val="single"/>
        </w:rPr>
        <w:t>Sétimo</w:t>
      </w:r>
      <w:r w:rsidRPr="593F53B8" w:rsidR="005D75EE">
        <w:rPr>
          <w:b w:val="1"/>
          <w:bCs w:val="1"/>
        </w:rPr>
        <w:t>:</w:t>
      </w:r>
      <w:r w:rsidRPr="593F53B8" w:rsidR="005D75EE">
        <w:rPr>
          <w:b w:val="1"/>
          <w:bCs w:val="1"/>
          <w:lang w:val="es-PE"/>
        </w:rPr>
        <w:t xml:space="preserve"> </w:t>
      </w:r>
      <w:r w:rsidRPr="593F53B8" w:rsidR="005D75EE">
        <w:rPr>
          <w:lang w:val="es-PE"/>
        </w:rPr>
        <w:t>Que</w:t>
      </w:r>
      <w:r w:rsidRPr="593F53B8" w:rsidR="005D75EE">
        <w:rPr>
          <w:b w:val="1"/>
          <w:bCs w:val="1"/>
          <w:lang w:val="es-PE"/>
        </w:rPr>
        <w:t>,</w:t>
      </w:r>
      <w:r w:rsidRPr="593F53B8" w:rsidR="005D75EE">
        <w:rPr>
          <w:lang w:val="es-PE"/>
        </w:rPr>
        <w:t xml:space="preserve"> en primer lugar, debemos determinar que la controversia que nos ocupa en la presente ocasión refiere al rechazo de la cobertura informado por la aseguradora y que se materializa en el envío de la Carta </w:t>
      </w:r>
      <w:r w:rsidRPr="593F53B8" w:rsidR="005D75EE">
        <w:rPr>
          <w:lang w:val="es-PE"/>
        </w:rPr>
        <w:t>N°</w:t>
      </w:r>
      <w:r w:rsidRPr="593F53B8" w:rsidR="005D75EE">
        <w:rPr>
          <w:lang w:val="es-PE"/>
        </w:rPr>
        <w:t xml:space="preserve"> SOAT – </w:t>
      </w:r>
      <w:r w:rsidRPr="593F53B8" w:rsidR="5EE92462">
        <w:rPr>
          <w:lang w:val="es-PE"/>
        </w:rPr>
        <w:t>......................</w:t>
      </w:r>
      <w:r w:rsidRPr="593F53B8" w:rsidR="005D75EE">
        <w:rPr>
          <w:lang w:val="es-PE"/>
        </w:rPr>
        <w:t xml:space="preserve"> (en adelante, la Carta de Rechazo). Dicha Carta de Rechazo, según se puede apreciar, indica lo siguiente:</w:t>
      </w:r>
    </w:p>
    <w:p w:rsidRPr="005D75EE" w:rsidR="005D75EE" w:rsidP="005D75EE" w:rsidRDefault="005D75EE" w14:paraId="412167A2" w14:textId="77777777">
      <w:pPr>
        <w:jc w:val="both"/>
        <w:rPr>
          <w:lang w:val="es-PE"/>
        </w:rPr>
      </w:pPr>
    </w:p>
    <w:p w:rsidRPr="005D75EE" w:rsidR="005D75EE" w:rsidP="00F37A9F" w:rsidRDefault="005D75EE" w14:paraId="39917A02" w14:textId="5AAC21A7">
      <w:pPr>
        <w:jc w:val="center"/>
      </w:pPr>
      <w:r w:rsidR="7E230D9B">
        <w:rPr/>
        <w:t>.........................................................................................................................................</w:t>
      </w:r>
    </w:p>
    <w:p w:rsidRPr="005D75EE" w:rsidR="005D75EE" w:rsidP="005D75EE" w:rsidRDefault="005D75EE" w14:paraId="1D02757F" w14:textId="77777777">
      <w:pPr>
        <w:jc w:val="both"/>
        <w:rPr>
          <w:lang w:val="es-PE"/>
        </w:rPr>
      </w:pPr>
    </w:p>
    <w:p w:rsidRPr="005D75EE" w:rsidR="005D75EE" w:rsidP="005D75EE" w:rsidRDefault="005D75EE" w14:paraId="026249A7" w14:textId="77777777">
      <w:pPr>
        <w:jc w:val="both"/>
        <w:rPr>
          <w:lang w:val="es-PE"/>
        </w:rPr>
      </w:pPr>
      <w:r w:rsidRPr="005D75EE">
        <w:rPr>
          <w:lang w:val="es-PE"/>
        </w:rPr>
        <w:t>En buena cuenta, la referida Carta de Rechazo explica por qué, a decir de la aseguradora. Así pues, la aseguradora explica que no resulta posible ofrecer la cobertura requerida por el reclamante, siendo que la Causante habría estado conduciendo un vehículo no asegurado con SOAT de la aseguradora al momento del siniestro.</w:t>
      </w:r>
    </w:p>
    <w:p w:rsidRPr="005D75EE" w:rsidR="005D75EE" w:rsidP="005D75EE" w:rsidRDefault="005D75EE" w14:paraId="0FB04E35" w14:textId="77777777">
      <w:pPr>
        <w:jc w:val="both"/>
        <w:rPr>
          <w:lang w:val="es-PE"/>
        </w:rPr>
      </w:pPr>
    </w:p>
    <w:p w:rsidRPr="005D75EE" w:rsidR="005D75EE" w:rsidP="005D75EE" w:rsidRDefault="005D75EE" w14:paraId="79B5061E" w14:textId="342D60FE">
      <w:pPr>
        <w:jc w:val="both"/>
        <w:rPr>
          <w:lang w:val="es-PE"/>
        </w:rPr>
      </w:pPr>
      <w:r w:rsidRPr="593F53B8" w:rsidR="005D75EE">
        <w:rPr>
          <w:b w:val="1"/>
          <w:bCs w:val="1"/>
          <w:u w:val="single"/>
          <w:lang w:val="es-PE"/>
        </w:rPr>
        <w:t>Octavo:</w:t>
      </w:r>
      <w:r w:rsidRPr="593F53B8" w:rsidR="005D75EE">
        <w:rPr>
          <w:lang w:val="es-PE"/>
        </w:rPr>
        <w:t xml:space="preserve"> Que, a fin de evaluar lo indicado por la aseguradora resulta imprescindible remitirnos a la denuncia policial que, según se advierte, corrobora que la Causante conducía el vehículo de placa </w:t>
      </w:r>
      <w:r w:rsidRPr="593F53B8" w:rsidR="0D9EBAAA">
        <w:rPr>
          <w:lang w:val="es-PE"/>
        </w:rPr>
        <w:t>.................</w:t>
      </w:r>
      <w:r w:rsidRPr="593F53B8" w:rsidR="005D75EE">
        <w:rPr>
          <w:lang w:val="es-PE"/>
        </w:rPr>
        <w:t>, tal como se aprecia a continuación:</w:t>
      </w:r>
    </w:p>
    <w:p w:rsidRPr="005D75EE" w:rsidR="005D75EE" w:rsidP="005D75EE" w:rsidRDefault="005D75EE" w14:paraId="30B8ACF4" w14:textId="77777777">
      <w:pPr>
        <w:jc w:val="both"/>
        <w:rPr>
          <w:lang w:val="es-PE"/>
        </w:rPr>
      </w:pPr>
    </w:p>
    <w:p w:rsidRPr="005D75EE" w:rsidR="005D75EE" w:rsidP="593F53B8" w:rsidRDefault="005D75EE" w14:paraId="0063ABD2" w14:textId="40152CF5">
      <w:pPr>
        <w:jc w:val="center"/>
        <w:rPr>
          <w:lang w:val="es-PE"/>
        </w:rPr>
      </w:pPr>
      <w:r w:rsidR="4CB06431">
        <w:rPr/>
        <w:t>.......................................................................................................................................</w:t>
      </w:r>
    </w:p>
    <w:p w:rsidRPr="005D75EE" w:rsidR="005D75EE" w:rsidP="593F53B8" w:rsidRDefault="005D75EE" w14:paraId="34CE8AC2" w14:textId="36501668">
      <w:pPr>
        <w:jc w:val="center"/>
      </w:pPr>
    </w:p>
    <w:p w:rsidRPr="005D75EE" w:rsidR="005D75EE" w:rsidP="593F53B8" w:rsidRDefault="005D75EE" w14:paraId="3A7CB461" w14:textId="3C28E2FB">
      <w:pPr>
        <w:jc w:val="center"/>
        <w:rPr>
          <w:lang w:val="es-PE"/>
        </w:rPr>
      </w:pPr>
      <w:r w:rsidRPr="005D75EE" w:rsidR="005D75EE">
        <w:rPr>
          <w:lang w:val="es-PE"/>
        </w:rPr>
        <w:t xml:space="preserve">Ahora bien, resulta importante indicar que, según la Denuncia Policial, el vehículo conducido por la Causante no sería el de placa </w:t>
      </w:r>
      <w:r w:rsidRPr="005D75EE" w:rsidR="0D9EBAAA">
        <w:rPr>
          <w:lang w:val="es-PE"/>
        </w:rPr>
        <w:t>.................</w:t>
      </w:r>
      <w:r w:rsidRPr="005D75EE" w:rsidR="005D75EE">
        <w:rPr>
          <w:lang w:val="es-PE"/>
        </w:rPr>
        <w:t xml:space="preserve">, sino que la placa sería la </w:t>
      </w:r>
      <w:r w:rsidRPr="005D75EE" w:rsidR="2E725C79">
        <w:rPr>
          <w:lang w:val="es-PE"/>
        </w:rPr>
        <w:t>.............</w:t>
      </w:r>
      <w:r w:rsidRPr="005D75EE" w:rsidR="005D75EE">
        <w:rPr>
          <w:lang w:val="es-PE"/>
        </w:rPr>
        <w:t>. En dicho último caso, según la revisión realizada en el portal destinado a la revisión de vigencia de SOAT ofrecido por APESEG</w:t>
      </w:r>
      <w:r w:rsidRPr="005D75EE">
        <w:rPr>
          <w:vertAlign w:val="superscript"/>
          <w:lang w:val="es-PE"/>
        </w:rPr>
        <w:footnoteReference w:id="1"/>
      </w:r>
      <w:r w:rsidRPr="005D75EE" w:rsidR="005D75EE">
        <w:rPr>
          <w:lang w:val="es-PE"/>
        </w:rPr>
        <w:t xml:space="preserve">, la motocicleta de placa </w:t>
      </w:r>
      <w:r w:rsidRPr="005D75EE" w:rsidR="2E725C79">
        <w:rPr>
          <w:lang w:val="es-PE"/>
        </w:rPr>
        <w:t>.............</w:t>
      </w:r>
      <w:r w:rsidRPr="005D75EE" w:rsidR="005D75EE">
        <w:rPr>
          <w:lang w:val="es-PE"/>
        </w:rPr>
        <w:t xml:space="preserve"> tampoco tendría SOAT contratado con la aseguradora</w:t>
      </w:r>
      <w:r w:rsidRPr="005D75EE">
        <w:rPr>
          <w:vertAlign w:val="superscript"/>
          <w:lang w:val="es-PE"/>
        </w:rPr>
        <w:footnoteReference w:id="2"/>
      </w:r>
      <w:r w:rsidRPr="005D75EE" w:rsidR="005D75EE">
        <w:rPr>
          <w:lang w:val="es-PE"/>
        </w:rPr>
        <w:t xml:space="preserve">. En resumen, sea el vehículo de placa </w:t>
      </w:r>
      <w:r w:rsidRPr="005D75EE" w:rsidR="0D9EBAAA">
        <w:rPr>
          <w:lang w:val="es-PE"/>
        </w:rPr>
        <w:t>.................</w:t>
      </w:r>
      <w:r w:rsidRPr="005D75EE" w:rsidR="005D75EE">
        <w:rPr>
          <w:lang w:val="es-PE"/>
        </w:rPr>
        <w:t xml:space="preserve">, según la Carta de Rechazo, o de placa </w:t>
      </w:r>
      <w:r w:rsidRPr="005D75EE" w:rsidR="2E725C79">
        <w:rPr>
          <w:lang w:val="es-PE"/>
        </w:rPr>
        <w:t>.............</w:t>
      </w:r>
      <w:r w:rsidRPr="005D75EE" w:rsidR="005D75EE">
        <w:rPr>
          <w:lang w:val="es-PE"/>
        </w:rPr>
        <w:t>, según la Denuncia Policial, lo cierto es que ninguno de ellos cuenta con SOAT emitido por la aseguradora objeto de reclamo.</w:t>
      </w:r>
    </w:p>
    <w:p w:rsidRPr="005D75EE" w:rsidR="005D75EE" w:rsidP="005D75EE" w:rsidRDefault="005D75EE" w14:paraId="5D20B697" w14:textId="77777777">
      <w:pPr>
        <w:jc w:val="both"/>
        <w:rPr>
          <w:lang w:val="es-PE"/>
        </w:rPr>
      </w:pPr>
    </w:p>
    <w:p w:rsidRPr="005D75EE" w:rsidR="005D75EE" w:rsidP="005D75EE" w:rsidRDefault="005D75EE" w14:paraId="4B09B864" w14:textId="77777777">
      <w:pPr>
        <w:jc w:val="both"/>
        <w:rPr>
          <w:lang w:val="es-PE"/>
        </w:rPr>
      </w:pPr>
      <w:r w:rsidRPr="005D75EE">
        <w:rPr>
          <w:lang w:val="es-PE"/>
        </w:rPr>
        <w:t xml:space="preserve">De este modo, tenemos, como hecho comprobado, que la Causante conducía un vehículo que no contaba con un SOAT emitido por la aseguradora. </w:t>
      </w:r>
    </w:p>
    <w:p w:rsidRPr="005D75EE" w:rsidR="005D75EE" w:rsidP="005D75EE" w:rsidRDefault="005D75EE" w14:paraId="4EF39FA1" w14:textId="77777777">
      <w:pPr>
        <w:jc w:val="both"/>
        <w:rPr>
          <w:lang w:val="es-PE"/>
        </w:rPr>
      </w:pPr>
    </w:p>
    <w:p w:rsidRPr="005D75EE" w:rsidR="005D75EE" w:rsidP="005D75EE" w:rsidRDefault="005D75EE" w14:paraId="733FD261" w14:textId="77777777">
      <w:pPr>
        <w:jc w:val="both"/>
        <w:rPr>
          <w:lang w:val="es-PE"/>
        </w:rPr>
      </w:pPr>
      <w:r w:rsidRPr="005D75EE">
        <w:rPr>
          <w:b/>
          <w:bCs/>
          <w:u w:val="single"/>
          <w:lang w:val="es-PE"/>
        </w:rPr>
        <w:t>Noveno</w:t>
      </w:r>
      <w:r w:rsidRPr="005D75EE">
        <w:rPr>
          <w:lang w:val="es-PE"/>
        </w:rPr>
        <w:t xml:space="preserve">: Que, a continuación, resulta importante determinar cuál es el alcance de la obligación de las aseguradoras de cara a la asunción de responsabilidad derivados de casos de utilización de SOAT. Para ello resulta importante recordar el texto del artículo 17° del Decreto Supremo </w:t>
      </w:r>
      <w:proofErr w:type="spellStart"/>
      <w:r w:rsidRPr="005D75EE">
        <w:rPr>
          <w:lang w:val="es-PE"/>
        </w:rPr>
        <w:t>N°</w:t>
      </w:r>
      <w:proofErr w:type="spellEnd"/>
      <w:r w:rsidRPr="005D75EE">
        <w:rPr>
          <w:lang w:val="es-PE"/>
        </w:rPr>
        <w:t xml:space="preserve"> 024-2002-MTC, mediante el que se aprueba el Reglamento Nacional de Responsabilidad Civil y Seguros Obligatorios por Accidente de Tránsito (en adelante, el Reglamento SOAT). Veamos: </w:t>
      </w:r>
    </w:p>
    <w:p w:rsidRPr="005D75EE" w:rsidR="005D75EE" w:rsidP="005D75EE" w:rsidRDefault="005D75EE" w14:paraId="7276CCD8" w14:textId="77777777">
      <w:pPr>
        <w:jc w:val="both"/>
        <w:rPr>
          <w:lang w:val="es-PE"/>
        </w:rPr>
      </w:pPr>
    </w:p>
    <w:p w:rsidRPr="005D75EE" w:rsidR="005D75EE" w:rsidP="00F37A9F" w:rsidRDefault="005D75EE" w14:paraId="529D732D" w14:textId="77777777">
      <w:pPr>
        <w:ind w:left="1440"/>
        <w:jc w:val="both"/>
        <w:rPr>
          <w:lang w:val="es-PE"/>
        </w:rPr>
      </w:pPr>
      <w:r w:rsidRPr="005D75EE">
        <w:rPr>
          <w:b/>
          <w:bCs/>
          <w:lang w:val="es-PE"/>
        </w:rPr>
        <w:t>Artículo 17.- </w:t>
      </w:r>
      <w:r w:rsidRPr="005D75EE">
        <w:rPr>
          <w:lang w:val="es-PE"/>
        </w:rPr>
        <w:t>En caso de accidentes de tránsito en que hayan participado dos o más vehículos, cada compañía de seguros será responsable de las indemnizaciones correspondientes a las personas transportadas en el vehículo por ella asegurado.</w:t>
      </w:r>
      <w:r w:rsidRPr="005D75EE">
        <w:rPr>
          <w:lang w:val="es-PE"/>
        </w:rPr>
        <w:br/>
      </w:r>
    </w:p>
    <w:p w:rsidRPr="005D75EE" w:rsidR="005D75EE" w:rsidP="00F37A9F" w:rsidRDefault="005D75EE" w14:paraId="7D587729" w14:textId="77777777">
      <w:pPr>
        <w:ind w:left="1440"/>
        <w:jc w:val="both"/>
        <w:rPr>
          <w:lang w:val="es-PE"/>
        </w:rPr>
      </w:pPr>
      <w:r w:rsidRPr="005D75EE">
        <w:rPr>
          <w:lang w:val="es-PE"/>
        </w:rPr>
        <w:t>En caso de peatones o terceros no ocupantes de vehículos automotores, las compañías de seguros intervinientes serán responsables solidariamente de las indemnizaciones que correspondan a dichas personas o su (s) beneficiario (s).</w:t>
      </w:r>
    </w:p>
    <w:p w:rsidRPr="005D75EE" w:rsidR="005D75EE" w:rsidP="00F37A9F" w:rsidRDefault="005D75EE" w14:paraId="45E05CBA" w14:textId="77777777">
      <w:pPr>
        <w:ind w:left="1440"/>
        <w:jc w:val="both"/>
        <w:rPr>
          <w:lang w:val="es-PE"/>
        </w:rPr>
      </w:pPr>
    </w:p>
    <w:p w:rsidRPr="005D75EE" w:rsidR="005D75EE" w:rsidP="00F37A9F" w:rsidRDefault="005D75EE" w14:paraId="4B5216B9" w14:textId="77777777">
      <w:pPr>
        <w:ind w:left="1440"/>
        <w:jc w:val="both"/>
        <w:rPr>
          <w:lang w:val="es-PE"/>
        </w:rPr>
      </w:pPr>
      <w:r w:rsidRPr="005D75EE">
        <w:rPr>
          <w:lang w:val="es-PE"/>
        </w:rPr>
        <w:t>En este último caso, la compañía de seguros que hubiere pagado tendrá derecho a repetir contra las demás para exigirles su correspondiente participación sin perjuicio de los convenios que para el efecto puedan celebrar las compañías de seguros involucradas.</w:t>
      </w:r>
      <w:r w:rsidRPr="005D75EE">
        <w:rPr>
          <w:lang w:val="es-PE"/>
        </w:rPr>
        <w:br/>
      </w:r>
    </w:p>
    <w:p w:rsidRPr="005D75EE" w:rsidR="005D75EE" w:rsidP="00F37A9F" w:rsidRDefault="005D75EE" w14:paraId="273E982B" w14:textId="77777777">
      <w:pPr>
        <w:ind w:left="1440"/>
        <w:jc w:val="both"/>
        <w:rPr>
          <w:lang w:val="es-PE"/>
        </w:rPr>
      </w:pPr>
      <w:r w:rsidRPr="005D75EE">
        <w:rPr>
          <w:lang w:val="es-PE"/>
        </w:rPr>
        <w:t>En el caso que alguno de los vehículos que participa en el accidente de tránsito no contase con el Seguro Obligatorio de Accidentes de Tránsito, el propietario, el conductor y en su caso, el prestador del servicio de transporte responden solidariamente frente a los ocupantes de dicho vehículo, terceros no ocupantes, establecimientos de salud y compañías de seguros por el monto de los gastos incurridos y/o indemnizaciones que éstos hubieren pagado a los accidentados frente a los cuales, los sujetos antes mencionados, resulten responsables.</w:t>
      </w:r>
      <w:r w:rsidRPr="005D75EE">
        <w:rPr>
          <w:b/>
          <w:bCs/>
          <w:lang w:val="es-PE"/>
        </w:rPr>
        <w:t>”</w:t>
      </w:r>
    </w:p>
    <w:p w:rsidRPr="005D75EE" w:rsidR="005D75EE" w:rsidP="005D75EE" w:rsidRDefault="005D75EE" w14:paraId="27605EBF" w14:textId="77777777">
      <w:pPr>
        <w:jc w:val="both"/>
        <w:rPr>
          <w:lang w:val="es-PE"/>
        </w:rPr>
      </w:pPr>
    </w:p>
    <w:p w:rsidRPr="005D75EE" w:rsidR="005D75EE" w:rsidP="005D75EE" w:rsidRDefault="005D75EE" w14:paraId="371F96E9" w14:textId="77777777">
      <w:pPr>
        <w:jc w:val="both"/>
        <w:rPr>
          <w:lang w:val="es-PE"/>
        </w:rPr>
      </w:pPr>
      <w:r w:rsidRPr="005D75EE">
        <w:rPr>
          <w:lang w:val="es-PE"/>
        </w:rPr>
        <w:t xml:space="preserve">Así pues, resulta claro que el Reglamento de SOAT pretende indicarnos cuál es la forma en la que se deberá asignar las responsabilidades indemnizatorias de cara a un posible siniestro. En ese sentido, la norma glosada es clara cuando afirma que </w:t>
      </w:r>
      <w:r w:rsidRPr="005D75EE">
        <w:rPr>
          <w:i/>
          <w:iCs/>
          <w:lang w:val="es-PE"/>
        </w:rPr>
        <w:t>cada compañía de seguros será responsable de las indemnizaciones correspondientes a las personas transportadas en el vehículo por ella asegurado</w:t>
      </w:r>
      <w:r w:rsidRPr="005D75EE">
        <w:rPr>
          <w:b/>
          <w:bCs/>
          <w:i/>
          <w:iCs/>
          <w:lang w:val="es-PE"/>
        </w:rPr>
        <w:t xml:space="preserve">. </w:t>
      </w:r>
      <w:r w:rsidRPr="005D75EE">
        <w:rPr>
          <w:lang w:val="es-PE"/>
        </w:rPr>
        <w:t xml:space="preserve">De hecho, en el último párrafo agrega una precisión y termina explicando qué es lo que sucederá en el caso en el que uno de los vehículos no cuente con un SOAT vigente. Lo cierto es que, de la lectura de dicha norma, no resulta posible extraer obligación alguna de las aseguradoras de cubrir indemnizaciones derivadas del siniestro respecto de ocupantes de vehículos no asegurados o, en su caso, de terceros ocupantes de vehículos con SOAT de compañías distintas. En resumen, cada aseguradora responderá por los alcances del SOAT emitido por esta, hasta por el límite legal dispuesto en el Reglamento de SOAT. La obligación de contar con un SOAT que cubra a los ocupantes de cada vehículo resulta ser la regla. </w:t>
      </w:r>
    </w:p>
    <w:p w:rsidRPr="005D75EE" w:rsidR="005D75EE" w:rsidP="005D75EE" w:rsidRDefault="005D75EE" w14:paraId="51ED3419" w14:textId="77777777">
      <w:pPr>
        <w:jc w:val="both"/>
        <w:rPr>
          <w:lang w:val="es-PE"/>
        </w:rPr>
      </w:pPr>
    </w:p>
    <w:p w:rsidRPr="005D75EE" w:rsidR="005D75EE" w:rsidP="005D75EE" w:rsidRDefault="005D75EE" w14:paraId="13F4798D" w14:textId="77777777">
      <w:pPr>
        <w:jc w:val="both"/>
        <w:rPr>
          <w:lang w:val="es-PE"/>
        </w:rPr>
      </w:pPr>
      <w:r w:rsidRPr="005D75EE">
        <w:rPr>
          <w:lang w:val="es-PE"/>
        </w:rPr>
        <w:t>Ahora bien, resulta importante recordar que DEFASEG cuenta con una posición definida en la materia que, sin variaciones, ha sido manifestada constantemente en las decisiones emitidas y que se expresa -por ejemplo- de la siguiente manera:</w:t>
      </w:r>
    </w:p>
    <w:p w:rsidRPr="005D75EE" w:rsidR="005D75EE" w:rsidP="005D75EE" w:rsidRDefault="005D75EE" w14:paraId="24E7E13A" w14:textId="77777777">
      <w:pPr>
        <w:jc w:val="both"/>
        <w:rPr>
          <w:lang w:val="es-PE"/>
        </w:rPr>
      </w:pPr>
    </w:p>
    <w:p w:rsidRPr="005D75EE" w:rsidR="005D75EE" w:rsidP="005D75EE" w:rsidRDefault="005D75EE" w14:paraId="6EB84117" w14:textId="77777777">
      <w:pPr>
        <w:ind w:left="1440"/>
        <w:jc w:val="both"/>
        <w:rPr>
          <w:b/>
          <w:bCs/>
          <w:lang w:val="es-PE"/>
        </w:rPr>
      </w:pPr>
      <w:r w:rsidRPr="005D75EE">
        <w:rPr>
          <w:lang w:val="es-PE"/>
        </w:rPr>
        <w:t>“</w:t>
      </w:r>
      <w:r w:rsidRPr="005D75EE">
        <w:rPr>
          <w:b/>
          <w:bCs/>
          <w:u w:val="single"/>
          <w:lang w:val="es-PE"/>
        </w:rPr>
        <w:t>Quinto</w:t>
      </w:r>
      <w:r w:rsidRPr="005D75EE">
        <w:rPr>
          <w:b/>
          <w:bCs/>
          <w:lang w:val="es-PE"/>
        </w:rPr>
        <w:t xml:space="preserve">: </w:t>
      </w:r>
      <w:r w:rsidRPr="005D75EE">
        <w:rPr>
          <w:lang w:val="es-PE"/>
        </w:rPr>
        <w:t>(…)</w:t>
      </w:r>
    </w:p>
    <w:p w:rsidRPr="005D75EE" w:rsidR="005D75EE" w:rsidP="005D75EE" w:rsidRDefault="005D75EE" w14:paraId="2DA5F316" w14:textId="77777777">
      <w:pPr>
        <w:ind w:left="1440"/>
        <w:jc w:val="both"/>
      </w:pPr>
      <w:r w:rsidRPr="005D75EE">
        <w:rPr>
          <w:lang w:val="es-PE"/>
        </w:rPr>
        <w:t xml:space="preserve">En otras palabras, del señalado texto normativo no puede desprenderse que la aseguradora deba cubrir, haciendo efectivas las coberturas de la póliza SOAT contratada por su cliente, los daños soportados por el conductor y/o los ocupantes de la otra unidad vehicular que participó en los hechos, al margen que la calificación de la actuación del conductor de la unidad asegurada sea concluyente, coadyuvante o ajena a lo sucedido.  </w:t>
      </w:r>
      <w:r w:rsidRPr="005D75EE">
        <w:rPr>
          <w:b/>
          <w:bCs/>
          <w:u w:val="single"/>
          <w:lang w:val="es-PE"/>
        </w:rPr>
        <w:t>En tal virtud, corresponde que los damnificados hagan efectiva la cobertura del propio SOAT que hubiese sido contratado, en el presente caso tratándose de la unidad vehicular (moto)</w:t>
      </w:r>
      <w:r w:rsidRPr="005D75EE">
        <w:rPr>
          <w:b/>
          <w:bCs/>
          <w:u w:val="single"/>
        </w:rPr>
        <w:t>.  Si en el presente caso, dicha unidad circulaba en la vía pública sin contar con una póliza SOAT, válida y vigente, ello corresponde a un riesgo asumido consciente o negligentemente por el conductor</w:t>
      </w:r>
      <w:r w:rsidRPr="005D75EE">
        <w:t>.</w:t>
      </w:r>
    </w:p>
    <w:p w:rsidRPr="005D75EE" w:rsidR="005D75EE" w:rsidP="005D75EE" w:rsidRDefault="005D75EE" w14:paraId="526B63D7" w14:textId="77777777">
      <w:pPr>
        <w:ind w:left="1440"/>
        <w:jc w:val="both"/>
      </w:pPr>
      <w:r w:rsidRPr="005D75EE">
        <w:t>(…)”</w:t>
      </w:r>
    </w:p>
    <w:p w:rsidRPr="005D75EE" w:rsidR="005D75EE" w:rsidP="00F37A9F" w:rsidRDefault="005D75EE" w14:paraId="7CE20891" w14:textId="77777777">
      <w:pPr>
        <w:ind w:left="1440"/>
        <w:jc w:val="right"/>
        <w:rPr>
          <w:lang w:val="es-PE"/>
        </w:rPr>
      </w:pPr>
      <w:r w:rsidRPr="005D75EE">
        <w:rPr>
          <w:lang w:val="es-PE"/>
        </w:rPr>
        <w:t xml:space="preserve">[Res. </w:t>
      </w:r>
      <w:proofErr w:type="spellStart"/>
      <w:r w:rsidRPr="005D75EE">
        <w:rPr>
          <w:lang w:val="es-PE"/>
        </w:rPr>
        <w:t>N°</w:t>
      </w:r>
      <w:proofErr w:type="spellEnd"/>
      <w:r w:rsidRPr="005D75EE">
        <w:rPr>
          <w:lang w:val="es-PE"/>
        </w:rPr>
        <w:t xml:space="preserve"> 071/20]</w:t>
      </w:r>
    </w:p>
    <w:p w:rsidRPr="005D75EE" w:rsidR="005D75EE" w:rsidP="00F37A9F" w:rsidRDefault="005D75EE" w14:paraId="066F9E3D" w14:textId="77777777">
      <w:pPr>
        <w:ind w:left="1440"/>
        <w:jc w:val="right"/>
        <w:rPr>
          <w:lang w:val="es-PE"/>
        </w:rPr>
      </w:pPr>
      <w:r w:rsidRPr="005D75EE">
        <w:rPr>
          <w:lang w:val="es-PE"/>
        </w:rPr>
        <w:t>[resaltado en negritas y subrayado de nuestra autoría]</w:t>
      </w:r>
    </w:p>
    <w:p w:rsidRPr="005D75EE" w:rsidR="005D75EE" w:rsidP="005D75EE" w:rsidRDefault="005D75EE" w14:paraId="03162B82" w14:textId="77777777">
      <w:pPr>
        <w:jc w:val="both"/>
        <w:rPr>
          <w:lang w:val="es-PE"/>
        </w:rPr>
      </w:pPr>
    </w:p>
    <w:p w:rsidRPr="005D75EE" w:rsidR="005D75EE" w:rsidP="005D75EE" w:rsidRDefault="005D75EE" w14:paraId="048FC730" w14:textId="42136AF6">
      <w:pPr>
        <w:jc w:val="both"/>
        <w:rPr>
          <w:lang w:val="es-PE"/>
        </w:rPr>
      </w:pPr>
      <w:r w:rsidRPr="593F53B8" w:rsidR="005D75EE">
        <w:rPr>
          <w:lang w:val="es-PE"/>
        </w:rPr>
        <w:t>Como vemos, a entender del presente Colegiado, la intención del artículo 17° del Reglamento SOAT reside en asignar responsabilidades entre las aseguradoras, a fin de distribuir el pago de las indemnizaciones correspondientes, siendo que en ningún caso podrá obligarse a estas a asumir indemnizaciones respecto de ocupantes de vehículos que no cumplan con su obligación de contar con un SOAT o, en su caso, respecto de terceros que cuenten con SOAT emitido por compañía distinta. En buena cuenta, las aseguradoras cuentan con la obligación de indemnizar, en los términos del Reglamento SOAT, a todos aquellos ocupantes del vehículo asegurado (o terceros no ocupantes) que se vean involucrados en el siniestro, mas no cuentan con dicha obligación respecto de terceros ocupantes de un vehículo que no cuente con SOAT o de ocupantes de vehículo con SOAT contratado por compañía distinta.</w:t>
      </w:r>
    </w:p>
    <w:p w:rsidRPr="005D75EE" w:rsidR="005D75EE" w:rsidP="005D75EE" w:rsidRDefault="005D75EE" w14:paraId="1AD92F52" w14:textId="77777777">
      <w:pPr>
        <w:jc w:val="both"/>
        <w:rPr>
          <w:lang w:val="es-PE"/>
        </w:rPr>
      </w:pPr>
    </w:p>
    <w:p w:rsidRPr="005D75EE" w:rsidR="005D75EE" w:rsidP="005D75EE" w:rsidRDefault="005D75EE" w14:paraId="18F90DB6" w14:textId="77777777">
      <w:pPr>
        <w:jc w:val="both"/>
        <w:rPr>
          <w:lang w:val="es-PE"/>
        </w:rPr>
      </w:pPr>
      <w:r w:rsidRPr="005D75EE">
        <w:rPr>
          <w:lang w:val="es-PE"/>
        </w:rPr>
        <w:t xml:space="preserve">El sentido de lo interpretado anteriormente resulta ser de recibo, también, ante el Instituto Nacional de Defensa de la Competencia y la Propiedad Intelectual (INDECOPI), toda vez que, con ocasión de la Resolución Final </w:t>
      </w:r>
      <w:proofErr w:type="spellStart"/>
      <w:r w:rsidRPr="005D75EE">
        <w:rPr>
          <w:lang w:val="es-PE"/>
        </w:rPr>
        <w:t>N°</w:t>
      </w:r>
      <w:proofErr w:type="spellEnd"/>
      <w:r w:rsidRPr="005D75EE">
        <w:rPr>
          <w:lang w:val="es-PE"/>
        </w:rPr>
        <w:t xml:space="preserve"> 4288-2016/SPC, del Tribunal de Protección al Consumidor, señaló lo siguiente:</w:t>
      </w:r>
    </w:p>
    <w:p w:rsidRPr="005D75EE" w:rsidR="005D75EE" w:rsidP="005D75EE" w:rsidRDefault="005D75EE" w14:paraId="258FBACD" w14:textId="77777777">
      <w:pPr>
        <w:jc w:val="both"/>
        <w:rPr>
          <w:lang w:val="es-PE"/>
        </w:rPr>
      </w:pPr>
    </w:p>
    <w:p w:rsidRPr="005D75EE" w:rsidR="005D75EE" w:rsidP="005D75EE" w:rsidRDefault="005D75EE" w14:paraId="15FE04BB" w14:textId="77777777">
      <w:pPr>
        <w:ind w:left="1440"/>
        <w:jc w:val="both"/>
        <w:rPr>
          <w:lang w:val="es-PE"/>
        </w:rPr>
      </w:pPr>
      <w:r w:rsidRPr="005D75EE">
        <w:rPr>
          <w:lang w:val="es-PE"/>
        </w:rPr>
        <w:t>“40. Es aquí donde este Colegiado, coincidiendo con la Comisión, considera que debe realizarse una precisión sobre los alcances de la interpretación y aplicación del artículo 17° del Reglamento del SOAT con relación a cubrir a los ocupantes del vehículo que no contara con SOAT, a propósito del presente caso, en tanto repara, en atención a las normas precitadas, que un chofer negligente no puede gozar de la misma protección que los otros ocupantes del vehículo (manejado por aquel) que no cuenta con SOAT.”</w:t>
      </w:r>
    </w:p>
    <w:p w:rsidRPr="005D75EE" w:rsidR="005D75EE" w:rsidP="005D75EE" w:rsidRDefault="005D75EE" w14:paraId="4D08493F" w14:textId="77777777">
      <w:pPr>
        <w:jc w:val="both"/>
        <w:rPr>
          <w:lang w:val="es-PE"/>
        </w:rPr>
      </w:pPr>
    </w:p>
    <w:p w:rsidRPr="005D75EE" w:rsidR="005D75EE" w:rsidP="005D75EE" w:rsidRDefault="005D75EE" w14:paraId="51EEC6C5" w14:textId="77777777">
      <w:pPr>
        <w:jc w:val="both"/>
        <w:rPr>
          <w:lang w:val="es-PE"/>
        </w:rPr>
      </w:pPr>
      <w:r w:rsidRPr="005D75EE">
        <w:rPr>
          <w:lang w:val="es-PE"/>
        </w:rPr>
        <w:lastRenderedPageBreak/>
        <w:t xml:space="preserve">Como vemos, la interpretación asumida por DEFASEG y, también, por INDECOPI resulta del análisis de la conducta de los agentes del mercado, toda vez que no resulta posible, como afirma el Tribunal de Consumidor de INDECOPI en la cita previa, que un </w:t>
      </w:r>
      <w:r w:rsidRPr="005D75EE">
        <w:rPr>
          <w:i/>
          <w:iCs/>
          <w:lang w:val="es-PE"/>
        </w:rPr>
        <w:t xml:space="preserve">chofer negligente </w:t>
      </w:r>
      <w:r w:rsidRPr="005D75EE">
        <w:rPr>
          <w:lang w:val="es-PE"/>
        </w:rPr>
        <w:t xml:space="preserve">goce de la misma protección respecto del que sí tomó la previsión de contar con un SOAT.  </w:t>
      </w:r>
    </w:p>
    <w:p w:rsidRPr="005D75EE" w:rsidR="005D75EE" w:rsidP="005D75EE" w:rsidRDefault="005D75EE" w14:paraId="504C63A9" w14:textId="77777777">
      <w:pPr>
        <w:jc w:val="both"/>
        <w:rPr>
          <w:lang w:val="es-PE"/>
        </w:rPr>
      </w:pPr>
    </w:p>
    <w:p w:rsidRPr="005D75EE" w:rsidR="005D75EE" w:rsidP="005D75EE" w:rsidRDefault="005D75EE" w14:paraId="1D981A0C" w14:textId="77777777">
      <w:pPr>
        <w:jc w:val="both"/>
        <w:rPr>
          <w:lang w:val="es-PE"/>
        </w:rPr>
      </w:pPr>
      <w:r w:rsidRPr="005D75EE">
        <w:rPr>
          <w:lang w:val="es-PE"/>
        </w:rPr>
        <w:t>De este modo, resulta contrario a derecho pretender asignar responsabilidad a la aseguradora respecto de la Causante, puesto que resulta comprobado que ella no contaba con SOAT emitido por esta. Así pues, resulta un riesgo asumido por quien decida circular sin SOAT contratado o, en su caso, si es que se acredita que cuenta con un SOAT emitido por compañía distinta, será esta última quien deba responder por las coberturas ofrecidas, conforme a la normativa aplicable.</w:t>
      </w:r>
    </w:p>
    <w:p w:rsidRPr="005D75EE" w:rsidR="005D75EE" w:rsidP="005D75EE" w:rsidRDefault="005D75EE" w14:paraId="6F2BF50E" w14:textId="77777777">
      <w:pPr>
        <w:jc w:val="both"/>
        <w:rPr>
          <w:lang w:val="es-PE"/>
        </w:rPr>
      </w:pPr>
    </w:p>
    <w:p w:rsidRPr="005D75EE" w:rsidR="005D75EE" w:rsidP="005D75EE" w:rsidRDefault="005D75EE" w14:paraId="04650ADB" w14:textId="77777777">
      <w:pPr>
        <w:jc w:val="both"/>
        <w:rPr>
          <w:b/>
          <w:lang w:val="es-PE"/>
        </w:rPr>
      </w:pPr>
      <w:r w:rsidRPr="005D75EE">
        <w:rPr>
          <w:b/>
          <w:lang w:val="es-PE"/>
        </w:rPr>
        <w:t xml:space="preserve">Atendiendo a lo expresado, este colegiado </w:t>
      </w:r>
      <w:r w:rsidRPr="005D75EE">
        <w:rPr>
          <w:b/>
        </w:rPr>
        <w:t>concluye su apreciación razonada y conjunta al amparo de lo establecido en su Reglamento, por lo que</w:t>
      </w:r>
      <w:r w:rsidRPr="005D75EE">
        <w:rPr>
          <w:b/>
          <w:lang w:val="es-PE"/>
        </w:rPr>
        <w:t xml:space="preserve"> </w:t>
      </w:r>
    </w:p>
    <w:p w:rsidRPr="005D75EE" w:rsidR="005D75EE" w:rsidP="005D75EE" w:rsidRDefault="005D75EE" w14:paraId="335E3546" w14:textId="77777777">
      <w:pPr>
        <w:jc w:val="both"/>
        <w:rPr>
          <w:b/>
          <w:lang w:val="es-PE"/>
        </w:rPr>
      </w:pPr>
    </w:p>
    <w:p w:rsidRPr="005D75EE" w:rsidR="005D75EE" w:rsidP="005D75EE" w:rsidRDefault="005D75EE" w14:paraId="402E7D5F" w14:textId="77777777">
      <w:pPr>
        <w:jc w:val="both"/>
        <w:rPr>
          <w:b/>
        </w:rPr>
      </w:pPr>
      <w:r w:rsidRPr="005D75EE">
        <w:rPr>
          <w:b/>
          <w:lang w:val="es-PE"/>
        </w:rPr>
        <w:t>Resuelve:</w:t>
      </w:r>
    </w:p>
    <w:p w:rsidRPr="005D75EE" w:rsidR="005D75EE" w:rsidP="005D75EE" w:rsidRDefault="005D75EE" w14:paraId="528C6F2A" w14:textId="77777777">
      <w:pPr>
        <w:jc w:val="both"/>
      </w:pPr>
    </w:p>
    <w:p w:rsidRPr="005D75EE" w:rsidR="005D75EE" w:rsidP="005D75EE" w:rsidRDefault="005D75EE" w14:paraId="70918D4D" w14:textId="118850BF">
      <w:pPr>
        <w:jc w:val="both"/>
        <w:rPr>
          <w:lang w:val="es-PE"/>
        </w:rPr>
      </w:pPr>
      <w:r w:rsidRPr="593F53B8" w:rsidR="005D75EE">
        <w:rPr>
          <w:lang w:val="es-PE"/>
        </w:rPr>
        <w:t xml:space="preserve">Declarar </w:t>
      </w:r>
      <w:r w:rsidRPr="593F53B8" w:rsidR="005D75EE">
        <w:rPr>
          <w:b w:val="1"/>
          <w:bCs w:val="1"/>
          <w:lang w:val="es-PE"/>
        </w:rPr>
        <w:t xml:space="preserve">INFUNDADA </w:t>
      </w:r>
      <w:r w:rsidRPr="593F53B8" w:rsidR="005D75EE">
        <w:rPr>
          <w:lang w:val="es-PE"/>
        </w:rPr>
        <w:t xml:space="preserve">la reclamación interpuesta por don </w:t>
      </w:r>
      <w:r w:rsidRPr="593F53B8" w:rsidR="797A2678">
        <w:rPr>
          <w:b w:val="1"/>
          <w:bCs w:val="1"/>
          <w:lang w:val="es-PE"/>
        </w:rPr>
        <w:t>..............................................</w:t>
      </w:r>
      <w:r w:rsidRPr="593F53B8" w:rsidR="005D75EE">
        <w:rPr>
          <w:b w:val="1"/>
          <w:bCs w:val="1"/>
          <w:lang w:val="es-PE"/>
        </w:rPr>
        <w:t xml:space="preserve"> </w:t>
      </w:r>
      <w:r w:rsidRPr="593F53B8" w:rsidR="005D75EE">
        <w:rPr>
          <w:lang w:val="es-PE"/>
        </w:rPr>
        <w:t xml:space="preserve">contra </w:t>
      </w:r>
      <w:r w:rsidRPr="593F53B8" w:rsidR="2B3BF5EE">
        <w:rPr>
          <w:b w:val="1"/>
          <w:bCs w:val="1"/>
          <w:lang w:val="es-PE"/>
        </w:rPr>
        <w:t>.........................................................................................................</w:t>
      </w:r>
      <w:r w:rsidRPr="593F53B8" w:rsidR="005D75EE">
        <w:rPr>
          <w:lang w:val="es-PE"/>
        </w:rPr>
        <w:t>, dejando a salvo el derecho del reclamante de acudir ante las instancias que estime pertinente.</w:t>
      </w:r>
    </w:p>
    <w:p w:rsidRPr="005D75EE" w:rsidR="005D75EE" w:rsidP="005D75EE" w:rsidRDefault="005D75EE" w14:paraId="1AE6A428" w14:textId="77777777">
      <w:pPr>
        <w:jc w:val="both"/>
        <w:rPr>
          <w:lang w:val="es-PE"/>
        </w:rPr>
      </w:pPr>
    </w:p>
    <w:p w:rsidRPr="005D75EE" w:rsidR="005D75EE" w:rsidP="005D75EE" w:rsidRDefault="005D75EE" w14:paraId="1D345CA3" w14:textId="77777777">
      <w:pPr>
        <w:jc w:val="both"/>
        <w:rPr>
          <w:lang w:val="es-PE"/>
        </w:rPr>
      </w:pPr>
    </w:p>
    <w:p w:rsidRPr="00CD67EE" w:rsidR="00E40C79" w:rsidP="005F4B55" w:rsidRDefault="00E40C79" w14:paraId="3AC09319" w14:textId="77777777">
      <w:pPr>
        <w:jc w:val="both"/>
      </w:pPr>
    </w:p>
    <w:p w:rsidRPr="00CD67EE" w:rsidR="00804FBA" w:rsidP="00804FBA" w:rsidRDefault="00F15FBA" w14:paraId="0B8F9BB3" w14:textId="46482479">
      <w:pPr>
        <w:jc w:val="right"/>
        <w:outlineLvl w:val="0"/>
        <w:rPr>
          <w:lang w:val="es-PE"/>
        </w:rPr>
      </w:pPr>
      <w:r w:rsidRPr="00CD67EE">
        <w:rPr>
          <w:lang w:val="es-PE"/>
        </w:rPr>
        <w:t xml:space="preserve">Lima, </w:t>
      </w:r>
      <w:r w:rsidR="0019343D">
        <w:t>22</w:t>
      </w:r>
      <w:r w:rsidR="008B40D1">
        <w:t xml:space="preserve"> </w:t>
      </w:r>
      <w:r w:rsidRPr="00CD67EE">
        <w:rPr>
          <w:lang w:val="es-PE"/>
        </w:rPr>
        <w:t>de</w:t>
      </w:r>
      <w:r w:rsidRPr="00CD67EE" w:rsidR="001631D6">
        <w:rPr>
          <w:lang w:val="es-PE"/>
        </w:rPr>
        <w:t xml:space="preserve"> </w:t>
      </w:r>
      <w:r w:rsidRPr="00CD67EE" w:rsidR="00015A30">
        <w:rPr>
          <w:lang w:val="es-PE"/>
        </w:rPr>
        <w:t>e</w:t>
      </w:r>
      <w:r w:rsidRPr="00CD67EE" w:rsidR="0073373B">
        <w:rPr>
          <w:lang w:val="es-PE"/>
        </w:rPr>
        <w:t>nero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607C3" w:rsidP="005F148C" w:rsidRDefault="007607C3" w14:paraId="439647E4" w14:textId="77777777">
      <w:r>
        <w:separator/>
      </w:r>
    </w:p>
  </w:endnote>
  <w:endnote w:type="continuationSeparator" w:id="0">
    <w:p w:rsidR="007607C3" w:rsidP="005F148C" w:rsidRDefault="007607C3" w14:paraId="7335B98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607C3" w:rsidP="005F148C" w:rsidRDefault="007607C3" w14:paraId="0495F684" w14:textId="77777777">
      <w:r>
        <w:separator/>
      </w:r>
    </w:p>
  </w:footnote>
  <w:footnote w:type="continuationSeparator" w:id="0">
    <w:p w:rsidR="007607C3" w:rsidP="005F148C" w:rsidRDefault="007607C3" w14:paraId="217CCEAA" w14:textId="77777777">
      <w:r>
        <w:continuationSeparator/>
      </w:r>
    </w:p>
  </w:footnote>
  <w:footnote w:id="1">
    <w:p w:rsidR="005D75EE" w:rsidP="005D75EE" w:rsidRDefault="005D75EE" w14:paraId="7CD2A557" w14:textId="77777777">
      <w:pPr>
        <w:pStyle w:val="Textonotapie"/>
        <w:rPr>
          <w:lang w:val="es-MX"/>
        </w:rPr>
      </w:pPr>
      <w:r>
        <w:rPr>
          <w:rStyle w:val="Refdenotaalpie"/>
        </w:rPr>
        <w:footnoteRef/>
      </w:r>
      <w:r>
        <w:t xml:space="preserve"> </w:t>
      </w:r>
      <w:hyperlink w:history="1" r:id="rId1">
        <w:r>
          <w:rPr>
            <w:rStyle w:val="Hipervnculo"/>
          </w:rPr>
          <w:t>https://www.apeseg.org.pe/consultas-soat/</w:t>
        </w:r>
      </w:hyperlink>
      <w:r>
        <w:t xml:space="preserve"> </w:t>
      </w:r>
    </w:p>
  </w:footnote>
  <w:footnote w:id="2">
    <w:p w:rsidR="005D75EE" w:rsidP="005D75EE" w:rsidRDefault="005D75EE" w14:paraId="381DE96D" w14:textId="741B7360">
      <w:pPr>
        <w:pStyle w:val="Textonotapie"/>
        <w:jc w:val="both"/>
        <w:rPr>
          <w:lang w:val="es-MX"/>
        </w:rPr>
      </w:pPr>
      <w:r>
        <w:rPr>
          <w:rStyle w:val="Refdenotaalpie"/>
        </w:rPr>
        <w:footnoteRef/>
      </w:r>
      <w:r w:rsidR="593F53B8">
        <w:rPr/>
        <w:t xml:space="preserve"> </w:t>
      </w:r>
      <w:r w:rsidR="593F53B8">
        <w:rPr>
          <w:lang w:val="es-MX"/>
        </w:rPr>
        <w:t xml:space="preserve">Se advierte que, al momento de los hechos, el vehículo de placa </w:t>
      </w:r>
      <w:r w:rsidR="593F53B8">
        <w:rPr>
          <w:lang w:val="es-PE"/>
        </w:rPr>
        <w:t>.............</w:t>
      </w:r>
      <w:r w:rsidR="593F53B8">
        <w:rPr>
          <w:lang w:val="es-PE"/>
        </w:rPr>
        <w:t xml:space="preserve"> contaba con SOAT vigente, pero emitido por una aseguradora distinta.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536B"/>
    <w:rsid w:val="003977C8"/>
    <w:rsid w:val="003A0B41"/>
    <w:rsid w:val="003B36C2"/>
    <w:rsid w:val="003B46E3"/>
    <w:rsid w:val="003B4770"/>
    <w:rsid w:val="003B5737"/>
    <w:rsid w:val="003B5A8D"/>
    <w:rsid w:val="003B684A"/>
    <w:rsid w:val="003D32D3"/>
    <w:rsid w:val="003D5263"/>
    <w:rsid w:val="003D5461"/>
    <w:rsid w:val="003D54FC"/>
    <w:rsid w:val="003E6BA6"/>
    <w:rsid w:val="003F3702"/>
    <w:rsid w:val="003F5878"/>
    <w:rsid w:val="003F6005"/>
    <w:rsid w:val="003F73A8"/>
    <w:rsid w:val="00400965"/>
    <w:rsid w:val="0040707C"/>
    <w:rsid w:val="004071D2"/>
    <w:rsid w:val="00410BC0"/>
    <w:rsid w:val="004157F2"/>
    <w:rsid w:val="00417664"/>
    <w:rsid w:val="0041770E"/>
    <w:rsid w:val="00417E23"/>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25357"/>
    <w:rsid w:val="00E33E30"/>
    <w:rsid w:val="00E40C79"/>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1FA6541"/>
    <w:rsid w:val="0D9EBAAA"/>
    <w:rsid w:val="184B4071"/>
    <w:rsid w:val="2591E265"/>
    <w:rsid w:val="2B3BF5EE"/>
    <w:rsid w:val="2E725C79"/>
    <w:rsid w:val="37358372"/>
    <w:rsid w:val="38B51A2A"/>
    <w:rsid w:val="472C6013"/>
    <w:rsid w:val="47FF9C54"/>
    <w:rsid w:val="4CB06431"/>
    <w:rsid w:val="593F53B8"/>
    <w:rsid w:val="5AE8EBDC"/>
    <w:rsid w:val="5CC1D3D3"/>
    <w:rsid w:val="5EE92462"/>
    <w:rsid w:val="614B255D"/>
    <w:rsid w:val="65335FAA"/>
    <w:rsid w:val="797A2678"/>
    <w:rsid w:val="7E230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s://www.apeseg.org.pe/consultas-so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9671389-7277-4BFE-BB08-C30DD2103A12}"/>
</file>

<file path=customXml/itemProps3.xml><?xml version="1.0" encoding="utf-8"?>
<ds:datastoreItem xmlns:ds="http://schemas.openxmlformats.org/officeDocument/2006/customXml" ds:itemID="{70C188E8-D039-419B-88DA-25E795577F10}"/>
</file>

<file path=customXml/itemProps4.xml><?xml version="1.0" encoding="utf-8"?>
<ds:datastoreItem xmlns:ds="http://schemas.openxmlformats.org/officeDocument/2006/customXml" ds:itemID="{46D1E319-8D21-4058-9EF5-A6FB6C49A3E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216</cp:revision>
  <cp:lastPrinted>2025-01-28T14:47:00Z</cp:lastPrinted>
  <dcterms:created xsi:type="dcterms:W3CDTF">2023-06-22T13:57:00Z</dcterms:created>
  <dcterms:modified xsi:type="dcterms:W3CDTF">2026-03-04T18:04:55Z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