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905A2" w:rsidR="00896835" w:rsidP="00E06FC0" w:rsidRDefault="00F15FBA" w14:paraId="1E5AA06A" w14:textId="7246FAC6">
      <w:pPr>
        <w:pStyle w:val="Ttulo"/>
        <w:outlineLvl w:val="0"/>
        <w:rPr>
          <w:lang w:val="es-PE"/>
        </w:rPr>
      </w:pPr>
      <w:r w:rsidRPr="000905A2">
        <w:rPr>
          <w:lang w:val="es-PE"/>
        </w:rPr>
        <w:t xml:space="preserve">RESOLUCIÓN </w:t>
      </w:r>
      <w:proofErr w:type="spellStart"/>
      <w:r w:rsidRPr="000905A2">
        <w:rPr>
          <w:lang w:val="es-PE"/>
        </w:rPr>
        <w:t>N</w:t>
      </w:r>
      <w:r w:rsidRPr="000905A2" w:rsidR="001631D6">
        <w:rPr>
          <w:lang w:val="es-PE"/>
        </w:rPr>
        <w:t>°</w:t>
      </w:r>
      <w:proofErr w:type="spellEnd"/>
      <w:r w:rsidRPr="000905A2" w:rsidR="001631D6">
        <w:rPr>
          <w:lang w:val="es-PE"/>
        </w:rPr>
        <w:t xml:space="preserve"> </w:t>
      </w:r>
      <w:r w:rsidRPr="000905A2" w:rsidR="00015A30">
        <w:rPr>
          <w:lang w:val="es-PE"/>
        </w:rPr>
        <w:t>0</w:t>
      </w:r>
      <w:r w:rsidRPr="000905A2" w:rsidR="008E588C">
        <w:rPr>
          <w:lang w:val="es-PE"/>
        </w:rPr>
        <w:t>2</w:t>
      </w:r>
      <w:r w:rsidRPr="000905A2" w:rsidR="00495508">
        <w:rPr>
          <w:lang w:val="es-PE"/>
        </w:rPr>
        <w:t>8</w:t>
      </w:r>
      <w:r w:rsidRPr="000905A2" w:rsidR="001631D6">
        <w:rPr>
          <w:lang w:val="es-PE"/>
        </w:rPr>
        <w:t>/2</w:t>
      </w:r>
      <w:r w:rsidRPr="000905A2" w:rsidR="0073373B">
        <w:rPr>
          <w:lang w:val="es-PE"/>
        </w:rPr>
        <w:t>5</w:t>
      </w:r>
    </w:p>
    <w:p w:rsidRPr="007E3C3D" w:rsidR="007E3C3D" w:rsidP="007E3C3D" w:rsidRDefault="007E3C3D" w14:paraId="1117CA5F" w14:textId="77777777">
      <w:pPr>
        <w:jc w:val="both"/>
        <w:outlineLvl w:val="0"/>
        <w:rPr>
          <w:lang w:val="es-PE"/>
        </w:rPr>
      </w:pPr>
      <w:r w:rsidRPr="007E3C3D">
        <w:rPr>
          <w:b/>
          <w:bCs/>
          <w:lang w:val="es-PE"/>
        </w:rPr>
        <w:t>VISTOS:</w:t>
      </w:r>
    </w:p>
    <w:p w:rsidRPr="007E3C3D" w:rsidR="007E3C3D" w:rsidP="007E3C3D" w:rsidRDefault="007E3C3D" w14:paraId="58BB6385" w14:textId="77777777">
      <w:pPr>
        <w:jc w:val="both"/>
        <w:outlineLvl w:val="0"/>
        <w:rPr>
          <w:lang w:val="es-PE"/>
        </w:rPr>
      </w:pPr>
    </w:p>
    <w:p w:rsidRPr="007E3C3D" w:rsidR="007E3C3D" w:rsidP="007E3C3D" w:rsidRDefault="007E3C3D" w14:paraId="27E5CA52" w14:textId="76BCA158">
      <w:pPr>
        <w:jc w:val="both"/>
        <w:outlineLvl w:val="0"/>
        <w:rPr>
          <w:lang w:val="es-PE"/>
        </w:rPr>
      </w:pPr>
      <w:r w:rsidRPr="470EFFE1" w:rsidR="007E3C3D">
        <w:rPr>
          <w:lang w:val="es-PE"/>
        </w:rPr>
        <w:t xml:space="preserve">Que, doña </w:t>
      </w:r>
      <w:r w:rsidRPr="470EFFE1" w:rsidR="0CCB4E51">
        <w:rPr>
          <w:b w:val="1"/>
          <w:bCs w:val="1"/>
          <w:lang w:val="es-PE"/>
        </w:rPr>
        <w:t>..................................................................</w:t>
      </w:r>
      <w:r w:rsidRPr="470EFFE1" w:rsidR="007E3C3D">
        <w:rPr>
          <w:lang w:val="es-PE"/>
        </w:rPr>
        <w:t xml:space="preserve"> (en adelante, la reclamante) interpone reclamación ante esta Defensoría del Asegurado (DEFASEG), solicitando que </w:t>
      </w:r>
      <w:r w:rsidRPr="470EFFE1" w:rsidR="28C3E0E5">
        <w:rPr>
          <w:b w:val="1"/>
          <w:bCs w:val="1"/>
          <w:lang w:val="es-PE"/>
        </w:rPr>
        <w:t>................................................................................</w:t>
      </w:r>
      <w:r w:rsidRPr="470EFFE1" w:rsidR="007E3C3D">
        <w:rPr>
          <w:b w:val="1"/>
          <w:bCs w:val="1"/>
          <w:lang w:val="es-PE"/>
        </w:rPr>
        <w:t xml:space="preserve"> </w:t>
      </w:r>
      <w:r w:rsidRPr="470EFFE1" w:rsidR="007E3C3D">
        <w:rPr>
          <w:lang w:val="es-PE"/>
        </w:rPr>
        <w:t>(en adelante, la aseguradora)</w:t>
      </w:r>
      <w:r w:rsidRPr="470EFFE1" w:rsidR="007E3C3D">
        <w:rPr>
          <w:b w:val="1"/>
          <w:bCs w:val="1"/>
          <w:lang w:val="es-PE"/>
        </w:rPr>
        <w:t xml:space="preserve"> </w:t>
      </w:r>
      <w:r w:rsidRPr="470EFFE1" w:rsidR="007E3C3D">
        <w:rPr>
          <w:lang w:val="es-PE"/>
        </w:rPr>
        <w:t xml:space="preserve">otorgue cobertura, conforme a la Póliza de Seguro de Tarjetas 360° </w:t>
      </w:r>
      <w:r w:rsidRPr="470EFFE1" w:rsidR="007E3C3D">
        <w:rPr>
          <w:lang w:val="es-PE"/>
        </w:rPr>
        <w:t>N°</w:t>
      </w:r>
      <w:r w:rsidRPr="470EFFE1" w:rsidR="007E3C3D">
        <w:rPr>
          <w:lang w:val="es-PE"/>
        </w:rPr>
        <w:t xml:space="preserve"> </w:t>
      </w:r>
      <w:r w:rsidRPr="470EFFE1" w:rsidR="2160302A">
        <w:rPr>
          <w:lang w:val="es-PE"/>
        </w:rPr>
        <w:t>..................</w:t>
      </w:r>
      <w:r w:rsidRPr="470EFFE1" w:rsidR="007E3C3D">
        <w:rPr>
          <w:lang w:val="es-PE"/>
        </w:rPr>
        <w:t xml:space="preserve"> </w:t>
      </w:r>
      <w:r w:rsidRPr="470EFFE1" w:rsidR="007E3C3D">
        <w:rPr>
          <w:lang w:val="es-PE"/>
        </w:rPr>
        <w:t>(en adelante, la póliza).</w:t>
      </w:r>
    </w:p>
    <w:p w:rsidRPr="007E3C3D" w:rsidR="007E3C3D" w:rsidP="007E3C3D" w:rsidRDefault="007E3C3D" w14:paraId="358F7FEF" w14:textId="77777777">
      <w:pPr>
        <w:jc w:val="both"/>
        <w:outlineLvl w:val="0"/>
        <w:rPr>
          <w:lang w:val="es-PE"/>
        </w:rPr>
      </w:pPr>
    </w:p>
    <w:p w:rsidRPr="007E3C3D" w:rsidR="007E3C3D" w:rsidP="007E3C3D" w:rsidRDefault="007E3C3D" w14:paraId="5D2BCCFD" w14:textId="77777777">
      <w:pPr>
        <w:jc w:val="both"/>
        <w:outlineLvl w:val="0"/>
        <w:rPr>
          <w:lang w:val="es-PE"/>
        </w:rPr>
      </w:pPr>
      <w:r w:rsidRPr="007E3C3D">
        <w:rPr>
          <w:lang w:val="es-PE"/>
        </w:rPr>
        <w:t>Que, la señalada reclamación cumple con los requisitos de materia, cuantía y oportunidad establecidos en el Reglamento de la DEFASEG (http://www.defaseg.com.pe/reglamento);</w:t>
      </w:r>
    </w:p>
    <w:p w:rsidRPr="007E3C3D" w:rsidR="007E3C3D" w:rsidP="007E3C3D" w:rsidRDefault="007E3C3D" w14:paraId="7463E597" w14:textId="77777777">
      <w:pPr>
        <w:jc w:val="both"/>
        <w:outlineLvl w:val="0"/>
        <w:rPr>
          <w:lang w:val="es-PE"/>
        </w:rPr>
      </w:pPr>
    </w:p>
    <w:p w:rsidRPr="007E3C3D" w:rsidR="007E3C3D" w:rsidP="007E3C3D" w:rsidRDefault="007E3C3D" w14:paraId="376BD056" w14:textId="77777777">
      <w:pPr>
        <w:jc w:val="both"/>
        <w:outlineLvl w:val="0"/>
        <w:rPr>
          <w:lang w:val="es-PE"/>
        </w:rPr>
      </w:pPr>
      <w:r w:rsidRPr="007E3C3D">
        <w:rPr>
          <w:lang w:val="es-PE"/>
        </w:rPr>
        <w:t>Que, habiéndosele corrido traslado de la respectiva reclamación, la aseguradora presentó sus respectivos descargos;</w:t>
      </w:r>
    </w:p>
    <w:p w:rsidRPr="007E3C3D" w:rsidR="007E3C3D" w:rsidP="007E3C3D" w:rsidRDefault="007E3C3D" w14:paraId="3E243E19" w14:textId="77777777">
      <w:pPr>
        <w:jc w:val="both"/>
        <w:outlineLvl w:val="0"/>
        <w:rPr>
          <w:lang w:val="es-PE"/>
        </w:rPr>
      </w:pPr>
    </w:p>
    <w:p w:rsidRPr="007E3C3D" w:rsidR="007E3C3D" w:rsidP="007E3C3D" w:rsidRDefault="007E3C3D" w14:paraId="0F6F0A2B" w14:textId="77777777">
      <w:pPr>
        <w:jc w:val="both"/>
        <w:outlineLvl w:val="0"/>
        <w:rPr>
          <w:lang w:val="es-PE"/>
        </w:rPr>
      </w:pPr>
      <w:r w:rsidRPr="007E3C3D">
        <w:rPr>
          <w:lang w:val="es-PE"/>
        </w:rPr>
        <w:t>Que, el 16 de diciembre de 2024 se realizó la audiencia virtual de vista con la concurrencia de ambas partes, quienes tuvieron oportunidad de exponer sus respectivas posiciones tratándose de la materia reclamada, absolviendo las diversas preguntas que les fueron formuladas. En dicha audiencia se otorgó, además, un plazo de (3) días hábiles para que la aseguradora presente el informe de la prueba poligráfica utilizado para el sustento de su posición;</w:t>
      </w:r>
    </w:p>
    <w:p w:rsidRPr="007E3C3D" w:rsidR="007E3C3D" w:rsidP="007E3C3D" w:rsidRDefault="007E3C3D" w14:paraId="31E5D93B" w14:textId="77777777">
      <w:pPr>
        <w:jc w:val="both"/>
        <w:outlineLvl w:val="0"/>
        <w:rPr>
          <w:lang w:val="es-PE"/>
        </w:rPr>
      </w:pPr>
    </w:p>
    <w:p w:rsidRPr="007E3C3D" w:rsidR="007E3C3D" w:rsidP="007E3C3D" w:rsidRDefault="007E3C3D" w14:paraId="59CB7C75" w14:textId="20E3A6A8">
      <w:pPr>
        <w:jc w:val="both"/>
        <w:outlineLvl w:val="0"/>
        <w:rPr>
          <w:lang w:val="es-PE"/>
        </w:rPr>
      </w:pPr>
      <w:r w:rsidRPr="470EFFE1" w:rsidR="007E3C3D">
        <w:rPr>
          <w:lang w:val="es-PE"/>
        </w:rPr>
        <w:t>Que, en síntesis, la reclamante manifiesta lo siguiente: a) la aseguradora actuó de forma arbitraria al resolver el contrato basándose únicamente en la prueba poligráfica, sin realizar la entrevista personal prevista en la póliza para esclarecer los hechos.</w:t>
      </w:r>
      <w:r w:rsidRPr="470EFFE1" w:rsidR="007E3C3D">
        <w:rPr>
          <w:lang w:val="es-PE"/>
        </w:rPr>
        <w:t xml:space="preserve"> Asimismo, señala que el artículo citado como causal de resolución (Artículo 9° del Condicionado General) no está presente en el texto de la póliza que le fue proporcionado; b) la investigación fiscal (Carpeta </w:t>
      </w:r>
      <w:r w:rsidRPr="470EFFE1" w:rsidR="007E3C3D">
        <w:rPr>
          <w:lang w:val="es-PE"/>
        </w:rPr>
        <w:t>N°</w:t>
      </w:r>
      <w:r w:rsidRPr="470EFFE1" w:rsidR="007E3C3D">
        <w:rPr>
          <w:lang w:val="es-PE"/>
        </w:rPr>
        <w:t xml:space="preserve"> </w:t>
      </w:r>
      <w:r w:rsidRPr="470EFFE1" w:rsidR="36ACCC14">
        <w:rPr>
          <w:lang w:val="es-PE"/>
        </w:rPr>
        <w:t>......................</w:t>
      </w:r>
      <w:r w:rsidRPr="470EFFE1" w:rsidR="007E3C3D">
        <w:rPr>
          <w:lang w:val="es-PE"/>
        </w:rPr>
        <w:t xml:space="preserve">, a cargo de la </w:t>
      </w:r>
      <w:r w:rsidRPr="470EFFE1" w:rsidR="007E3C3D">
        <w:rPr>
          <w:lang w:val="es-PE"/>
        </w:rPr>
        <w:t>Fiscalía Provincial</w:t>
      </w:r>
      <w:r w:rsidRPr="470EFFE1" w:rsidR="007E3C3D">
        <w:rPr>
          <w:lang w:val="es-PE"/>
        </w:rPr>
        <w:t xml:space="preserve"> Penal Corporativa de Los Olivos) aún se encuentra en etapa inicial, sin conclusiones que respalden las acusaciones de fraude. Además, la póliza establece que cualquier duda debe resolverse en favor del asegurado, conforme al principio de buena fe contractual estipulado en el artículo 1362° del Código Civil; c) el accionar de la aseguradora vulneró sus derechos al no proporcionar evidencia objetiva ni solicitar documentación adicional para verificar su versión de los hechos. Asimismo, recalca que las cláusulas de resolución de contrato deben interpretarse estrictamente según lo indicado en la Ley </w:t>
      </w:r>
      <w:r w:rsidRPr="470EFFE1" w:rsidR="007E3C3D">
        <w:rPr>
          <w:lang w:val="es-PE"/>
        </w:rPr>
        <w:t>N°</w:t>
      </w:r>
      <w:r w:rsidRPr="470EFFE1" w:rsidR="007E3C3D">
        <w:rPr>
          <w:lang w:val="es-PE"/>
        </w:rPr>
        <w:t xml:space="preserve"> 29946 - Ley de Contrato de Seguros; </w:t>
      </w:r>
    </w:p>
    <w:p w:rsidRPr="007E3C3D" w:rsidR="007E3C3D" w:rsidP="007E3C3D" w:rsidRDefault="007E3C3D" w14:paraId="6E726E0A" w14:textId="77777777">
      <w:pPr>
        <w:jc w:val="both"/>
        <w:outlineLvl w:val="0"/>
        <w:rPr>
          <w:lang w:val="es-PE"/>
        </w:rPr>
      </w:pPr>
    </w:p>
    <w:p w:rsidRPr="007E3C3D" w:rsidR="007E3C3D" w:rsidP="007E3C3D" w:rsidRDefault="007E3C3D" w14:paraId="36F47829" w14:textId="73FCD146">
      <w:pPr>
        <w:jc w:val="both"/>
        <w:outlineLvl w:val="0"/>
        <w:rPr>
          <w:lang w:val="es-PE"/>
        </w:rPr>
      </w:pPr>
      <w:r w:rsidRPr="470EFFE1" w:rsidR="007E3C3D">
        <w:rPr>
          <w:lang w:val="es-PE"/>
        </w:rPr>
        <w:t xml:space="preserve">Que, por su parte, la aseguradora sustenta su posición resumidamente en lo siguiente: a) el 23 de enero de 2024, la reclamante contrató el Seguro de Tarjetas 360° bajo la Póliza </w:t>
      </w:r>
      <w:r w:rsidRPr="470EFFE1" w:rsidR="007E3C3D">
        <w:rPr>
          <w:lang w:val="es-PE"/>
        </w:rPr>
        <w:t>N°</w:t>
      </w:r>
      <w:r w:rsidRPr="470EFFE1" w:rsidR="007E3C3D">
        <w:rPr>
          <w:lang w:val="es-PE"/>
        </w:rPr>
        <w:t xml:space="preserve"> </w:t>
      </w:r>
      <w:r w:rsidRPr="470EFFE1" w:rsidR="1B780AB6">
        <w:rPr>
          <w:lang w:val="es-PE"/>
        </w:rPr>
        <w:t>................</w:t>
      </w:r>
      <w:r w:rsidRPr="470EFFE1" w:rsidR="007E3C3D">
        <w:rPr>
          <w:lang w:val="es-PE"/>
        </w:rPr>
        <w:t xml:space="preserve">. La aseguradora trasladó la Solicitud-Certificado y las Condiciones Generales el 25 de enero de 2024, detallando la cobertura y los procedimientos aplicables, conforme al contrato celebrado; b) la prueba poligráfica realizada el 16 de agosto de 2024 mostró respuestas de engaño en el </w:t>
      </w:r>
      <w:r w:rsidRPr="470EFFE1" w:rsidR="007E3C3D">
        <w:rPr>
          <w:lang w:val="es-PE"/>
        </w:rPr>
        <w:t>Subtest</w:t>
      </w:r>
      <w:r w:rsidRPr="470EFFE1" w:rsidR="007E3C3D">
        <w:rPr>
          <w:lang w:val="es-PE"/>
        </w:rPr>
        <w:t xml:space="preserve"> A, que incluía preguntas como: "¿Ha presentado usted alguna declaración falsa sobre el siniestro?" y "¿Ha participado usted como autor o cómplice del siniestro?". Estas respuestas fundamentaron la resolución del contrato; c) el rechazo de la solicitud se formalizó el 20 de agosto de 2024 mediante la carta GOT-SIN-</w:t>
      </w:r>
      <w:r w:rsidRPr="470EFFE1" w:rsidR="5D1F634E">
        <w:rPr>
          <w:lang w:val="es-PE"/>
        </w:rPr>
        <w:t>.........................</w:t>
      </w:r>
      <w:r w:rsidRPr="470EFFE1" w:rsidR="007E3C3D">
        <w:rPr>
          <w:lang w:val="es-PE"/>
        </w:rPr>
        <w:t xml:space="preserve">, que citó el Artículo 9 del Condicionado General, que establece: "La póliza quedará resuelta cuando se presente fraudulentamente una solicitud de cobertura basada en documentos o declaraciones falsas"; d) el 03 de septiembre de 2024, la reclamante presentó </w:t>
      </w:r>
      <w:r w:rsidRPr="470EFFE1" w:rsidR="007E3C3D">
        <w:rPr>
          <w:lang w:val="es-PE"/>
        </w:rPr>
        <w:t xml:space="preserve">una solicitud de reconsideración. Sin embargo, la aseguradora respondió, mediante la carta </w:t>
      </w:r>
      <w:r w:rsidRPr="470EFFE1" w:rsidR="564E28C8">
        <w:rPr>
          <w:lang w:val="es-PE"/>
        </w:rPr>
        <w:t>......................................</w:t>
      </w:r>
      <w:r w:rsidRPr="470EFFE1" w:rsidR="007E3C3D">
        <w:rPr>
          <w:lang w:val="es-PE"/>
        </w:rPr>
        <w:t>, que no evaluaría nuevamente el siniestro, confirmando que la resolución del contrato y el rechazo del reclamo eran definitivos; e) todas las decisiones fueron tomadas en estricto cumplimiento de las Condiciones Generales, incluyendo el Artículo 10, que autoriza la realización de entrevistas y pruebas poligráficas para corroborar la veracidad de los hechos;</w:t>
      </w:r>
    </w:p>
    <w:p w:rsidRPr="007E3C3D" w:rsidR="007E3C3D" w:rsidP="007E3C3D" w:rsidRDefault="007E3C3D" w14:paraId="5BB2808E" w14:textId="77777777">
      <w:pPr>
        <w:jc w:val="both"/>
        <w:outlineLvl w:val="0"/>
        <w:rPr>
          <w:lang w:val="es-PE"/>
        </w:rPr>
      </w:pPr>
    </w:p>
    <w:p w:rsidRPr="007E3C3D" w:rsidR="007E3C3D" w:rsidP="007E3C3D" w:rsidRDefault="007E3C3D" w14:paraId="69FAA23F" w14:textId="53F023C1">
      <w:pPr>
        <w:jc w:val="both"/>
        <w:outlineLvl w:val="0"/>
        <w:rPr>
          <w:lang w:val="es-PE"/>
        </w:rPr>
      </w:pPr>
      <w:r w:rsidRPr="470EFFE1" w:rsidR="007E3C3D">
        <w:rPr>
          <w:lang w:val="es-PE"/>
        </w:rPr>
        <w:t xml:space="preserve">Que, mediante escrito del 30 de octubre de 2024, la reclamante informa que el 11 de octubre de dicho año, a través del correo ataype@mpfn.gob.pe, la fiscal </w:t>
      </w:r>
      <w:r w:rsidRPr="470EFFE1" w:rsidR="6497F1F2">
        <w:rPr>
          <w:lang w:val="es-PE"/>
        </w:rPr>
        <w:t>...........................................................</w:t>
      </w:r>
      <w:r w:rsidRPr="470EFFE1" w:rsidR="007E3C3D">
        <w:rPr>
          <w:lang w:val="es-PE"/>
        </w:rPr>
        <w:t xml:space="preserve">, la notificó con la Disposición </w:t>
      </w:r>
      <w:r w:rsidRPr="470EFFE1" w:rsidR="007E3C3D">
        <w:rPr>
          <w:lang w:val="es-PE"/>
        </w:rPr>
        <w:t>N°</w:t>
      </w:r>
      <w:r w:rsidRPr="470EFFE1" w:rsidR="007E3C3D">
        <w:rPr>
          <w:lang w:val="es-PE"/>
        </w:rPr>
        <w:t xml:space="preserve"> 01 que dio inicio a las diligencias preliminares sobre el delito de fraude informático recaída en la Carpeta Fiscal </w:t>
      </w:r>
      <w:r w:rsidRPr="470EFFE1" w:rsidR="0B69C55C">
        <w:rPr>
          <w:lang w:val="es-PE"/>
        </w:rPr>
        <w:t>.....................</w:t>
      </w:r>
      <w:r w:rsidRPr="470EFFE1" w:rsidR="007E3C3D">
        <w:rPr>
          <w:lang w:val="es-PE"/>
        </w:rPr>
        <w:t>;</w:t>
      </w:r>
    </w:p>
    <w:p w:rsidRPr="007E3C3D" w:rsidR="007E3C3D" w:rsidP="007E3C3D" w:rsidRDefault="007E3C3D" w14:paraId="4F2F42D9" w14:textId="77777777">
      <w:pPr>
        <w:jc w:val="both"/>
        <w:outlineLvl w:val="0"/>
        <w:rPr>
          <w:lang w:val="es-PE"/>
        </w:rPr>
      </w:pPr>
    </w:p>
    <w:p w:rsidRPr="007E3C3D" w:rsidR="007E3C3D" w:rsidP="007E3C3D" w:rsidRDefault="007E3C3D" w14:paraId="63245140" w14:textId="77777777">
      <w:pPr>
        <w:jc w:val="both"/>
        <w:outlineLvl w:val="0"/>
        <w:rPr>
          <w:lang w:val="es-PE"/>
        </w:rPr>
      </w:pPr>
      <w:r w:rsidRPr="007E3C3D">
        <w:rPr>
          <w:lang w:val="es-PE"/>
        </w:rPr>
        <w:t>Que, mediante escrito de fecha 19 de diciembre de 2024, atendiendo a lo solicitado en la audiencia virtual de vista, presenta el Informe Examen de Polígrafo Rutina, junto a los sustentos matemáticos que lo respaldan;</w:t>
      </w:r>
    </w:p>
    <w:p w:rsidRPr="007E3C3D" w:rsidR="007E3C3D" w:rsidP="007E3C3D" w:rsidRDefault="007E3C3D" w14:paraId="034DFCF7" w14:textId="77777777">
      <w:pPr>
        <w:jc w:val="both"/>
        <w:outlineLvl w:val="0"/>
        <w:rPr>
          <w:lang w:val="es-PE"/>
        </w:rPr>
      </w:pPr>
    </w:p>
    <w:p w:rsidRPr="007E3C3D" w:rsidR="007E3C3D" w:rsidP="007E3C3D" w:rsidRDefault="007E3C3D" w14:paraId="61EE34BE" w14:textId="77777777">
      <w:pPr>
        <w:jc w:val="both"/>
        <w:outlineLvl w:val="0"/>
        <w:rPr>
          <w:lang w:val="es-PE"/>
        </w:rPr>
      </w:pPr>
      <w:r w:rsidRPr="007E3C3D">
        <w:rPr>
          <w:b/>
          <w:bCs/>
          <w:lang w:val="es-PE"/>
        </w:rPr>
        <w:t>CONSIDERANDO:</w:t>
      </w:r>
    </w:p>
    <w:p w:rsidRPr="007E3C3D" w:rsidR="007E3C3D" w:rsidP="007E3C3D" w:rsidRDefault="007E3C3D" w14:paraId="0A6A52E4" w14:textId="77777777">
      <w:pPr>
        <w:jc w:val="both"/>
        <w:outlineLvl w:val="0"/>
        <w:rPr>
          <w:lang w:val="es-PE"/>
        </w:rPr>
      </w:pPr>
      <w:r w:rsidRPr="007E3C3D">
        <w:rPr>
          <w:lang w:val="es-PE"/>
        </w:rPr>
        <w:t> </w:t>
      </w:r>
    </w:p>
    <w:p w:rsidRPr="007E3C3D" w:rsidR="007E3C3D" w:rsidP="007E3C3D" w:rsidRDefault="007E3C3D" w14:paraId="2BFAB498" w14:textId="77777777">
      <w:pPr>
        <w:jc w:val="both"/>
        <w:outlineLvl w:val="0"/>
        <w:rPr>
          <w:lang w:val="es-PE"/>
        </w:rPr>
      </w:pPr>
      <w:r w:rsidRPr="007E3C3D">
        <w:rPr>
          <w:b/>
          <w:u w:val="single"/>
          <w:lang w:val="es-PE"/>
        </w:rPr>
        <w:t>Primero</w:t>
      </w:r>
      <w:r w:rsidRPr="007E3C3D">
        <w:rPr>
          <w:b/>
          <w:lang w:val="es-PE"/>
        </w:rPr>
        <w:t xml:space="preserve">: </w:t>
      </w:r>
      <w:r w:rsidRPr="007E3C3D">
        <w:rPr>
          <w:lang w:val="es-PE"/>
        </w:rPr>
        <w:t>Conforme a su Reglamento, la</w:t>
      </w:r>
      <w:r w:rsidRPr="007E3C3D">
        <w:rPr>
          <w:b/>
          <w:bCs/>
          <w:lang w:val="es-PE"/>
        </w:rPr>
        <w:t xml:space="preserve"> </w:t>
      </w:r>
      <w:r w:rsidRPr="007E3C3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E3C3D" w:rsidR="007E3C3D" w:rsidP="007E3C3D" w:rsidRDefault="007E3C3D" w14:paraId="4BEEF4CC" w14:textId="77777777">
      <w:pPr>
        <w:jc w:val="both"/>
        <w:outlineLvl w:val="0"/>
        <w:rPr>
          <w:bCs/>
          <w:lang w:val="es-PE"/>
        </w:rPr>
      </w:pPr>
    </w:p>
    <w:p w:rsidRPr="007E3C3D" w:rsidR="007E3C3D" w:rsidP="007E3C3D" w:rsidRDefault="007E3C3D" w14:paraId="29321E30" w14:textId="77777777">
      <w:pPr>
        <w:jc w:val="both"/>
        <w:outlineLvl w:val="0"/>
        <w:rPr>
          <w:bCs/>
          <w:lang w:val="es-PE"/>
        </w:rPr>
      </w:pPr>
      <w:r w:rsidRPr="007E3C3D">
        <w:rPr>
          <w:b/>
          <w:bCs/>
          <w:u w:val="single"/>
          <w:lang w:val="es-PE"/>
        </w:rPr>
        <w:t>Segundo</w:t>
      </w:r>
      <w:r w:rsidRPr="007E3C3D">
        <w:rPr>
          <w:b/>
          <w:bCs/>
          <w:lang w:val="es-PE"/>
        </w:rPr>
        <w:t>:</w:t>
      </w:r>
      <w:r w:rsidRPr="007E3C3D">
        <w:rPr>
          <w:bCs/>
          <w:lang w:val="es-PE"/>
        </w:rPr>
        <w:t xml:space="preserve"> </w:t>
      </w:r>
      <w:r w:rsidRPr="007E3C3D">
        <w:rPr>
          <w:lang w:val="es-PE"/>
        </w:rPr>
        <w:t xml:space="preserve">Asimismo, de acuerdo a </w:t>
      </w:r>
      <w:r w:rsidRPr="007E3C3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3C3D" w:rsidR="007E3C3D" w:rsidP="007E3C3D" w:rsidRDefault="007E3C3D" w14:paraId="02BCD662" w14:textId="77777777">
      <w:pPr>
        <w:jc w:val="both"/>
        <w:outlineLvl w:val="0"/>
        <w:rPr>
          <w:lang w:val="es-PE"/>
        </w:rPr>
      </w:pPr>
    </w:p>
    <w:p w:rsidRPr="007E3C3D" w:rsidR="007E3C3D" w:rsidP="007E3C3D" w:rsidRDefault="007E3C3D" w14:paraId="217910E5" w14:textId="77777777">
      <w:pPr>
        <w:jc w:val="both"/>
        <w:outlineLvl w:val="0"/>
        <w:rPr>
          <w:lang w:val="es-PE"/>
        </w:rPr>
      </w:pPr>
      <w:r w:rsidRPr="007E3C3D">
        <w:rPr>
          <w:b/>
          <w:bCs/>
          <w:u w:val="single"/>
          <w:lang w:val="es-PE"/>
        </w:rPr>
        <w:t>Tercero</w:t>
      </w:r>
      <w:r w:rsidRPr="007E3C3D">
        <w:rPr>
          <w:b/>
          <w:bCs/>
          <w:lang w:val="es-PE"/>
        </w:rPr>
        <w:t>:</w:t>
      </w:r>
      <w:r w:rsidRPr="007E3C3D">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E3C3D" w:rsidR="007E3C3D" w:rsidP="007E3C3D" w:rsidRDefault="007E3C3D" w14:paraId="3C89E9E0" w14:textId="77777777">
      <w:pPr>
        <w:jc w:val="both"/>
        <w:outlineLvl w:val="0"/>
        <w:rPr>
          <w:b/>
          <w:u w:val="single"/>
          <w:lang w:val="es-PE"/>
        </w:rPr>
      </w:pPr>
    </w:p>
    <w:p w:rsidRPr="007E3C3D" w:rsidR="007E3C3D" w:rsidP="007E3C3D" w:rsidRDefault="007E3C3D" w14:paraId="11DE0833" w14:textId="77777777">
      <w:pPr>
        <w:jc w:val="both"/>
        <w:outlineLvl w:val="0"/>
        <w:rPr>
          <w:lang w:val="es-PE"/>
        </w:rPr>
      </w:pPr>
      <w:r w:rsidRPr="007E3C3D">
        <w:rPr>
          <w:b/>
          <w:u w:val="single"/>
          <w:lang w:val="es-PE"/>
        </w:rPr>
        <w:t>Cuarto</w:t>
      </w:r>
      <w:r w:rsidRPr="007E3C3D">
        <w:rPr>
          <w:b/>
          <w:lang w:val="es-PE"/>
        </w:rPr>
        <w:t>:</w:t>
      </w:r>
      <w:r w:rsidRPr="007E3C3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E3C3D" w:rsidR="007E3C3D" w:rsidP="007E3C3D" w:rsidRDefault="007E3C3D" w14:paraId="0DED4D7E" w14:textId="77777777">
      <w:pPr>
        <w:jc w:val="both"/>
        <w:outlineLvl w:val="0"/>
        <w:rPr>
          <w:b/>
          <w:bCs/>
          <w:u w:val="single"/>
          <w:lang w:val="es-PE"/>
        </w:rPr>
      </w:pPr>
    </w:p>
    <w:p w:rsidRPr="007E3C3D" w:rsidR="007E3C3D" w:rsidP="007E3C3D" w:rsidRDefault="007E3C3D" w14:paraId="63C2A0C1" w14:textId="77777777">
      <w:pPr>
        <w:jc w:val="both"/>
        <w:outlineLvl w:val="0"/>
        <w:rPr>
          <w:b/>
          <w:bCs/>
          <w:lang w:val="es-PE"/>
        </w:rPr>
      </w:pPr>
      <w:r w:rsidRPr="007E3C3D">
        <w:rPr>
          <w:b/>
          <w:bCs/>
          <w:u w:val="single"/>
          <w:lang w:val="es-PE"/>
        </w:rPr>
        <w:t>Quinto</w:t>
      </w:r>
      <w:r w:rsidRPr="007E3C3D">
        <w:rPr>
          <w:b/>
          <w:bCs/>
          <w:lang w:val="es-PE"/>
        </w:rPr>
        <w:t xml:space="preserve">: </w:t>
      </w:r>
      <w:r w:rsidRPr="007E3C3D">
        <w:rPr>
          <w:lang w:val="es-PE"/>
        </w:rPr>
        <w:t xml:space="preserve">Que, conforme al artículo 196 del Código Procesal Civil, corresponde a quien invoca hechos probar su existencia, así como a quien los contradice invocando nuevos </w:t>
      </w:r>
      <w:r w:rsidRPr="007E3C3D">
        <w:rPr>
          <w:lang w:val="es-PE"/>
        </w:rPr>
        <w:t>hechos, salvo que aquel que esté sujeto a dicha carga procesal se acoja a alguna presunción legal de carácter relativo o absoluto.</w:t>
      </w:r>
    </w:p>
    <w:p w:rsidRPr="007E3C3D" w:rsidR="007E3C3D" w:rsidP="007E3C3D" w:rsidRDefault="007E3C3D" w14:paraId="3C9DFEFB" w14:textId="77777777">
      <w:pPr>
        <w:jc w:val="both"/>
        <w:outlineLvl w:val="0"/>
        <w:rPr>
          <w:b/>
          <w:bCs/>
        </w:rPr>
      </w:pPr>
    </w:p>
    <w:p w:rsidRPr="007E3C3D" w:rsidR="007E3C3D" w:rsidP="007E3C3D" w:rsidRDefault="007E3C3D" w14:paraId="144BA81F" w14:textId="77777777">
      <w:pPr>
        <w:jc w:val="both"/>
        <w:outlineLvl w:val="0"/>
      </w:pPr>
      <w:r w:rsidRPr="007E3C3D">
        <w:rPr>
          <w:b/>
          <w:bCs/>
          <w:u w:val="single"/>
          <w:lang w:val="es-PE"/>
        </w:rPr>
        <w:t>Sexto</w:t>
      </w:r>
      <w:r w:rsidRPr="007E3C3D">
        <w:rPr>
          <w:b/>
          <w:bCs/>
          <w:lang w:val="es-PE"/>
        </w:rPr>
        <w:t xml:space="preserve">: </w:t>
      </w:r>
      <w:r w:rsidRPr="007E3C3D">
        <w:rPr>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7E3C3D" w:rsidR="007E3C3D" w:rsidP="007E3C3D" w:rsidRDefault="007E3C3D" w14:paraId="357D64EF" w14:textId="77777777">
      <w:pPr>
        <w:jc w:val="both"/>
        <w:outlineLvl w:val="0"/>
        <w:rPr>
          <w:lang w:val="es-PE"/>
        </w:rPr>
      </w:pPr>
    </w:p>
    <w:p w:rsidRPr="007E3C3D" w:rsidR="007E3C3D" w:rsidP="007E3C3D" w:rsidRDefault="007E3C3D" w14:paraId="2695FD17" w14:textId="0A15028A">
      <w:pPr>
        <w:jc w:val="both"/>
        <w:outlineLvl w:val="0"/>
        <w:rPr>
          <w:lang w:val="es-PE"/>
        </w:rPr>
      </w:pPr>
      <w:r w:rsidRPr="470EFFE1" w:rsidR="007E3C3D">
        <w:rPr>
          <w:b w:val="1"/>
          <w:bCs w:val="1"/>
          <w:u w:val="single"/>
          <w:lang w:val="es-PE"/>
        </w:rPr>
        <w:t>Sétimo</w:t>
      </w:r>
      <w:r w:rsidRPr="470EFFE1" w:rsidR="007E3C3D">
        <w:rPr>
          <w:b w:val="1"/>
          <w:bCs w:val="1"/>
          <w:lang w:val="es-PE"/>
        </w:rPr>
        <w:t xml:space="preserve">: </w:t>
      </w:r>
      <w:r w:rsidRPr="470EFFE1" w:rsidR="007E3C3D">
        <w:rPr>
          <w:lang w:val="es-PE"/>
        </w:rPr>
        <w:t>Que</w:t>
      </w:r>
      <w:r w:rsidRPr="470EFFE1" w:rsidR="007E3C3D">
        <w:rPr>
          <w:b w:val="1"/>
          <w:bCs w:val="1"/>
          <w:lang w:val="es-PE"/>
        </w:rPr>
        <w:t>,</w:t>
      </w:r>
      <w:r w:rsidRPr="470EFFE1" w:rsidR="007E3C3D">
        <w:rPr>
          <w:lang w:val="es-PE"/>
        </w:rPr>
        <w:t xml:space="preserve"> en primer lugar, debemos determinar la controversia que nos ocupa en la presente ocasión. Para ello, nos remitimos a la Carta </w:t>
      </w:r>
      <w:r w:rsidRPr="470EFFE1" w:rsidR="007E3C3D">
        <w:rPr>
          <w:lang w:val="es-PE"/>
        </w:rPr>
        <w:t>N°</w:t>
      </w:r>
      <w:r w:rsidRPr="470EFFE1" w:rsidR="007E3C3D">
        <w:rPr>
          <w:lang w:val="es-PE"/>
        </w:rPr>
        <w:t xml:space="preserve"> GOT-SIN-</w:t>
      </w:r>
      <w:r w:rsidRPr="470EFFE1" w:rsidR="5D1F634E">
        <w:rPr>
          <w:lang w:val="es-PE"/>
        </w:rPr>
        <w:t>.........................</w:t>
      </w:r>
      <w:r w:rsidRPr="470EFFE1" w:rsidR="007E3C3D">
        <w:rPr>
          <w:lang w:val="es-PE"/>
        </w:rPr>
        <w:t xml:space="preserve"> (en adelante, la Carta de Rechazo), mediante la que se rechaza la cobertura bajo los siguientes argumentos:</w:t>
      </w:r>
    </w:p>
    <w:p w:rsidRPr="007E3C3D" w:rsidR="007E3C3D" w:rsidP="007E3C3D" w:rsidRDefault="007E3C3D" w14:paraId="631B3425" w14:textId="77777777">
      <w:pPr>
        <w:jc w:val="both"/>
        <w:outlineLvl w:val="0"/>
        <w:rPr>
          <w:lang w:val="es-PE"/>
        </w:rPr>
      </w:pPr>
    </w:p>
    <w:p w:rsidRPr="007E3C3D" w:rsidR="007E3C3D" w:rsidP="007E3C3D" w:rsidRDefault="007E3C3D" w14:paraId="25AC52A6" w14:textId="39C4BF3E">
      <w:pPr>
        <w:jc w:val="both"/>
        <w:outlineLvl w:val="0"/>
        <w:rPr>
          <w:lang w:val="es-PE"/>
        </w:rPr>
      </w:pPr>
      <w:r w:rsidRPr="470EFFE1" w:rsidR="007E3C3D">
        <w:rPr>
          <w:lang w:val="es-PE"/>
        </w:rPr>
        <w:t xml:space="preserve">“Al respecto, debemos indicarle, de un cuidadoso análisis de los resultados matemáticos del Sistema Computarizado de Polígrafo, así como una detallada revisión de las gráficas poligráficas, es la opinión de la examinadora que al señor(a) </w:t>
      </w:r>
      <w:r w:rsidRPr="470EFFE1" w:rsidR="03404267">
        <w:rPr>
          <w:lang w:val="es-PE"/>
        </w:rPr>
        <w:t>....................................</w:t>
      </w:r>
      <w:r w:rsidRPr="470EFFE1" w:rsidR="007E3C3D">
        <w:rPr>
          <w:lang w:val="es-PE"/>
        </w:rPr>
        <w:t xml:space="preserve"> </w:t>
      </w:r>
      <w:r w:rsidRPr="470EFFE1" w:rsidR="43568708">
        <w:rPr>
          <w:lang w:val="es-PE"/>
        </w:rPr>
        <w:t>........................................</w:t>
      </w:r>
      <w:r w:rsidRPr="470EFFE1" w:rsidR="007E3C3D">
        <w:rPr>
          <w:lang w:val="es-PE"/>
        </w:rPr>
        <w:t>, SI presentó respuestas significativas de engaño (SR), a las preguntas relevantes del Sub Test A y NO presentó respuestas significativas de engaño (NSR) a las preguntas relevantes del Sub Test B, realizadas durante el examen.</w:t>
      </w:r>
    </w:p>
    <w:p w:rsidRPr="007E3C3D" w:rsidR="007E3C3D" w:rsidP="007E3C3D" w:rsidRDefault="007E3C3D" w14:paraId="5EEB70A9" w14:textId="77777777">
      <w:pPr>
        <w:jc w:val="both"/>
        <w:outlineLvl w:val="0"/>
        <w:rPr>
          <w:lang w:val="es-PE"/>
        </w:rPr>
      </w:pPr>
      <w:r w:rsidRPr="007E3C3D">
        <w:rPr>
          <w:lang w:val="es-PE"/>
        </w:rPr>
        <w:t>(…)</w:t>
      </w:r>
    </w:p>
    <w:p w:rsidRPr="007E3C3D" w:rsidR="007E3C3D" w:rsidP="007E3C3D" w:rsidRDefault="007E3C3D" w14:paraId="094DF2BE" w14:textId="77777777">
      <w:pPr>
        <w:jc w:val="both"/>
        <w:outlineLvl w:val="0"/>
        <w:rPr>
          <w:lang w:val="es-PE"/>
        </w:rPr>
      </w:pPr>
      <w:r w:rsidRPr="007E3C3D">
        <w:rPr>
          <w:lang w:val="es-PE"/>
        </w:rPr>
        <w:t xml:space="preserve">En ese sentido, es de aplicación lo estipulado en el art. 9° del Condicionado General de la póliza, el cual señala: </w:t>
      </w:r>
    </w:p>
    <w:p w:rsidRPr="007E3C3D" w:rsidR="007E3C3D" w:rsidP="007E3C3D" w:rsidRDefault="007E3C3D" w14:paraId="0E66135B" w14:textId="77777777">
      <w:pPr>
        <w:jc w:val="both"/>
        <w:outlineLvl w:val="0"/>
        <w:rPr>
          <w:b/>
          <w:bCs/>
          <w:lang w:val="es-PE"/>
        </w:rPr>
      </w:pPr>
    </w:p>
    <w:p w:rsidRPr="007E3C3D" w:rsidR="007E3C3D" w:rsidP="007E3C3D" w:rsidRDefault="007E3C3D" w14:paraId="7D01439A" w14:textId="77777777">
      <w:pPr>
        <w:jc w:val="both"/>
        <w:outlineLvl w:val="0"/>
        <w:rPr>
          <w:lang w:val="es-PE"/>
        </w:rPr>
      </w:pPr>
      <w:r w:rsidRPr="007E3C3D">
        <w:rPr>
          <w:b/>
          <w:bCs/>
          <w:lang w:val="es-PE"/>
        </w:rPr>
        <w:t xml:space="preserve">ARTÍCULO </w:t>
      </w:r>
      <w:proofErr w:type="spellStart"/>
      <w:r w:rsidRPr="007E3C3D">
        <w:rPr>
          <w:b/>
          <w:bCs/>
          <w:lang w:val="es-PE"/>
        </w:rPr>
        <w:t>Nº</w:t>
      </w:r>
      <w:proofErr w:type="spellEnd"/>
      <w:r w:rsidRPr="007E3C3D">
        <w:rPr>
          <w:b/>
          <w:bCs/>
          <w:lang w:val="es-PE"/>
        </w:rPr>
        <w:t xml:space="preserve"> 9: CAUSALES DE RESOLUCIÓN DEL CONTRATO </w:t>
      </w:r>
    </w:p>
    <w:p w:rsidRPr="007E3C3D" w:rsidR="007E3C3D" w:rsidP="007E3C3D" w:rsidRDefault="007E3C3D" w14:paraId="348B57F8" w14:textId="77777777">
      <w:pPr>
        <w:jc w:val="both"/>
        <w:outlineLvl w:val="0"/>
        <w:rPr>
          <w:lang w:val="es-PE"/>
        </w:rPr>
      </w:pPr>
      <w:r w:rsidRPr="007E3C3D">
        <w:rPr>
          <w:lang w:val="es-PE"/>
        </w:rPr>
        <w:t xml:space="preserve">La presente póliza quedará resuelta, respecto al Contratante perdiendo todo derecho emanado de la póliza, cuando se produzca cualquiera de las siguientes causales: </w:t>
      </w:r>
    </w:p>
    <w:p w:rsidRPr="007E3C3D" w:rsidR="007E3C3D" w:rsidP="007E3C3D" w:rsidRDefault="007E3C3D" w14:paraId="60BA83A8" w14:textId="77777777">
      <w:pPr>
        <w:jc w:val="both"/>
        <w:outlineLvl w:val="0"/>
        <w:rPr>
          <w:lang w:val="es-PE"/>
        </w:rPr>
      </w:pPr>
      <w:r w:rsidRPr="007E3C3D">
        <w:rPr>
          <w:lang w:val="es-PE"/>
        </w:rPr>
        <w:t>(…)</w:t>
      </w:r>
    </w:p>
    <w:p w:rsidRPr="007E3C3D" w:rsidR="007E3C3D" w:rsidP="007E3C3D" w:rsidRDefault="007E3C3D" w14:paraId="6E59B791" w14:textId="77777777">
      <w:pPr>
        <w:jc w:val="both"/>
        <w:outlineLvl w:val="0"/>
        <w:rPr>
          <w:lang w:val="es-PE"/>
        </w:rPr>
      </w:pPr>
      <w:r w:rsidRPr="007E3C3D">
        <w:rPr>
          <w:lang w:val="es-PE"/>
        </w:rPr>
        <w:t xml:space="preserve">c) Cuando se presente fraudulentamente una solicitud de cobertura </w:t>
      </w:r>
      <w:r w:rsidRPr="007E3C3D">
        <w:rPr>
          <w:b/>
          <w:bCs/>
          <w:lang w:val="es-PE"/>
        </w:rPr>
        <w:t>basada en documentos o declaraciones falsas</w:t>
      </w:r>
      <w:r w:rsidRPr="007E3C3D">
        <w:rPr>
          <w:lang w:val="es-PE"/>
        </w:rPr>
        <w:t xml:space="preserve">, según lo establecido en el Artículo </w:t>
      </w:r>
      <w:proofErr w:type="spellStart"/>
      <w:r w:rsidRPr="007E3C3D">
        <w:rPr>
          <w:lang w:val="es-PE"/>
        </w:rPr>
        <w:t>Nº</w:t>
      </w:r>
      <w:proofErr w:type="spellEnd"/>
      <w:r w:rsidRPr="007E3C3D">
        <w:rPr>
          <w:lang w:val="es-PE"/>
        </w:rPr>
        <w:t xml:space="preserve"> 10. La Compañía comunicará la resolución al Contratante dentro de los treinta (30) días posteriores a haber tomado conocimiento del fraude. (El subrayado es nuestro). </w:t>
      </w:r>
    </w:p>
    <w:p w:rsidRPr="007E3C3D" w:rsidR="007E3C3D" w:rsidP="007E3C3D" w:rsidRDefault="007E3C3D" w14:paraId="02E43954" w14:textId="77777777">
      <w:pPr>
        <w:jc w:val="both"/>
        <w:outlineLvl w:val="0"/>
        <w:rPr>
          <w:lang w:val="es-PE"/>
        </w:rPr>
      </w:pPr>
    </w:p>
    <w:p w:rsidRPr="007E3C3D" w:rsidR="007E3C3D" w:rsidP="007E3C3D" w:rsidRDefault="007E3C3D" w14:paraId="0878048A" w14:textId="77777777">
      <w:pPr>
        <w:jc w:val="both"/>
        <w:outlineLvl w:val="0"/>
        <w:rPr>
          <w:lang w:val="es-PE"/>
        </w:rPr>
      </w:pPr>
      <w:r w:rsidRPr="007E3C3D">
        <w:rPr>
          <w:lang w:val="es-PE"/>
        </w:rPr>
        <w:t>En ese sentido, le informamos que su solicitud carece de cobertura, asimismo le informamos que el contrato se encuentra resuelto, habiendo perdido cualquier derecho emanado del mismo, de acuerdo a lo estipulado previamente.”</w:t>
      </w:r>
    </w:p>
    <w:p w:rsidRPr="007E3C3D" w:rsidR="007E3C3D" w:rsidP="007E3C3D" w:rsidRDefault="007E3C3D" w14:paraId="7F52DE60" w14:textId="77777777">
      <w:pPr>
        <w:jc w:val="both"/>
        <w:outlineLvl w:val="0"/>
        <w:rPr>
          <w:lang w:val="es-PE"/>
        </w:rPr>
      </w:pPr>
    </w:p>
    <w:p w:rsidRPr="007E3C3D" w:rsidR="007E3C3D" w:rsidP="007E3C3D" w:rsidRDefault="007E3C3D" w14:paraId="2929FB35" w14:textId="77777777">
      <w:pPr>
        <w:jc w:val="both"/>
        <w:outlineLvl w:val="0"/>
        <w:rPr>
          <w:bCs/>
          <w:lang w:val="es-PE"/>
        </w:rPr>
      </w:pPr>
      <w:r w:rsidRPr="007E3C3D">
        <w:rPr>
          <w:bCs/>
          <w:lang w:val="es-PE"/>
        </w:rPr>
        <w:t>En resumen, según la Carta de Rechazo, la reclamante habría incurrido en un caso de actuación fraudulenta, por lo que, en aplicación de lo dispuesto en la póliza, esta perdería sus derechos indemnizatorios propios del siniestro reclamado y, además, se determinaría la resolución del contrato de seguros.</w:t>
      </w:r>
    </w:p>
    <w:p w:rsidRPr="007E3C3D" w:rsidR="007E3C3D" w:rsidP="007E3C3D" w:rsidRDefault="007E3C3D" w14:paraId="4A96F200" w14:textId="77777777">
      <w:pPr>
        <w:jc w:val="both"/>
        <w:outlineLvl w:val="0"/>
        <w:rPr>
          <w:bCs/>
          <w:lang w:val="es-PE"/>
        </w:rPr>
      </w:pPr>
    </w:p>
    <w:p w:rsidRPr="007E3C3D" w:rsidR="007E3C3D" w:rsidP="007E3C3D" w:rsidRDefault="007E3C3D" w14:paraId="1BCECA5C" w14:textId="77777777">
      <w:pPr>
        <w:jc w:val="both"/>
        <w:outlineLvl w:val="0"/>
        <w:rPr>
          <w:bCs/>
          <w:lang w:val="es-PE"/>
        </w:rPr>
      </w:pPr>
      <w:r w:rsidRPr="007E3C3D">
        <w:rPr>
          <w:bCs/>
          <w:lang w:val="es-PE"/>
        </w:rPr>
        <w:t>Ante ello, corresponde analizar el siniestro y lo expuesto por la reclamante, a fin de determinar la legitimidad del rechazo objeto de la presente controversia.</w:t>
      </w:r>
    </w:p>
    <w:p w:rsidRPr="007E3C3D" w:rsidR="007E3C3D" w:rsidP="007E3C3D" w:rsidRDefault="007E3C3D" w14:paraId="6735F586" w14:textId="77777777">
      <w:pPr>
        <w:jc w:val="both"/>
        <w:outlineLvl w:val="0"/>
        <w:rPr>
          <w:lang w:val="es-PE"/>
        </w:rPr>
      </w:pPr>
    </w:p>
    <w:p w:rsidRPr="007E3C3D" w:rsidR="007E3C3D" w:rsidP="007E3C3D" w:rsidRDefault="007E3C3D" w14:paraId="1C19082C" w14:textId="77777777">
      <w:pPr>
        <w:jc w:val="both"/>
        <w:outlineLvl w:val="0"/>
        <w:rPr>
          <w:lang w:val="es-PE"/>
        </w:rPr>
      </w:pPr>
      <w:r w:rsidRPr="007E3C3D">
        <w:rPr>
          <w:b/>
          <w:u w:val="single"/>
          <w:lang w:val="es-PE"/>
        </w:rPr>
        <w:t>Octavo:</w:t>
      </w:r>
      <w:r w:rsidRPr="007E3C3D">
        <w:rPr>
          <w:lang w:val="es-PE"/>
        </w:rPr>
        <w:t xml:space="preserve"> Que, en primer lugar, se debe determinar si es que la póliza resultaba de conocimiento de la reclamante. Así pues, la reclamante afirma que el artículo citado como </w:t>
      </w:r>
      <w:r w:rsidRPr="007E3C3D">
        <w:rPr>
          <w:lang w:val="es-PE"/>
        </w:rPr>
        <w:t>causal de resolución (Artículo 9° del Condicionado General) no está presente en el texto de la póliza que le fue proporcionado</w:t>
      </w:r>
      <w:r w:rsidRPr="007E3C3D">
        <w:rPr>
          <w:vertAlign w:val="superscript"/>
          <w:lang w:val="es-PE"/>
        </w:rPr>
        <w:footnoteReference w:id="1"/>
      </w:r>
      <w:r w:rsidRPr="007E3C3D">
        <w:rPr>
          <w:lang w:val="es-PE"/>
        </w:rPr>
        <w:t xml:space="preserve">. </w:t>
      </w:r>
    </w:p>
    <w:p w:rsidRPr="007E3C3D" w:rsidR="007E3C3D" w:rsidP="007E3C3D" w:rsidRDefault="007E3C3D" w14:paraId="075B4872" w14:textId="77777777">
      <w:pPr>
        <w:jc w:val="both"/>
        <w:outlineLvl w:val="0"/>
        <w:rPr>
          <w:lang w:val="es-PE"/>
        </w:rPr>
      </w:pPr>
    </w:p>
    <w:p w:rsidRPr="007E3C3D" w:rsidR="007E3C3D" w:rsidP="007E3C3D" w:rsidRDefault="007E3C3D" w14:paraId="53F6E354" w14:textId="77777777">
      <w:pPr>
        <w:jc w:val="both"/>
        <w:outlineLvl w:val="0"/>
        <w:rPr>
          <w:lang w:val="es-PE"/>
        </w:rPr>
      </w:pPr>
      <w:r w:rsidRPr="007E3C3D">
        <w:rPr>
          <w:lang w:val="es-PE"/>
        </w:rPr>
        <w:t>Sobre el particular, debemos precisar que la póliza ante la que nos encontramos resulta un “seguro de grupo”, conforme a lo definido en el literal z) del artículo 2° del Reglamento</w:t>
      </w:r>
      <w:r w:rsidRPr="007E3C3D">
        <w:t xml:space="preserve"> de Transparencia de Información y Contratación de Seguros, aprobado mediante </w:t>
      </w:r>
      <w:r w:rsidRPr="007E3C3D">
        <w:rPr>
          <w:lang w:val="es-PE"/>
        </w:rPr>
        <w:t xml:space="preserve">Resolución SBS </w:t>
      </w:r>
      <w:proofErr w:type="spellStart"/>
      <w:r w:rsidRPr="007E3C3D">
        <w:rPr>
          <w:lang w:val="es-PE"/>
        </w:rPr>
        <w:t>N°</w:t>
      </w:r>
      <w:proofErr w:type="spellEnd"/>
      <w:r w:rsidRPr="007E3C3D">
        <w:rPr>
          <w:lang w:val="es-PE"/>
        </w:rPr>
        <w:t xml:space="preserve"> 1399-2013</w:t>
      </w:r>
      <w:r w:rsidRPr="007E3C3D">
        <w:rPr>
          <w:vertAlign w:val="superscript"/>
          <w:lang w:val="es-PE"/>
        </w:rPr>
        <w:footnoteReference w:id="2"/>
      </w:r>
      <w:r w:rsidRPr="007E3C3D">
        <w:rPr>
          <w:lang w:val="es-PE"/>
        </w:rPr>
        <w:t xml:space="preserve"> (en adelante, el Reglamento). Por lo indicado, la remisión del Condicionado General de la póliza resulta estar regulado de la siguiente forma en el Reglamento:</w:t>
      </w:r>
    </w:p>
    <w:p w:rsidRPr="007E3C3D" w:rsidR="007E3C3D" w:rsidP="007E3C3D" w:rsidRDefault="007E3C3D" w14:paraId="417BE3E8" w14:textId="77777777">
      <w:pPr>
        <w:jc w:val="both"/>
        <w:outlineLvl w:val="0"/>
        <w:rPr>
          <w:lang w:val="es-PE"/>
        </w:rPr>
      </w:pPr>
    </w:p>
    <w:p w:rsidRPr="007E3C3D" w:rsidR="007E3C3D" w:rsidP="007E3C3D" w:rsidRDefault="007E3C3D" w14:paraId="48E325AE" w14:textId="77777777">
      <w:pPr>
        <w:jc w:val="both"/>
        <w:outlineLvl w:val="0"/>
      </w:pPr>
      <w:r w:rsidRPr="007E3C3D">
        <w:rPr>
          <w:b/>
        </w:rPr>
        <w:t>“Artículo 14.- Entrega de pólizas o certificados de seguro</w:t>
      </w:r>
    </w:p>
    <w:p w:rsidRPr="007E3C3D" w:rsidR="007E3C3D" w:rsidP="007E3C3D" w:rsidRDefault="007E3C3D" w14:paraId="4D295B5A" w14:textId="77777777">
      <w:pPr>
        <w:jc w:val="both"/>
        <w:outlineLvl w:val="0"/>
      </w:pPr>
      <w:r w:rsidRPr="007E3C3D">
        <w:t>La solicitud de seguro deberá ser presentada a la empresa, al comercializador o al promotor de seguros, de ser el caso, y de no mediar rechazo de esta, dentro del plazo de quince (15) días, la empresa deberá:</w:t>
      </w:r>
    </w:p>
    <w:p w:rsidRPr="007E3C3D" w:rsidR="007E3C3D" w:rsidP="007E3C3D" w:rsidRDefault="007E3C3D" w14:paraId="46A26F0D" w14:textId="77777777">
      <w:pPr>
        <w:numPr>
          <w:ilvl w:val="0"/>
          <w:numId w:val="42"/>
        </w:numPr>
        <w:jc w:val="both"/>
        <w:outlineLvl w:val="0"/>
        <w:rPr>
          <w:bCs/>
          <w:lang w:val="es-ES_tradnl"/>
        </w:rPr>
      </w:pPr>
      <w:r w:rsidRPr="007E3C3D">
        <w:rPr>
          <w:bCs/>
          <w:lang w:val="es-ES_tradnl"/>
        </w:rPr>
        <w:t xml:space="preserve">En el caso de seguros individuales, entregar la póliza de seguro al contratante y/o asegurado. En caso se haya entregado la póliza al contratante, y el asegurado sea una persona distinta, este podrá solicitar copia de la póliza a la empresa, sin perjuicio del pago que podría corresponder por efectuar dicho servicio. </w:t>
      </w:r>
    </w:p>
    <w:p w:rsidRPr="007E3C3D" w:rsidR="007E3C3D" w:rsidP="007E3C3D" w:rsidRDefault="007E3C3D" w14:paraId="608B1A04" w14:textId="77777777">
      <w:pPr>
        <w:numPr>
          <w:ilvl w:val="0"/>
          <w:numId w:val="42"/>
        </w:numPr>
        <w:jc w:val="both"/>
        <w:outlineLvl w:val="0"/>
        <w:rPr>
          <w:b/>
        </w:rPr>
      </w:pPr>
      <w:r w:rsidRPr="007E3C3D">
        <w:rPr>
          <w:b/>
          <w:lang w:val="es-ES_tradnl"/>
        </w:rPr>
        <w:t>Tratándose de seguros de grupo o colectivos, entregar el certificado de seguro al asegurado</w:t>
      </w:r>
      <w:r w:rsidRPr="007E3C3D">
        <w:rPr>
          <w:bCs/>
          <w:lang w:val="es-ES_tradnl"/>
        </w:rPr>
        <w:t xml:space="preserve">, considerando para tal efecto el contenido señalado en el Anexo </w:t>
      </w:r>
      <w:proofErr w:type="spellStart"/>
      <w:r w:rsidRPr="007E3C3D">
        <w:rPr>
          <w:bCs/>
          <w:lang w:val="es-ES_tradnl"/>
        </w:rPr>
        <w:t>N°</w:t>
      </w:r>
      <w:proofErr w:type="spellEnd"/>
      <w:r w:rsidRPr="007E3C3D">
        <w:rPr>
          <w:bCs/>
          <w:lang w:val="es-ES_tradnl"/>
        </w:rPr>
        <w:t xml:space="preserve"> 1.  De igual forma, la empresa podrá, a través del contratante, entregar dicho certificado al asegurado, sin perjuicio de la responsabilidad que le corresponde.</w:t>
      </w:r>
    </w:p>
    <w:p w:rsidRPr="007E3C3D" w:rsidR="007E3C3D" w:rsidP="007E3C3D" w:rsidRDefault="007E3C3D" w14:paraId="5371F28E" w14:textId="77777777">
      <w:pPr>
        <w:numPr>
          <w:ilvl w:val="0"/>
          <w:numId w:val="42"/>
        </w:numPr>
        <w:jc w:val="both"/>
        <w:outlineLvl w:val="0"/>
        <w:rPr>
          <w:b/>
        </w:rPr>
      </w:pPr>
      <w:r w:rsidRPr="007E3C3D">
        <w:rPr>
          <w:bCs/>
          <w:lang w:val="es-ES_tradnl"/>
        </w:rPr>
        <w:t>En caso de haber efectuado nombramiento a un corredor de seguros, la empresa de seguros debe enviar la póliza al corredor de seguros de manera simultánea al asegurado y/o contratante.</w:t>
      </w:r>
      <w:r w:rsidRPr="007E3C3D">
        <w:rPr>
          <w:bCs/>
          <w:vertAlign w:val="superscript"/>
          <w:lang w:val="es-ES_tradnl"/>
        </w:rPr>
        <w:footnoteReference w:id="3"/>
      </w:r>
    </w:p>
    <w:p w:rsidRPr="007E3C3D" w:rsidR="007E3C3D" w:rsidP="007E3C3D" w:rsidRDefault="007E3C3D" w14:paraId="55730907" w14:textId="77777777">
      <w:pPr>
        <w:jc w:val="both"/>
        <w:outlineLvl w:val="0"/>
        <w:rPr>
          <w:b/>
        </w:rPr>
      </w:pPr>
    </w:p>
    <w:p w:rsidRPr="007E3C3D" w:rsidR="007E3C3D" w:rsidP="007E3C3D" w:rsidRDefault="007E3C3D" w14:paraId="392E2A69" w14:textId="77777777">
      <w:pPr>
        <w:jc w:val="both"/>
        <w:outlineLvl w:val="0"/>
        <w:rPr>
          <w:iCs/>
          <w:lang w:val="es-ES_tradnl"/>
        </w:rPr>
      </w:pPr>
      <w:r w:rsidRPr="007E3C3D">
        <w:rPr>
          <w:b/>
          <w:bCs/>
          <w:iCs/>
          <w:u w:val="single"/>
          <w:lang w:val="es-ES_tradnl"/>
        </w:rPr>
        <w:t xml:space="preserve">A solicitud del contratante y/o asegurado, las empresas emitirán copia de la póliza correspondiente, debiendo entregarla </w:t>
      </w:r>
      <w:r w:rsidRPr="007E3C3D">
        <w:rPr>
          <w:b/>
          <w:bCs/>
          <w:u w:val="single"/>
          <w:lang w:val="es-ES_tradnl"/>
        </w:rPr>
        <w:t>en</w:t>
      </w:r>
      <w:r w:rsidRPr="007E3C3D">
        <w:rPr>
          <w:b/>
          <w:bCs/>
          <w:iCs/>
          <w:u w:val="single"/>
          <w:lang w:val="es-ES_tradnl"/>
        </w:rPr>
        <w:t xml:space="preserve"> el plazo establecido en el artículo precedente. El derecho del asegurado a solicitar copia de la póliza de seguro de grupo a la empresa deberá figurar impreso en el certificado de seguro</w:t>
      </w:r>
      <w:r w:rsidRPr="007E3C3D">
        <w:rPr>
          <w:iCs/>
          <w:lang w:val="es-ES_tradnl"/>
        </w:rPr>
        <w:t>.”</w:t>
      </w:r>
    </w:p>
    <w:p w:rsidRPr="007E3C3D" w:rsidR="007E3C3D" w:rsidP="007E3C3D" w:rsidRDefault="007E3C3D" w14:paraId="3B1DC1F5" w14:textId="77777777">
      <w:pPr>
        <w:jc w:val="both"/>
        <w:outlineLvl w:val="0"/>
        <w:rPr>
          <w:iCs/>
          <w:lang w:val="es-ES_tradnl"/>
        </w:rPr>
      </w:pPr>
      <w:r w:rsidRPr="007E3C3D">
        <w:rPr>
          <w:iCs/>
          <w:lang w:val="es-ES_tradnl"/>
        </w:rPr>
        <w:t>[resaltado en negritas y subrayado de nuestra autoría]</w:t>
      </w:r>
    </w:p>
    <w:p w:rsidRPr="007E3C3D" w:rsidR="007E3C3D" w:rsidP="007E3C3D" w:rsidRDefault="007E3C3D" w14:paraId="7FA6963D" w14:textId="77777777">
      <w:pPr>
        <w:jc w:val="both"/>
        <w:outlineLvl w:val="0"/>
        <w:rPr>
          <w:lang w:val="es-PE"/>
        </w:rPr>
      </w:pPr>
    </w:p>
    <w:p w:rsidRPr="007E3C3D" w:rsidR="007E3C3D" w:rsidP="007E3C3D" w:rsidRDefault="007E3C3D" w14:paraId="34DE91E1" w14:textId="77777777">
      <w:pPr>
        <w:jc w:val="both"/>
        <w:outlineLvl w:val="0"/>
        <w:rPr>
          <w:lang w:val="es-PE"/>
        </w:rPr>
      </w:pPr>
      <w:r w:rsidRPr="007E3C3D">
        <w:rPr>
          <w:lang w:val="es-PE"/>
        </w:rPr>
        <w:t>Conforme se puede apreciar, en el caso de seguros de grupo, tal como el presente caso, los asegurados reciben un certificado de seguro en el que debe constar el derecho de este a requerir las Condiciones Generales de la póliza. En otras palabras, el Condicionado General es un documento que el asegurado o la reclamante, en el presente caso, debe solicitar si así lo desea. Así pues, podemos apreciar que la aseguradora cumplió con lo establecido en la norma glosada, toda vez que en el certificado de seguro de la póliza adjunto por la misma reclamante se aprecia lo siguiente:</w:t>
      </w:r>
    </w:p>
    <w:p w:rsidRPr="007E3C3D" w:rsidR="007E3C3D" w:rsidP="007E3C3D" w:rsidRDefault="007E3C3D" w14:paraId="598F37FB" w14:textId="77777777">
      <w:pPr>
        <w:jc w:val="both"/>
        <w:outlineLvl w:val="0"/>
        <w:rPr>
          <w:lang w:val="es-PE"/>
        </w:rPr>
      </w:pPr>
    </w:p>
    <w:p w:rsidRPr="007E3C3D" w:rsidR="007E3C3D" w:rsidP="007E3C3D" w:rsidRDefault="007E3C3D" w14:paraId="666390D1" w14:textId="13CB0211">
      <w:pPr>
        <w:jc w:val="both"/>
        <w:outlineLvl w:val="0"/>
      </w:pPr>
      <w:r w:rsidR="4C80708F">
        <w:rPr/>
        <w:t>.......................................................................................................................................</w:t>
      </w:r>
    </w:p>
    <w:p w:rsidRPr="007E3C3D" w:rsidR="007E3C3D" w:rsidP="007E3C3D" w:rsidRDefault="007E3C3D" w14:paraId="14B78CB4" w14:textId="77777777">
      <w:pPr>
        <w:jc w:val="both"/>
        <w:outlineLvl w:val="0"/>
        <w:rPr>
          <w:lang w:val="es-PE"/>
        </w:rPr>
      </w:pPr>
    </w:p>
    <w:p w:rsidRPr="007E3C3D" w:rsidR="007E3C3D" w:rsidP="007E3C3D" w:rsidRDefault="007E3C3D" w14:paraId="609D82A5" w14:textId="77777777">
      <w:pPr>
        <w:jc w:val="both"/>
        <w:outlineLvl w:val="0"/>
        <w:rPr>
          <w:lang w:val="es-PE"/>
        </w:rPr>
      </w:pPr>
      <w:r w:rsidRPr="007E3C3D">
        <w:rPr>
          <w:lang w:val="es-PE"/>
        </w:rPr>
        <w:t xml:space="preserve">Si bien el asegurado estuvo en capacidad de conocer los términos generales del Condicionado General, toda vez que resulta derecho de la reclamante el solicitarlos, a fin de conocer el detalle de estos; el artículo 137 de la Ley del Contrato de Seguro establece lo siguiente: </w:t>
      </w:r>
      <w:r w:rsidRPr="007E3C3D">
        <w:rPr>
          <w:i/>
          <w:iCs/>
          <w:lang w:val="es-PE"/>
        </w:rPr>
        <w:t>“No son oponibles al asegurado los contenidos contractuales que no le hayan sido informados en el certificado mencionado en el artículo anterior, cuyo contenido mínimo se sujeta a las disposiciones de la Superintendencia”</w:t>
      </w:r>
      <w:r w:rsidRPr="007E3C3D">
        <w:rPr>
          <w:lang w:val="es-PE"/>
        </w:rPr>
        <w:t xml:space="preserve">. En este caso; sin embargo, se está invocando un actuar fraudulento sustentado no solo en la póliza, sino también en la propia ley del contrato de seguro, conforme se expondrá más adelante. Además de ello, la aseguradora ha optado por la resolución del contrato, aspecto que es posterior a la ocurrencia del siniestro; y sobre el cual esta Defensoría carece de competencia, conforme se señala en el décimo primer considerando. </w:t>
      </w:r>
    </w:p>
    <w:p w:rsidRPr="007E3C3D" w:rsidR="007E3C3D" w:rsidP="007E3C3D" w:rsidRDefault="007E3C3D" w14:paraId="15A9E90F" w14:textId="77777777">
      <w:pPr>
        <w:jc w:val="both"/>
        <w:outlineLvl w:val="0"/>
        <w:rPr>
          <w:lang w:val="es-PE"/>
        </w:rPr>
      </w:pPr>
    </w:p>
    <w:p w:rsidRPr="007E3C3D" w:rsidR="007E3C3D" w:rsidP="007E3C3D" w:rsidRDefault="007E3C3D" w14:paraId="325E9441" w14:textId="77777777">
      <w:pPr>
        <w:jc w:val="both"/>
        <w:outlineLvl w:val="0"/>
        <w:rPr>
          <w:lang w:val="es-PE"/>
        </w:rPr>
      </w:pPr>
      <w:r w:rsidRPr="007E3C3D">
        <w:rPr>
          <w:b/>
          <w:u w:val="single"/>
          <w:lang w:val="es-PE"/>
        </w:rPr>
        <w:t>Noveno:</w:t>
      </w:r>
      <w:r w:rsidRPr="007E3C3D">
        <w:rPr>
          <w:lang w:val="es-PE"/>
        </w:rPr>
        <w:t xml:space="preserve"> Que, sin perjuicio de lo indicado anteriormente, para analizar el presente caso resulta indispensable contar con una definición clara de lo que implica el rechazo de la aseguradora. En ese sentido, conforme al Condicionado General de la póliza se puede apreciar la siguiente causal:</w:t>
      </w:r>
    </w:p>
    <w:p w:rsidRPr="007E3C3D" w:rsidR="007E3C3D" w:rsidP="007E3C3D" w:rsidRDefault="007E3C3D" w14:paraId="716A571B" w14:textId="77777777">
      <w:pPr>
        <w:jc w:val="both"/>
        <w:outlineLvl w:val="0"/>
        <w:rPr>
          <w:lang w:val="es-PE"/>
        </w:rPr>
      </w:pPr>
    </w:p>
    <w:p w:rsidRPr="007E3C3D" w:rsidR="007E3C3D" w:rsidP="007E3C3D" w:rsidRDefault="007E3C3D" w14:paraId="179C8A51" w14:textId="77777777">
      <w:pPr>
        <w:jc w:val="both"/>
        <w:outlineLvl w:val="0"/>
        <w:rPr>
          <w:lang w:val="es-PE"/>
        </w:rPr>
      </w:pPr>
      <w:r w:rsidRPr="007E3C3D">
        <w:rPr>
          <w:b/>
          <w:bCs/>
          <w:lang w:val="es-PE"/>
        </w:rPr>
        <w:t xml:space="preserve">“ARTÍCULO </w:t>
      </w:r>
      <w:proofErr w:type="spellStart"/>
      <w:r w:rsidRPr="007E3C3D">
        <w:rPr>
          <w:b/>
          <w:bCs/>
          <w:lang w:val="es-PE"/>
        </w:rPr>
        <w:t>Nº</w:t>
      </w:r>
      <w:proofErr w:type="spellEnd"/>
      <w:r w:rsidRPr="007E3C3D">
        <w:rPr>
          <w:b/>
          <w:bCs/>
          <w:lang w:val="es-PE"/>
        </w:rPr>
        <w:t xml:space="preserve"> 9: CAUSALES DE RESOLUCIÓN DEL CONTRATO </w:t>
      </w:r>
    </w:p>
    <w:p w:rsidRPr="007E3C3D" w:rsidR="007E3C3D" w:rsidP="007E3C3D" w:rsidRDefault="007E3C3D" w14:paraId="6B73014B" w14:textId="77777777">
      <w:pPr>
        <w:jc w:val="both"/>
        <w:outlineLvl w:val="0"/>
        <w:rPr>
          <w:lang w:val="es-PE"/>
        </w:rPr>
      </w:pPr>
      <w:r w:rsidRPr="007E3C3D">
        <w:rPr>
          <w:lang w:val="es-PE"/>
        </w:rPr>
        <w:t xml:space="preserve">La Solicitud-Certificado del Seguro quedará resuelta con respecto al Asegurado cuando se produzca cualquiera de las siguientes causales: </w:t>
      </w:r>
    </w:p>
    <w:p w:rsidRPr="007E3C3D" w:rsidR="007E3C3D" w:rsidP="007E3C3D" w:rsidRDefault="007E3C3D" w14:paraId="3605791B" w14:textId="77777777">
      <w:pPr>
        <w:jc w:val="both"/>
        <w:outlineLvl w:val="0"/>
        <w:rPr>
          <w:lang w:val="es-PE"/>
        </w:rPr>
      </w:pPr>
      <w:r w:rsidRPr="007E3C3D">
        <w:rPr>
          <w:lang w:val="es-PE"/>
        </w:rPr>
        <w:t>(…)</w:t>
      </w:r>
    </w:p>
    <w:p w:rsidRPr="007E3C3D" w:rsidR="007E3C3D" w:rsidP="007E3C3D" w:rsidRDefault="007E3C3D" w14:paraId="0B03D927" w14:textId="77777777">
      <w:pPr>
        <w:jc w:val="both"/>
        <w:outlineLvl w:val="0"/>
        <w:rPr>
          <w:lang w:val="es-PE"/>
        </w:rPr>
      </w:pPr>
      <w:r w:rsidRPr="007E3C3D">
        <w:rPr>
          <w:lang w:val="es-PE"/>
        </w:rPr>
        <w:t xml:space="preserve">c) Cuando se presente fraudulentamente una solicitud de cobertura </w:t>
      </w:r>
      <w:r w:rsidRPr="007E3C3D">
        <w:rPr>
          <w:b/>
          <w:bCs/>
          <w:lang w:val="es-PE"/>
        </w:rPr>
        <w:t>basada en documentos o declaraciones falsas</w:t>
      </w:r>
      <w:r w:rsidRPr="007E3C3D">
        <w:rPr>
          <w:lang w:val="es-PE"/>
        </w:rPr>
        <w:t xml:space="preserve">, según lo establecido en el Artículo </w:t>
      </w:r>
      <w:proofErr w:type="spellStart"/>
      <w:r w:rsidRPr="007E3C3D">
        <w:rPr>
          <w:lang w:val="es-PE"/>
        </w:rPr>
        <w:t>Nº</w:t>
      </w:r>
      <w:proofErr w:type="spellEnd"/>
      <w:r w:rsidRPr="007E3C3D">
        <w:rPr>
          <w:lang w:val="es-PE"/>
        </w:rPr>
        <w:t xml:space="preserve"> 10. La Compañía comunicará la resolución al Contratante dentro de los treinta (30) días posteriores a haber tomado conocimiento del fraude. </w:t>
      </w:r>
    </w:p>
    <w:p w:rsidRPr="007E3C3D" w:rsidR="007E3C3D" w:rsidP="007E3C3D" w:rsidRDefault="007E3C3D" w14:paraId="2DAE6691" w14:textId="77777777">
      <w:pPr>
        <w:jc w:val="both"/>
        <w:outlineLvl w:val="0"/>
        <w:rPr>
          <w:lang w:val="es-PE"/>
        </w:rPr>
      </w:pPr>
      <w:r w:rsidRPr="007E3C3D">
        <w:rPr>
          <w:lang w:val="es-PE"/>
        </w:rPr>
        <w:t>(…)”</w:t>
      </w:r>
    </w:p>
    <w:p w:rsidRPr="007E3C3D" w:rsidR="007E3C3D" w:rsidP="007E3C3D" w:rsidRDefault="007E3C3D" w14:paraId="16A18166" w14:textId="77777777">
      <w:pPr>
        <w:jc w:val="both"/>
        <w:outlineLvl w:val="0"/>
        <w:rPr>
          <w:lang w:val="es-PE"/>
        </w:rPr>
      </w:pPr>
      <w:r w:rsidRPr="007E3C3D">
        <w:rPr>
          <w:lang w:val="es-PE"/>
        </w:rPr>
        <w:t>[resaltado en negritas de nuestra autoría]</w:t>
      </w:r>
    </w:p>
    <w:p w:rsidRPr="007E3C3D" w:rsidR="007E3C3D" w:rsidP="007E3C3D" w:rsidRDefault="007E3C3D" w14:paraId="4CEDECC9" w14:textId="77777777">
      <w:pPr>
        <w:jc w:val="both"/>
        <w:outlineLvl w:val="0"/>
        <w:rPr>
          <w:lang w:val="es-PE"/>
        </w:rPr>
      </w:pPr>
    </w:p>
    <w:p w:rsidRPr="007E3C3D" w:rsidR="007E3C3D" w:rsidP="007E3C3D" w:rsidRDefault="007E3C3D" w14:paraId="5EA1C6D7" w14:textId="77777777">
      <w:pPr>
        <w:jc w:val="both"/>
        <w:outlineLvl w:val="0"/>
        <w:rPr>
          <w:lang w:val="es-PE"/>
        </w:rPr>
      </w:pPr>
      <w:r w:rsidRPr="007E3C3D">
        <w:rPr>
          <w:lang w:val="es-PE"/>
        </w:rPr>
        <w:t xml:space="preserve">Como vemos, existe una causal expresa que determina lo indicado por la aseguradora. Asimismo, sin perjuicio de ello, resulta importante remitirnos a la Ley del Contrato de Seguro cuando dispone lo siguiente: </w:t>
      </w:r>
    </w:p>
    <w:p w:rsidRPr="007E3C3D" w:rsidR="007E3C3D" w:rsidP="007E3C3D" w:rsidRDefault="007E3C3D" w14:paraId="7F560E8D" w14:textId="77777777">
      <w:pPr>
        <w:jc w:val="both"/>
        <w:outlineLvl w:val="0"/>
        <w:rPr>
          <w:lang w:val="es-PE"/>
        </w:rPr>
      </w:pPr>
    </w:p>
    <w:p w:rsidRPr="007E3C3D" w:rsidR="007E3C3D" w:rsidP="007E3C3D" w:rsidRDefault="007E3C3D" w14:paraId="23793F5F" w14:textId="77777777">
      <w:pPr>
        <w:jc w:val="both"/>
        <w:outlineLvl w:val="0"/>
        <w:rPr>
          <w:lang w:val="es-PE"/>
        </w:rPr>
      </w:pPr>
      <w:r w:rsidRPr="007E3C3D">
        <w:rPr>
          <w:b/>
          <w:bCs/>
          <w:lang w:val="es-PE"/>
        </w:rPr>
        <w:t>Artículo 73. Fraude</w:t>
      </w:r>
    </w:p>
    <w:p w:rsidRPr="007E3C3D" w:rsidR="007E3C3D" w:rsidP="007E3C3D" w:rsidRDefault="007E3C3D" w14:paraId="7D80D4A2" w14:textId="77777777">
      <w:pPr>
        <w:jc w:val="both"/>
        <w:outlineLvl w:val="0"/>
        <w:rPr>
          <w:lang w:val="es-PE"/>
        </w:rPr>
      </w:pPr>
      <w:r w:rsidRPr="007E3C3D">
        <w:rPr>
          <w:lang w:val="es-PE"/>
        </w:rPr>
        <w:t>El asegurado pierde el derecho a ser indemnizado si actúa fraudulentamente, exagera los daños o emplea medios falsos para probarlos.</w:t>
      </w:r>
    </w:p>
    <w:p w:rsidRPr="007E3C3D" w:rsidR="007E3C3D" w:rsidP="007E3C3D" w:rsidRDefault="007E3C3D" w14:paraId="526A42BC" w14:textId="77777777">
      <w:pPr>
        <w:jc w:val="both"/>
        <w:outlineLvl w:val="0"/>
        <w:rPr>
          <w:lang w:val="es-PE"/>
        </w:rPr>
      </w:pPr>
    </w:p>
    <w:p w:rsidRPr="007E3C3D" w:rsidR="007E3C3D" w:rsidP="007E3C3D" w:rsidRDefault="007E3C3D" w14:paraId="518F181D" w14:textId="77777777">
      <w:pPr>
        <w:jc w:val="both"/>
        <w:outlineLvl w:val="0"/>
        <w:rPr>
          <w:lang w:val="es-PE"/>
        </w:rPr>
      </w:pPr>
      <w:r w:rsidRPr="007E3C3D">
        <w:rPr>
          <w:lang w:val="es-PE"/>
        </w:rPr>
        <w:t>De este modo, sea por términos contractuales o del texto de la Ley, resulta de vital importancia determinar si, en el presente caso, la reclamante ha incurrido en el supuesto de hecho contemplado en la norma glosada y, de este modo, ha actuado fraudulentamente.</w:t>
      </w:r>
    </w:p>
    <w:p w:rsidRPr="007E3C3D" w:rsidR="007E3C3D" w:rsidP="007E3C3D" w:rsidRDefault="007E3C3D" w14:paraId="799CE700" w14:textId="77777777">
      <w:pPr>
        <w:jc w:val="both"/>
        <w:outlineLvl w:val="0"/>
        <w:rPr>
          <w:lang w:val="es-PE"/>
        </w:rPr>
      </w:pPr>
    </w:p>
    <w:p w:rsidRPr="007E3C3D" w:rsidR="007E3C3D" w:rsidP="007E3C3D" w:rsidRDefault="007E3C3D" w14:paraId="1356DC5F" w14:textId="77777777">
      <w:pPr>
        <w:jc w:val="both"/>
        <w:outlineLvl w:val="0"/>
        <w:rPr>
          <w:lang w:val="es-PE"/>
        </w:rPr>
      </w:pPr>
      <w:r w:rsidRPr="007E3C3D">
        <w:rPr>
          <w:lang w:val="es-PE"/>
        </w:rPr>
        <w:t xml:space="preserve">Sobre el particular, tenemos que los medios probatorios presentados por la reclamante, más allá de los referidos al procedimiento de reclamo de cobertura ante la aseguradora, se </w:t>
      </w:r>
      <w:r w:rsidRPr="007E3C3D">
        <w:rPr>
          <w:lang w:val="es-PE"/>
        </w:rPr>
        <w:t>limitan a la denuncia policial o el inicio de una investigación preliminar ante el Ministerio Público. Sobre ello, es preciso indicar que la denuncia policial, si bien resulta un requisito establecido en la póliza, no puede ser considerado como un medio probatorio que acredite -de forma determinante- un hecho, ya que solo representa la versión de la parte denunciante de lo que, a decir de ella, sucedió. Del mismo modo, la apertura de investigación preliminar a la que hace referencia la reclamante no puede ser tomada en cuenta como medio probatorio dirigido a acreditar hecho alguno, tal como se evidencia de lo dispuesto en el Nuevo Código Procesal Penal, a saber:</w:t>
      </w:r>
    </w:p>
    <w:p w:rsidRPr="007E3C3D" w:rsidR="007E3C3D" w:rsidP="007E3C3D" w:rsidRDefault="007E3C3D" w14:paraId="0650D53F" w14:textId="77777777">
      <w:pPr>
        <w:jc w:val="both"/>
        <w:outlineLvl w:val="0"/>
        <w:rPr>
          <w:lang w:val="es-PE"/>
        </w:rPr>
      </w:pPr>
    </w:p>
    <w:p w:rsidRPr="007E3C3D" w:rsidR="007E3C3D" w:rsidP="000905A2" w:rsidRDefault="007E3C3D" w14:paraId="66119638" w14:textId="77777777">
      <w:pPr>
        <w:ind w:left="1440"/>
        <w:jc w:val="both"/>
        <w:outlineLvl w:val="0"/>
        <w:rPr>
          <w:lang w:val="es-PE"/>
        </w:rPr>
      </w:pPr>
      <w:r w:rsidRPr="007E3C3D">
        <w:rPr>
          <w:b/>
          <w:bCs/>
          <w:lang w:val="es-PE"/>
        </w:rPr>
        <w:t>"Artículo 330. Investigación preliminar</w:t>
      </w:r>
    </w:p>
    <w:p w:rsidRPr="007E3C3D" w:rsidR="007E3C3D" w:rsidP="000905A2" w:rsidRDefault="007E3C3D" w14:paraId="4BBCD55C" w14:textId="77777777">
      <w:pPr>
        <w:ind w:left="1440"/>
        <w:jc w:val="both"/>
        <w:outlineLvl w:val="0"/>
        <w:rPr>
          <w:lang w:val="es-PE"/>
        </w:rPr>
      </w:pPr>
      <w:r w:rsidRPr="007E3C3D">
        <w:rPr>
          <w:lang w:val="es-PE"/>
        </w:rPr>
        <w:t>1. La investigación preliminar del delito está a cargo de la Policía Nacional del Perú con la conducción jurídica del Fiscal.</w:t>
      </w:r>
    </w:p>
    <w:p w:rsidRPr="007E3C3D" w:rsidR="007E3C3D" w:rsidP="000905A2" w:rsidRDefault="007E3C3D" w14:paraId="2651FD4B" w14:textId="77777777">
      <w:pPr>
        <w:ind w:left="1440"/>
        <w:jc w:val="both"/>
        <w:outlineLvl w:val="0"/>
        <w:rPr>
          <w:lang w:val="es-PE"/>
        </w:rPr>
      </w:pPr>
      <w:r w:rsidRPr="007E3C3D">
        <w:rPr>
          <w:lang w:val="es-PE"/>
        </w:rPr>
        <w:t xml:space="preserve">2. </w:t>
      </w:r>
      <w:r w:rsidRPr="007E3C3D">
        <w:rPr>
          <w:b/>
          <w:bCs/>
          <w:u w:val="single"/>
          <w:lang w:val="es-PE"/>
        </w:rPr>
        <w:t>La investigación preliminar tiene por finalidad inmediata realizar los actos urgentes o inaplazables destinados a determinar si han tenido lugar los hechos objeto de conocimiento</w:t>
      </w:r>
      <w:r w:rsidRPr="007E3C3D">
        <w:rPr>
          <w:lang w:val="es-PE"/>
        </w:rPr>
        <w:t xml:space="preserve"> y su </w:t>
      </w:r>
      <w:proofErr w:type="spellStart"/>
      <w:r w:rsidRPr="007E3C3D">
        <w:rPr>
          <w:lang w:val="es-PE"/>
        </w:rPr>
        <w:t>delictuosidad</w:t>
      </w:r>
      <w:proofErr w:type="spellEnd"/>
      <w:r w:rsidRPr="007E3C3D">
        <w:rPr>
          <w:lang w:val="es-PE"/>
        </w:rPr>
        <w:t>, así como asegurar los elementos materiales de su comisión, individualizar a las personas involucradas en los hechos, incluyendo a los agraviados, y, dentro de los límites de la Ley, asegurarlas debidamente; y como finalidad mediata investigar los hechos identificando, ubicando, capturando o citando a los presuntos autores y demás partícipes del hecho delictivo, a efectos de ponerlos a disposición del Fiscal con el informe policial respectivo para que este decida sobre la formalización de la Investigación Preparatoria.</w:t>
      </w:r>
    </w:p>
    <w:p w:rsidRPr="007E3C3D" w:rsidR="007E3C3D" w:rsidP="000905A2" w:rsidRDefault="007E3C3D" w14:paraId="326EFC0A" w14:textId="77777777">
      <w:pPr>
        <w:ind w:left="1440"/>
        <w:jc w:val="both"/>
        <w:outlineLvl w:val="0"/>
        <w:rPr>
          <w:lang w:val="es-PE"/>
        </w:rPr>
      </w:pPr>
      <w:r w:rsidRPr="007E3C3D">
        <w:rPr>
          <w:lang w:val="es-PE"/>
        </w:rPr>
        <w:t>(…)”</w:t>
      </w:r>
    </w:p>
    <w:p w:rsidRPr="007E3C3D" w:rsidR="007E3C3D" w:rsidP="000905A2" w:rsidRDefault="007E3C3D" w14:paraId="66C7E4A5" w14:textId="77777777">
      <w:pPr>
        <w:ind w:left="1440"/>
        <w:jc w:val="both"/>
        <w:outlineLvl w:val="0"/>
        <w:rPr>
          <w:lang w:val="es-PE"/>
        </w:rPr>
      </w:pPr>
      <w:r w:rsidRPr="007E3C3D">
        <w:rPr>
          <w:lang w:val="es-PE"/>
        </w:rPr>
        <w:t>[resaltado en negritas y subrayado de nuestra autoría]</w:t>
      </w:r>
    </w:p>
    <w:p w:rsidRPr="007E3C3D" w:rsidR="007E3C3D" w:rsidP="007E3C3D" w:rsidRDefault="007E3C3D" w14:paraId="1D9B860E" w14:textId="77777777">
      <w:pPr>
        <w:jc w:val="both"/>
        <w:outlineLvl w:val="0"/>
        <w:rPr>
          <w:lang w:val="es-PE"/>
        </w:rPr>
      </w:pPr>
    </w:p>
    <w:p w:rsidRPr="007E3C3D" w:rsidR="007E3C3D" w:rsidP="007E3C3D" w:rsidRDefault="007E3C3D" w14:paraId="72728114" w14:textId="77777777">
      <w:pPr>
        <w:jc w:val="both"/>
        <w:outlineLvl w:val="0"/>
        <w:rPr>
          <w:lang w:val="es-PE"/>
        </w:rPr>
      </w:pPr>
      <w:r w:rsidRPr="007E3C3D">
        <w:rPr>
          <w:lang w:val="es-PE"/>
        </w:rPr>
        <w:t xml:space="preserve">Como se puede apreciar, el inicio de una investigación preliminar significa el intento del Ministerio Público para determinar la veracidad (y </w:t>
      </w:r>
      <w:proofErr w:type="spellStart"/>
      <w:r w:rsidRPr="007E3C3D">
        <w:rPr>
          <w:lang w:val="es-PE"/>
        </w:rPr>
        <w:t>delictuosidad</w:t>
      </w:r>
      <w:proofErr w:type="spellEnd"/>
      <w:r w:rsidRPr="007E3C3D">
        <w:rPr>
          <w:lang w:val="es-PE"/>
        </w:rPr>
        <w:t xml:space="preserve">) de los hechos denunciados. En buena cuenta, una disposición fiscal que inicie una investigación preliminar no resulta medio idóneo para acreditar la veracidad de los hechos narrados. En resumen, de los medios probatorios ofrecidos por la reclamante, no se cuenta con investigación, documento o medio probatorio conducente que se dirija a acreditar que los hechos sucedieron como los narra la reclamante. </w:t>
      </w:r>
    </w:p>
    <w:p w:rsidRPr="007E3C3D" w:rsidR="007E3C3D" w:rsidP="007E3C3D" w:rsidRDefault="007E3C3D" w14:paraId="2DCECCBC" w14:textId="77777777">
      <w:pPr>
        <w:jc w:val="both"/>
        <w:outlineLvl w:val="0"/>
        <w:rPr>
          <w:lang w:val="es-PE"/>
        </w:rPr>
      </w:pPr>
    </w:p>
    <w:p w:rsidRPr="007E3C3D" w:rsidR="007E3C3D" w:rsidP="007E3C3D" w:rsidRDefault="007E3C3D" w14:paraId="7191147F" w14:textId="77777777">
      <w:pPr>
        <w:jc w:val="both"/>
        <w:outlineLvl w:val="0"/>
        <w:rPr>
          <w:lang w:val="es-PE"/>
        </w:rPr>
      </w:pPr>
      <w:r w:rsidRPr="007E3C3D">
        <w:rPr>
          <w:lang w:val="es-PE"/>
        </w:rPr>
        <w:t>Por otro lado, atendiendo a ello, la aseguradora ha solicitado que la reclamante se someta a una prueba poligráfica. Así pues, lo cierto es que dicha prueba resulta el único medio probatorio que, con carácter científico, puede aproximarnos a lo realmente sucedido aquel 19 de junio de 2024.</w:t>
      </w:r>
    </w:p>
    <w:p w:rsidRPr="007E3C3D" w:rsidR="007E3C3D" w:rsidP="007E3C3D" w:rsidRDefault="007E3C3D" w14:paraId="65CC41EC" w14:textId="77777777">
      <w:pPr>
        <w:jc w:val="both"/>
        <w:outlineLvl w:val="0"/>
        <w:rPr>
          <w:lang w:val="es-PE"/>
        </w:rPr>
      </w:pPr>
    </w:p>
    <w:p w:rsidRPr="007E3C3D" w:rsidR="007E3C3D" w:rsidP="007E3C3D" w:rsidRDefault="007E3C3D" w14:paraId="6809E940" w14:textId="77777777">
      <w:pPr>
        <w:jc w:val="both"/>
        <w:outlineLvl w:val="0"/>
        <w:rPr>
          <w:lang w:val="es-PE"/>
        </w:rPr>
      </w:pPr>
      <w:r w:rsidRPr="007E3C3D">
        <w:rPr>
          <w:b/>
          <w:u w:val="single"/>
          <w:lang w:val="es-PE"/>
        </w:rPr>
        <w:t>Décimo:</w:t>
      </w:r>
      <w:r w:rsidRPr="007E3C3D">
        <w:rPr>
          <w:lang w:val="es-PE"/>
        </w:rPr>
        <w:t xml:space="preserve"> Que, es preciso indicar que DEFASEG ha tenido ocasión de pronunciarse respecto de la naturaleza y utilidad de la prueba poligráfica, tal como podemos apreciar a continuación:</w:t>
      </w:r>
    </w:p>
    <w:p w:rsidRPr="007E3C3D" w:rsidR="007E3C3D" w:rsidP="007E3C3D" w:rsidRDefault="007E3C3D" w14:paraId="5F463961" w14:textId="77777777">
      <w:pPr>
        <w:jc w:val="both"/>
        <w:outlineLvl w:val="0"/>
        <w:rPr>
          <w:lang w:val="es-PE"/>
        </w:rPr>
      </w:pPr>
    </w:p>
    <w:p w:rsidRPr="007E3C3D" w:rsidR="007E3C3D" w:rsidP="000905A2" w:rsidRDefault="007E3C3D" w14:paraId="2414251E" w14:textId="77777777">
      <w:pPr>
        <w:ind w:left="1440"/>
        <w:jc w:val="both"/>
        <w:outlineLvl w:val="0"/>
      </w:pPr>
      <w:r w:rsidRPr="007E3C3D">
        <w:t xml:space="preserve">“6.4. (…) Debe destacarse que, </w:t>
      </w:r>
      <w:r w:rsidRPr="007E3C3D">
        <w:rPr>
          <w:b/>
          <w:bCs/>
        </w:rPr>
        <w:t>si bien la prueba del polígrafo no arroja resultados absolutos, sí son al menos científicamente confiables, y permiten razonablemente poner bajo cuestionamiento la veracidad del relato sobre lo sucedido y la real configuración del robo denunciado</w:t>
      </w:r>
      <w:r w:rsidRPr="007E3C3D">
        <w:t xml:space="preserve">.  Y si a ello se suma lo relativo a los movimientos en la cuenta de ahorros, según documentación obrante en el expediente, bien puede concluirse que </w:t>
      </w:r>
      <w:r w:rsidRPr="007E3C3D">
        <w:t>existen criterios objetivos para postular que se está ante una reclamación fraudulenta, por lo que resulta justificada la negativa de la aseguradora de otorgar la cobertura reclamada.”</w:t>
      </w:r>
    </w:p>
    <w:p w:rsidRPr="007E3C3D" w:rsidR="007E3C3D" w:rsidP="000905A2" w:rsidRDefault="007E3C3D" w14:paraId="33E0B270" w14:textId="77777777">
      <w:pPr>
        <w:ind w:left="1440"/>
        <w:jc w:val="both"/>
        <w:outlineLvl w:val="0"/>
      </w:pPr>
      <w:r w:rsidRPr="007E3C3D">
        <w:t xml:space="preserve">[Resolución </w:t>
      </w:r>
      <w:proofErr w:type="spellStart"/>
      <w:r w:rsidRPr="007E3C3D">
        <w:t>N°</w:t>
      </w:r>
      <w:proofErr w:type="spellEnd"/>
      <w:r w:rsidRPr="007E3C3D">
        <w:t xml:space="preserve"> 025/21]</w:t>
      </w:r>
    </w:p>
    <w:p w:rsidRPr="007E3C3D" w:rsidR="007E3C3D" w:rsidP="000905A2" w:rsidRDefault="007E3C3D" w14:paraId="4E2A318D" w14:textId="77777777">
      <w:pPr>
        <w:ind w:left="1440"/>
        <w:jc w:val="both"/>
        <w:outlineLvl w:val="0"/>
        <w:rPr>
          <w:lang w:val="es-PE"/>
        </w:rPr>
      </w:pPr>
      <w:r w:rsidRPr="007E3C3D">
        <w:t>[resaltado en negritas de nuestra autoría]</w:t>
      </w:r>
    </w:p>
    <w:p w:rsidRPr="007E3C3D" w:rsidR="007E3C3D" w:rsidP="007E3C3D" w:rsidRDefault="007E3C3D" w14:paraId="43BBD746" w14:textId="77777777">
      <w:pPr>
        <w:jc w:val="both"/>
        <w:outlineLvl w:val="0"/>
        <w:rPr>
          <w:lang w:val="es-PE"/>
        </w:rPr>
      </w:pPr>
    </w:p>
    <w:p w:rsidRPr="007E3C3D" w:rsidR="007E3C3D" w:rsidP="007E3C3D" w:rsidRDefault="007E3C3D" w14:paraId="183E653C" w14:textId="77777777">
      <w:pPr>
        <w:jc w:val="both"/>
        <w:outlineLvl w:val="0"/>
      </w:pPr>
      <w:r w:rsidRPr="007E3C3D">
        <w:t xml:space="preserve">En resumen, atendiendo a lo indicado, la reclamante no ha logrado aportar material probatorio suficiente que acredite su narración; por el contrario, la aseguradora </w:t>
      </w:r>
      <w:r w:rsidRPr="007E3C3D">
        <w:br/>
      </w:r>
      <w:r w:rsidRPr="007E3C3D">
        <w:t>-atendiendo a los términos de la póliza- cuenta con el resultado de la prueba poligráfica avalando su posición. Por lo señalado, el presente Colegiado considera que el rechazo de la aseguradora se sustenta en lo dispuesto en el Condicionado General de la póliza y en el artículo 73° de la Ley del Contrato de Seguro y, por tanto, resulta legítimo.</w:t>
      </w:r>
    </w:p>
    <w:p w:rsidRPr="007E3C3D" w:rsidR="007E3C3D" w:rsidP="007E3C3D" w:rsidRDefault="007E3C3D" w14:paraId="2CBE693E" w14:textId="77777777">
      <w:pPr>
        <w:jc w:val="both"/>
        <w:outlineLvl w:val="0"/>
      </w:pPr>
    </w:p>
    <w:p w:rsidRPr="007E3C3D" w:rsidR="007E3C3D" w:rsidP="007E3C3D" w:rsidRDefault="007E3C3D" w14:paraId="1FD83D14" w14:textId="77777777">
      <w:pPr>
        <w:jc w:val="both"/>
        <w:outlineLvl w:val="0"/>
        <w:rPr>
          <w:lang w:val="es-PE"/>
        </w:rPr>
      </w:pPr>
      <w:r w:rsidRPr="007E3C3D">
        <w:rPr>
          <w:b/>
          <w:u w:val="single"/>
          <w:lang w:val="es-PE"/>
        </w:rPr>
        <w:t>Décimo Primero</w:t>
      </w:r>
      <w:r w:rsidRPr="007E3C3D">
        <w:rPr>
          <w:b/>
          <w:lang w:val="es-PE"/>
        </w:rPr>
        <w:t>:</w:t>
      </w:r>
      <w:r w:rsidRPr="007E3C3D">
        <w:rPr>
          <w:lang w:val="es-PE"/>
        </w:rPr>
        <w:t xml:space="preserve"> Que, por otro lado, resulta preciso recordar que la competencia de DEFASEG se limita a la revisión de la legitimidad -no- del rechazo controvertido. De este modo, el Reglamento de DEFASEG nos indica lo siguiente:</w:t>
      </w:r>
    </w:p>
    <w:p w:rsidRPr="007E3C3D" w:rsidR="007E3C3D" w:rsidP="007E3C3D" w:rsidRDefault="007E3C3D" w14:paraId="45ABDBAB" w14:textId="77777777">
      <w:pPr>
        <w:jc w:val="both"/>
        <w:outlineLvl w:val="0"/>
        <w:rPr>
          <w:lang w:val="es-PE"/>
        </w:rPr>
      </w:pPr>
    </w:p>
    <w:p w:rsidRPr="007E3C3D" w:rsidR="007E3C3D" w:rsidP="007E3C3D" w:rsidRDefault="007E3C3D" w14:paraId="6D16F9D2" w14:textId="77777777">
      <w:pPr>
        <w:jc w:val="both"/>
        <w:outlineLvl w:val="0"/>
        <w:rPr>
          <w:lang w:val="es-PE"/>
        </w:rPr>
      </w:pPr>
      <w:r w:rsidRPr="007E3C3D">
        <w:rPr>
          <w:lang w:val="es-PE"/>
        </w:rPr>
        <w:t>“La Defensoría conoce los reclamos que plantean los usuarios de seguros, ello siempre y cuando cumplan con los siguientes requisitos de admisibilidad de manera concurrente:</w:t>
      </w:r>
    </w:p>
    <w:p w:rsidRPr="007E3C3D" w:rsidR="007E3C3D" w:rsidP="007E3C3D" w:rsidRDefault="007E3C3D" w14:paraId="257AF12A" w14:textId="77777777">
      <w:pPr>
        <w:numPr>
          <w:ilvl w:val="0"/>
          <w:numId w:val="43"/>
        </w:numPr>
        <w:jc w:val="both"/>
        <w:outlineLvl w:val="0"/>
        <w:rPr>
          <w:lang w:val="es-PE"/>
        </w:rPr>
      </w:pPr>
      <w:r w:rsidRPr="007E3C3D">
        <w:rPr>
          <w:lang w:val="es-PE"/>
        </w:rPr>
        <w:t>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r w:rsidRPr="007E3C3D">
        <w:rPr>
          <w:lang w:val="es-PE"/>
        </w:rPr>
        <w:br/>
      </w:r>
      <w:r w:rsidRPr="007E3C3D">
        <w:rPr>
          <w:b/>
          <w:bCs/>
          <w:lang w:val="es-PE"/>
        </w:rPr>
        <w:t>Cualquier reclamo que no se encuentre comprendido en el párrafo anterior, como por ejemplo: pretensiones indemnizatorias por daños y perjuicios, por reembolso de gastos, o idoneidad de servicios, entre otros, son ajenos a la competencia funcional de esta Defensoría.</w:t>
      </w:r>
    </w:p>
    <w:p w:rsidRPr="007E3C3D" w:rsidR="007E3C3D" w:rsidP="007E3C3D" w:rsidRDefault="007E3C3D" w14:paraId="7882A61B" w14:textId="77777777">
      <w:pPr>
        <w:numPr>
          <w:ilvl w:val="0"/>
          <w:numId w:val="43"/>
        </w:numPr>
        <w:jc w:val="both"/>
        <w:outlineLvl w:val="0"/>
        <w:rPr>
          <w:lang w:val="es-PE"/>
        </w:rPr>
      </w:pPr>
      <w:r w:rsidRPr="007E3C3D">
        <w:rPr>
          <w:lang w:val="es-PE"/>
        </w:rPr>
        <w:t>El reclamo debe ser interpuesto dentro del plazo perentorio de dos (2) años, computados a partir del día siguiente de recibida la primera notificación en que es denegada o rechazada la pretensión por la empresa de seguros.</w:t>
      </w:r>
    </w:p>
    <w:p w:rsidRPr="007E3C3D" w:rsidR="007E3C3D" w:rsidP="007E3C3D" w:rsidRDefault="007E3C3D" w14:paraId="472B4F72" w14:textId="77777777">
      <w:pPr>
        <w:numPr>
          <w:ilvl w:val="0"/>
          <w:numId w:val="43"/>
        </w:numPr>
        <w:jc w:val="both"/>
        <w:outlineLvl w:val="0"/>
        <w:rPr>
          <w:lang w:val="es-PE"/>
        </w:rPr>
      </w:pPr>
      <w:r w:rsidRPr="007E3C3D">
        <w:rPr>
          <w:lang w:val="es-PE"/>
        </w:rPr>
        <w:t>El total de la indemnización solicitada a la empresa de seguros no debe exceder los US$ 50,000.</w:t>
      </w:r>
      <w:r w:rsidRPr="007E3C3D">
        <w:rPr>
          <w:lang w:val="es-PE"/>
        </w:rPr>
        <w:br/>
      </w:r>
      <w:r w:rsidRPr="007E3C3D">
        <w:rPr>
          <w:lang w:val="es-PE"/>
        </w:rPr>
        <w:t>Para reclamos en dólares americanos, se considerará el tipo de cambio contable que publica la Superintendencia de Banca, Seguros (SBS) y AFP vigente a la fecha de interposición del reclamo.</w:t>
      </w:r>
      <w:r w:rsidRPr="007E3C3D">
        <w:rPr>
          <w:lang w:val="es-PE"/>
        </w:rPr>
        <w:br/>
      </w:r>
      <w:r w:rsidRPr="007E3C3D">
        <w:rPr>
          <w:lang w:val="es-PE"/>
        </w:rPr>
        <w:t>Para los reclamos cuyo monto total de la indemnización solicitada a la empresa de seguros no supere los US$ 3,000, podrán ser resueltos por el Órgano Resolutivo Unipersonal.”</w:t>
      </w:r>
    </w:p>
    <w:p w:rsidRPr="007E3C3D" w:rsidR="007E3C3D" w:rsidP="007E3C3D" w:rsidRDefault="007E3C3D" w14:paraId="6393A925" w14:textId="77777777">
      <w:pPr>
        <w:jc w:val="both"/>
        <w:outlineLvl w:val="0"/>
        <w:rPr>
          <w:lang w:val="es-PE"/>
        </w:rPr>
      </w:pPr>
      <w:r w:rsidRPr="007E3C3D">
        <w:rPr>
          <w:lang w:val="es-PE"/>
        </w:rPr>
        <w:t>[resaltado en negritas de nuestra autoría]</w:t>
      </w:r>
    </w:p>
    <w:p w:rsidRPr="007E3C3D" w:rsidR="007E3C3D" w:rsidP="007E3C3D" w:rsidRDefault="007E3C3D" w14:paraId="32CCDD63" w14:textId="77777777">
      <w:pPr>
        <w:jc w:val="both"/>
        <w:outlineLvl w:val="0"/>
        <w:rPr>
          <w:lang w:val="es-PE"/>
        </w:rPr>
      </w:pPr>
    </w:p>
    <w:p w:rsidRPr="007E3C3D" w:rsidR="007E3C3D" w:rsidP="007E3C3D" w:rsidRDefault="007E3C3D" w14:paraId="7855FCD9" w14:textId="77777777">
      <w:pPr>
        <w:jc w:val="both"/>
        <w:outlineLvl w:val="0"/>
        <w:rPr>
          <w:lang w:val="es-PE"/>
        </w:rPr>
      </w:pPr>
      <w:r w:rsidRPr="007E3C3D">
        <w:rPr>
          <w:lang w:val="es-PE"/>
        </w:rPr>
        <w:t>Como se puede apreciar, la competencia de DEFASEG se encuentra totalmente restringida a la norma glosada. Por ello, no resulta posible que la presente resolución emita pronunciamiento alguno respecto del extremo de la Carta de Rechazo que refiere a la resolución del contrato de seguro, lo que solo podrá ser atendido por las instancias competentes para ello.</w:t>
      </w:r>
    </w:p>
    <w:p w:rsidRPr="007E3C3D" w:rsidR="007E3C3D" w:rsidP="007E3C3D" w:rsidRDefault="007E3C3D" w14:paraId="15D20187" w14:textId="77777777">
      <w:pPr>
        <w:jc w:val="both"/>
        <w:outlineLvl w:val="0"/>
      </w:pPr>
    </w:p>
    <w:p w:rsidRPr="007E3C3D" w:rsidR="007E3C3D" w:rsidP="007E3C3D" w:rsidRDefault="007E3C3D" w14:paraId="349152B6" w14:textId="77777777">
      <w:pPr>
        <w:jc w:val="both"/>
        <w:outlineLvl w:val="0"/>
        <w:rPr>
          <w:b/>
          <w:lang w:val="es-PE"/>
        </w:rPr>
      </w:pPr>
      <w:r w:rsidRPr="007E3C3D">
        <w:rPr>
          <w:b/>
          <w:lang w:val="es-PE"/>
        </w:rPr>
        <w:t xml:space="preserve">Atendiendo a lo expresado, este colegiado concluye su apreciación razonada y conjunta al amparo de lo establecido en su Reglamento, por lo que </w:t>
      </w:r>
    </w:p>
    <w:p w:rsidRPr="007E3C3D" w:rsidR="007E3C3D" w:rsidP="007E3C3D" w:rsidRDefault="007E3C3D" w14:paraId="461EF293" w14:textId="77777777">
      <w:pPr>
        <w:jc w:val="both"/>
        <w:outlineLvl w:val="0"/>
        <w:rPr>
          <w:b/>
          <w:lang w:val="es-PE"/>
        </w:rPr>
      </w:pPr>
    </w:p>
    <w:p w:rsidRPr="007E3C3D" w:rsidR="007E3C3D" w:rsidP="007E3C3D" w:rsidRDefault="007E3C3D" w14:paraId="2C4CBECE" w14:textId="77777777">
      <w:pPr>
        <w:jc w:val="both"/>
        <w:outlineLvl w:val="0"/>
        <w:rPr>
          <w:b/>
          <w:lang w:val="es-PE"/>
        </w:rPr>
      </w:pPr>
      <w:r w:rsidRPr="007E3C3D">
        <w:rPr>
          <w:b/>
          <w:lang w:val="es-PE"/>
        </w:rPr>
        <w:t>Resuelve:</w:t>
      </w:r>
    </w:p>
    <w:p w:rsidRPr="007E3C3D" w:rsidR="007E3C3D" w:rsidP="007E3C3D" w:rsidRDefault="007E3C3D" w14:paraId="1740B0AB" w14:textId="77777777">
      <w:pPr>
        <w:jc w:val="both"/>
        <w:outlineLvl w:val="0"/>
        <w:rPr>
          <w:lang w:val="es-PE"/>
        </w:rPr>
      </w:pPr>
    </w:p>
    <w:p w:rsidRPr="007E3C3D" w:rsidR="007E3C3D" w:rsidP="007E3C3D" w:rsidRDefault="007E3C3D" w14:paraId="27C63CB5" w14:textId="3BA653EE">
      <w:pPr>
        <w:jc w:val="both"/>
        <w:outlineLvl w:val="0"/>
        <w:rPr>
          <w:lang w:val="es-PE"/>
        </w:rPr>
      </w:pPr>
      <w:r w:rsidRPr="470EFFE1" w:rsidR="007E3C3D">
        <w:rPr>
          <w:lang w:val="es-PE"/>
        </w:rPr>
        <w:t xml:space="preserve">Declarar </w:t>
      </w:r>
      <w:r w:rsidRPr="470EFFE1" w:rsidR="007E3C3D">
        <w:rPr>
          <w:b w:val="1"/>
          <w:bCs w:val="1"/>
          <w:lang w:val="es-PE"/>
        </w:rPr>
        <w:t xml:space="preserve">INFUNDADA </w:t>
      </w:r>
      <w:r w:rsidRPr="470EFFE1" w:rsidR="007E3C3D">
        <w:rPr>
          <w:lang w:val="es-PE"/>
        </w:rPr>
        <w:t xml:space="preserve">la reclamación interpuesta por doña </w:t>
      </w:r>
      <w:r w:rsidRPr="470EFFE1" w:rsidR="0CCB4E51">
        <w:rPr>
          <w:b w:val="1"/>
          <w:bCs w:val="1"/>
          <w:lang w:val="es-PE"/>
        </w:rPr>
        <w:t>..................................................................</w:t>
      </w:r>
      <w:r w:rsidRPr="470EFFE1" w:rsidR="007E3C3D">
        <w:rPr>
          <w:lang w:val="es-PE"/>
        </w:rPr>
        <w:t xml:space="preserve"> contra </w:t>
      </w:r>
      <w:r w:rsidRPr="470EFFE1" w:rsidR="28C3E0E5">
        <w:rPr>
          <w:b w:val="1"/>
          <w:bCs w:val="1"/>
          <w:lang w:val="es-PE"/>
        </w:rPr>
        <w:t>................................................................................</w:t>
      </w:r>
      <w:r w:rsidRPr="470EFFE1" w:rsidR="007E3C3D">
        <w:rPr>
          <w:lang w:val="es-PE"/>
        </w:rPr>
        <w:t>, dejando a salvo el derecho del reclamante de acudir ante las instancias que estime pertinente.</w:t>
      </w:r>
    </w:p>
    <w:p w:rsidRPr="000905A2" w:rsidR="006A008D" w:rsidP="00E06FC0" w:rsidRDefault="006A008D" w14:paraId="501E3AF2" w14:textId="77777777">
      <w:pPr>
        <w:jc w:val="both"/>
        <w:outlineLvl w:val="0"/>
        <w:rPr>
          <w:lang w:val="es-PE"/>
        </w:rPr>
      </w:pPr>
    </w:p>
    <w:p w:rsidRPr="000905A2" w:rsidR="00804FBA" w:rsidP="00E06FC0" w:rsidRDefault="00F15FBA" w14:paraId="0B8F9BB3" w14:textId="6534205F">
      <w:pPr>
        <w:jc w:val="right"/>
        <w:outlineLvl w:val="0"/>
        <w:rPr>
          <w:lang w:val="es-PE"/>
        </w:rPr>
      </w:pPr>
      <w:r w:rsidRPr="000905A2">
        <w:rPr>
          <w:lang w:val="es-PE"/>
        </w:rPr>
        <w:t>Lima,</w:t>
      </w:r>
      <w:r w:rsidRPr="000905A2" w:rsidR="006A7108">
        <w:rPr>
          <w:lang w:val="es-PE"/>
        </w:rPr>
        <w:t xml:space="preserve"> 04</w:t>
      </w:r>
      <w:r w:rsidRPr="000905A2" w:rsidR="008B40D1">
        <w:t xml:space="preserve"> </w:t>
      </w:r>
      <w:r w:rsidRPr="000905A2">
        <w:rPr>
          <w:lang w:val="es-PE"/>
        </w:rPr>
        <w:t>de</w:t>
      </w:r>
      <w:r w:rsidRPr="000905A2" w:rsidR="001631D6">
        <w:rPr>
          <w:lang w:val="es-PE"/>
        </w:rPr>
        <w:t xml:space="preserve"> </w:t>
      </w:r>
      <w:r w:rsidRPr="000905A2" w:rsidR="006A7108">
        <w:rPr>
          <w:lang w:val="es-PE"/>
        </w:rPr>
        <w:t>marzo</w:t>
      </w:r>
      <w:r w:rsidRPr="000905A2" w:rsidR="001631D6">
        <w:rPr>
          <w:lang w:val="es-PE"/>
        </w:rPr>
        <w:t xml:space="preserve"> </w:t>
      </w:r>
      <w:r w:rsidRPr="000905A2">
        <w:rPr>
          <w:lang w:val="es-PE"/>
        </w:rPr>
        <w:t>de 20</w:t>
      </w:r>
      <w:r w:rsidRPr="000905A2" w:rsidR="001631D6">
        <w:rPr>
          <w:lang w:val="es-PE"/>
        </w:rPr>
        <w:t>2</w:t>
      </w:r>
      <w:r w:rsidRPr="000905A2" w:rsidR="0073373B">
        <w:rPr>
          <w:lang w:val="es-PE"/>
        </w:rPr>
        <w:t>5</w:t>
      </w:r>
    </w:p>
    <w:p w:rsidRPr="000905A2" w:rsidR="00804FBA" w:rsidP="00E06FC0" w:rsidRDefault="00804FBA" w14:paraId="2C8A5CBC" w14:textId="77777777">
      <w:pPr>
        <w:jc w:val="both"/>
        <w:rPr>
          <w:b/>
          <w:bCs/>
          <w:i/>
          <w:iCs/>
          <w:lang w:val="es-ES_tradnl"/>
        </w:rPr>
      </w:pPr>
    </w:p>
    <w:p w:rsidRPr="000905A2" w:rsidR="003F73A8" w:rsidP="00E06FC0" w:rsidRDefault="003F73A8" w14:paraId="00714C2C" w14:textId="77777777">
      <w:pPr>
        <w:jc w:val="both"/>
        <w:rPr>
          <w:b/>
          <w:bCs/>
          <w:i/>
          <w:iCs/>
          <w:lang w:val="es-ES_tradnl"/>
        </w:rPr>
      </w:pPr>
      <w:r w:rsidRPr="000905A2">
        <w:rPr>
          <w:b/>
          <w:bCs/>
          <w:i/>
          <w:iCs/>
          <w:lang w:val="es-ES_tradnl"/>
        </w:rPr>
        <w:t>La Secretaría Técnica certifica que la presente resolución cuenta con el voto de los vocales cuyos nombres figuran en el presente documento.</w:t>
      </w:r>
    </w:p>
    <w:p w:rsidRPr="000905A2" w:rsidR="003F73A8" w:rsidP="003F73A8" w:rsidRDefault="003F73A8" w14:paraId="1583EBBC" w14:textId="77777777">
      <w:pPr>
        <w:jc w:val="both"/>
        <w:rPr>
          <w:b/>
          <w:bCs/>
          <w:i/>
          <w:iCs/>
          <w:lang w:val="es-ES_tradnl"/>
        </w:rPr>
      </w:pPr>
    </w:p>
    <w:p w:rsidRPr="000905A2" w:rsidR="003F73A8" w:rsidP="003F73A8" w:rsidRDefault="003F73A8" w14:paraId="28FF05CB" w14:textId="77777777">
      <w:pPr>
        <w:spacing w:line="360" w:lineRule="auto"/>
        <w:jc w:val="center"/>
        <w:rPr>
          <w:b/>
          <w:bCs/>
        </w:rPr>
      </w:pPr>
      <w:r w:rsidRPr="000905A2">
        <w:rPr>
          <w:b/>
          <w:bCs/>
        </w:rPr>
        <w:t xml:space="preserve">Rolando Eyzaguirre </w:t>
      </w:r>
      <w:proofErr w:type="spellStart"/>
      <w:r w:rsidRPr="000905A2">
        <w:rPr>
          <w:b/>
          <w:bCs/>
        </w:rPr>
        <w:t>Maccan</w:t>
      </w:r>
      <w:proofErr w:type="spellEnd"/>
      <w:r w:rsidRPr="000905A2">
        <w:rPr>
          <w:b/>
          <w:bCs/>
        </w:rPr>
        <w:t xml:space="preserve"> – Vocal</w:t>
      </w:r>
    </w:p>
    <w:p w:rsidRPr="000905A2" w:rsidR="003F73A8" w:rsidP="003F73A8" w:rsidRDefault="003F73A8" w14:paraId="5A8E089C" w14:textId="77777777">
      <w:pPr>
        <w:spacing w:line="360" w:lineRule="auto"/>
        <w:jc w:val="center"/>
        <w:rPr>
          <w:b/>
          <w:bCs/>
        </w:rPr>
      </w:pPr>
      <w:r w:rsidRPr="000905A2">
        <w:rPr>
          <w:b/>
          <w:bCs/>
        </w:rPr>
        <w:t>Omar Alfaro Villanueva – Vocal</w:t>
      </w:r>
    </w:p>
    <w:p w:rsidRPr="000905A2" w:rsidR="003F73A8" w:rsidP="003F73A8" w:rsidRDefault="003F73A8" w14:paraId="15ED3DCA" w14:textId="77777777">
      <w:pPr>
        <w:spacing w:line="360" w:lineRule="auto"/>
        <w:jc w:val="center"/>
        <w:rPr>
          <w:lang w:val="es-MX"/>
        </w:rPr>
      </w:pPr>
      <w:r w:rsidRPr="000905A2">
        <w:rPr>
          <w:b/>
          <w:bCs/>
        </w:rPr>
        <w:t>Gonzalo Abad del Busto - Vocal</w:t>
      </w:r>
    </w:p>
    <w:p w:rsidRPr="000905A2" w:rsidR="001631D6" w:rsidP="000905A2" w:rsidRDefault="001631D6" w14:paraId="0DA96C46" w14:textId="77777777">
      <w:pPr>
        <w:jc w:val="both"/>
        <w:rPr>
          <w:lang w:val="es-MX"/>
        </w:rPr>
      </w:pPr>
    </w:p>
    <w:p w:rsidRPr="00557847" w:rsidR="00557847" w:rsidP="000905A2" w:rsidRDefault="00557847" w14:paraId="42C6E78D" w14:textId="77777777">
      <w:pPr>
        <w:jc w:val="both"/>
        <w:rPr>
          <w:b/>
          <w:u w:val="single"/>
        </w:rPr>
      </w:pPr>
      <w:r w:rsidRPr="00557847">
        <w:rPr>
          <w:b/>
          <w:u w:val="single"/>
        </w:rPr>
        <w:t>VOTO EN DISCORDIA DE LA VOCAL MARIA EUGENIA VALDEZ FERNANDEZ BACA</w:t>
      </w:r>
    </w:p>
    <w:p w:rsidRPr="00557847" w:rsidR="00557847" w:rsidP="00557847" w:rsidRDefault="00557847" w14:paraId="63ADE1B7" w14:textId="77777777">
      <w:pPr>
        <w:rPr>
          <w:b/>
          <w:u w:val="single"/>
        </w:rPr>
      </w:pPr>
    </w:p>
    <w:p w:rsidRPr="00557847" w:rsidR="00557847" w:rsidP="000905A2" w:rsidRDefault="00557847" w14:paraId="20B90CFD" w14:textId="77777777">
      <w:pPr>
        <w:jc w:val="both"/>
      </w:pPr>
      <w:r w:rsidRPr="00557847">
        <w:t>La vocal que suscribe deja constancia de lo siguiente:</w:t>
      </w:r>
    </w:p>
    <w:p w:rsidRPr="00557847" w:rsidR="00557847" w:rsidP="000905A2" w:rsidRDefault="00557847" w14:paraId="763401C6" w14:textId="77777777">
      <w:pPr>
        <w:jc w:val="both"/>
      </w:pPr>
    </w:p>
    <w:p w:rsidRPr="00557847" w:rsidR="00557847" w:rsidP="000905A2" w:rsidRDefault="00557847" w14:paraId="44350E27" w14:textId="77777777">
      <w:pPr>
        <w:jc w:val="both"/>
      </w:pPr>
      <w:r w:rsidRPr="00557847">
        <w:t>CONSIDERANDO:</w:t>
      </w:r>
    </w:p>
    <w:p w:rsidRPr="00557847" w:rsidR="00557847" w:rsidP="000905A2" w:rsidRDefault="00557847" w14:paraId="426CC682" w14:textId="77777777">
      <w:pPr>
        <w:jc w:val="both"/>
      </w:pPr>
    </w:p>
    <w:p w:rsidRPr="00557847" w:rsidR="00557847" w:rsidP="000905A2" w:rsidRDefault="00557847" w14:paraId="620848FC" w14:textId="77777777">
      <w:pPr>
        <w:jc w:val="both"/>
      </w:pPr>
      <w:r w:rsidRPr="00557847">
        <w:t>Tratándose de los hechos y fundamentos señalados en la resolución aprobada por mayoría, la vocal que suscribe discrepa de lo expuesto en la conclusión del considerando octavo, y en los considerandos noveno y décimo, siendo su posición la siguiente:</w:t>
      </w:r>
    </w:p>
    <w:p w:rsidRPr="00557847" w:rsidR="00557847" w:rsidP="000905A2" w:rsidRDefault="00557847" w14:paraId="72E4CAA1" w14:textId="77777777">
      <w:pPr>
        <w:jc w:val="both"/>
      </w:pPr>
    </w:p>
    <w:p w:rsidRPr="00557847" w:rsidR="00557847" w:rsidP="000905A2" w:rsidRDefault="00557847" w14:paraId="4E3E6F95" w14:textId="77777777">
      <w:pPr>
        <w:numPr>
          <w:ilvl w:val="0"/>
          <w:numId w:val="45"/>
        </w:numPr>
        <w:jc w:val="both"/>
      </w:pPr>
      <w:r w:rsidRPr="00557847">
        <w:t xml:space="preserve">En este caso, la aseguradora ha optado por la resolución del contrato de seguro basada en una condición contenida en el artículo 9 del contrato grupal del seguro, que le permite resolver el contrato por fraude, pero que no figura en el certificado de seguro entregado al asegurado. </w:t>
      </w:r>
    </w:p>
    <w:p w:rsidRPr="00557847" w:rsidR="00557847" w:rsidP="000905A2" w:rsidRDefault="00557847" w14:paraId="4C4B92F3" w14:textId="77777777">
      <w:pPr>
        <w:jc w:val="both"/>
      </w:pPr>
    </w:p>
    <w:p w:rsidR="0068159D" w:rsidP="000905A2" w:rsidRDefault="00557847" w14:paraId="1BFF0B85" w14:textId="4864BAAF">
      <w:pPr>
        <w:numPr>
          <w:ilvl w:val="0"/>
          <w:numId w:val="45"/>
        </w:numPr>
        <w:jc w:val="both"/>
        <w:rPr/>
      </w:pPr>
      <w:r w:rsidR="00557847">
        <w:rPr/>
        <w:t>Es importante indicar que el fraude como tal, constituye por mandato de la ley una situación bajo la cual se pierde el derecho a ser indemnizado.</w:t>
      </w:r>
    </w:p>
    <w:p w:rsidR="0068159D" w:rsidP="0068159D" w:rsidRDefault="0068159D" w14:paraId="2269B6AC" w14:textId="77777777">
      <w:pPr>
        <w:pStyle w:val="Prrafodelista"/>
      </w:pPr>
    </w:p>
    <w:p w:rsidRPr="00557847" w:rsidR="00557847" w:rsidP="0068159D" w:rsidRDefault="00557847" w14:paraId="545BB11B" w14:textId="516B49E7">
      <w:pPr>
        <w:ind w:left="1065"/>
        <w:jc w:val="both"/>
      </w:pPr>
      <w:r w:rsidRPr="00557847">
        <w:t xml:space="preserve">En efecto el artículo 73 de la Ley del Contrato de Seguro, Ley 29946 establece que </w:t>
      </w:r>
      <w:r w:rsidRPr="00557847">
        <w:rPr>
          <w:i/>
          <w:iCs/>
        </w:rPr>
        <w:t>“el asegurado pierde el derecho a ser indemnizado, si actúa fraudulentamente, exagera los daños o emplea medios falsos para probarlos”.</w:t>
      </w:r>
    </w:p>
    <w:p w:rsidRPr="00557847" w:rsidR="00557847" w:rsidP="000905A2" w:rsidRDefault="00557847" w14:paraId="5CA649B9" w14:textId="77777777">
      <w:pPr>
        <w:jc w:val="both"/>
      </w:pPr>
    </w:p>
    <w:p w:rsidRPr="00557847" w:rsidR="00557847" w:rsidP="000905A2" w:rsidRDefault="00557847" w14:paraId="72673424" w14:textId="77777777">
      <w:pPr>
        <w:numPr>
          <w:ilvl w:val="0"/>
          <w:numId w:val="45"/>
        </w:numPr>
        <w:jc w:val="both"/>
      </w:pPr>
      <w:r w:rsidRPr="00557847">
        <w:t>En este caso, la carta de rechazo de siniestro, no se remite directamente al artículo 73 de la Ley 29946, sino que invoca la resolución del contrato de seguro, citando una condición no informada en el certificado de seguro.</w:t>
      </w:r>
    </w:p>
    <w:p w:rsidRPr="00557847" w:rsidR="00557847" w:rsidP="000905A2" w:rsidRDefault="00557847" w14:paraId="7C484588" w14:textId="77777777">
      <w:pPr>
        <w:jc w:val="both"/>
      </w:pPr>
    </w:p>
    <w:p w:rsidRPr="00557847" w:rsidR="00557847" w:rsidP="000905A2" w:rsidRDefault="00557847" w14:paraId="7BA0675E" w14:textId="296504D3">
      <w:pPr>
        <w:numPr>
          <w:ilvl w:val="0"/>
          <w:numId w:val="45"/>
        </w:numPr>
        <w:jc w:val="both"/>
        <w:rPr/>
      </w:pPr>
      <w:r w:rsidR="00557847">
        <w:rPr/>
        <w:t>Sobre el particular, la vocal que suscribe considera, por un lado, que la resolución es un acto posterior a la ocurrencia del siniestro y por tanto tendría efectos luego del mismo; y, por otro, que es reconocido por la ley que el fraude libera a la aseguradora de su obligación de pago.</w:t>
      </w:r>
    </w:p>
    <w:p w:rsidRPr="00557847" w:rsidR="00557847" w:rsidP="000905A2" w:rsidRDefault="00557847" w14:paraId="53AA6FD1" w14:textId="77777777">
      <w:pPr>
        <w:jc w:val="both"/>
      </w:pPr>
    </w:p>
    <w:p w:rsidRPr="00557847" w:rsidR="00557847" w:rsidP="000905A2" w:rsidRDefault="00557847" w14:paraId="4C9089B4" w14:textId="77777777">
      <w:pPr>
        <w:numPr>
          <w:ilvl w:val="0"/>
          <w:numId w:val="45"/>
        </w:numPr>
        <w:jc w:val="both"/>
      </w:pPr>
      <w:r w:rsidRPr="00557847">
        <w:t>En lo que respecta a la resolución del contrato -como se menciona en la resolución en mayoría-, este colegiado no es competente para pronunciarse sobre la resolución; pero sí sobre la causal de rechazo invocada para no dar cobertura al siniestro; y respecto de dicho extremo, la resolución no es idónea para rechazar la cobertura de siniestro; en primer lugar porque no figura en el certificado de seguro, y en segundo lugar, porque sería un acto posterior a la ocurrencia del siniestro.</w:t>
      </w:r>
    </w:p>
    <w:p w:rsidRPr="00557847" w:rsidR="00557847" w:rsidP="000905A2" w:rsidRDefault="00557847" w14:paraId="5FFFA3FE" w14:textId="77777777">
      <w:pPr>
        <w:jc w:val="both"/>
      </w:pPr>
    </w:p>
    <w:p w:rsidRPr="00557847" w:rsidR="00557847" w:rsidP="000905A2" w:rsidRDefault="00557847" w14:paraId="6D432CCD" w14:textId="77777777">
      <w:pPr>
        <w:numPr>
          <w:ilvl w:val="0"/>
          <w:numId w:val="45"/>
        </w:numPr>
        <w:jc w:val="both"/>
      </w:pPr>
      <w:r w:rsidRPr="00557847">
        <w:t>Ahora bien, ello no impide que la aseguradora se libere de su obligación de pago del siniestro, ya no en virtud a una disposición contractual que no puede ser opuesta, sino en virtud al artículo 73 de la ley del contrato de seguro, siendo que para que ello ocurra, debe acreditarse que el asegurado actuó fraudulentamente.</w:t>
      </w:r>
    </w:p>
    <w:p w:rsidRPr="00557847" w:rsidR="00557847" w:rsidP="000905A2" w:rsidRDefault="00557847" w14:paraId="451A9308" w14:textId="77777777">
      <w:pPr>
        <w:jc w:val="both"/>
      </w:pPr>
    </w:p>
    <w:p w:rsidRPr="00557847" w:rsidR="00557847" w:rsidP="000905A2" w:rsidRDefault="00557847" w14:paraId="27877CBD" w14:textId="77777777">
      <w:pPr>
        <w:numPr>
          <w:ilvl w:val="0"/>
          <w:numId w:val="45"/>
        </w:numPr>
        <w:jc w:val="both"/>
      </w:pPr>
      <w:r w:rsidRPr="00557847">
        <w:t>En este caso, la aseguradora considera que la reclamante actuó fraudulentamente basado en una prueba de polígrafo, cuya posibilidad de realización fue establecida  en el certificado de seguro como un mecanismo adicional para establecer la veracidad de los hechos declarados.</w:t>
      </w:r>
    </w:p>
    <w:p w:rsidRPr="00557847" w:rsidR="00557847" w:rsidP="000905A2" w:rsidRDefault="00557847" w14:paraId="13C9288B" w14:textId="77777777">
      <w:pPr>
        <w:jc w:val="both"/>
      </w:pPr>
    </w:p>
    <w:p w:rsidR="00557847" w:rsidP="000905A2" w:rsidRDefault="00557847" w14:paraId="272513B8" w14:textId="77777777">
      <w:pPr>
        <w:numPr>
          <w:ilvl w:val="0"/>
          <w:numId w:val="45"/>
        </w:numPr>
        <w:jc w:val="both"/>
      </w:pPr>
      <w:r w:rsidRPr="00557847">
        <w:t>En efecto, en el certificado de seguro, en el acápite “AVISO DE SINIESTRO Y SOLICITUD DE COBERTURA”, numeral (</w:t>
      </w:r>
      <w:proofErr w:type="spellStart"/>
      <w:r w:rsidRPr="00557847">
        <w:t>iii</w:t>
      </w:r>
      <w:proofErr w:type="spellEnd"/>
      <w:r w:rsidRPr="00557847">
        <w:t>), literal e) establece lo siguiente:</w:t>
      </w:r>
    </w:p>
    <w:p w:rsidR="000905A2" w:rsidP="000905A2" w:rsidRDefault="000905A2" w14:paraId="59767E22" w14:textId="77777777">
      <w:pPr>
        <w:pStyle w:val="Prrafodelista"/>
      </w:pPr>
    </w:p>
    <w:p w:rsidRPr="00557847" w:rsidR="000905A2" w:rsidP="000905A2" w:rsidRDefault="000905A2" w14:paraId="354CAC30" w14:textId="77777777">
      <w:pPr>
        <w:ind w:left="1065"/>
        <w:jc w:val="both"/>
      </w:pPr>
    </w:p>
    <w:p w:rsidRPr="00557847" w:rsidR="00557847" w:rsidP="000905A2" w:rsidRDefault="00557847" w14:paraId="54724EA9" w14:textId="16E794BB">
      <w:pPr>
        <w:ind w:left="1065"/>
        <w:jc w:val="both"/>
      </w:pPr>
      <w:r w:rsidR="4FEFB483">
        <w:rPr/>
        <w:t>............................................................................................................................</w:t>
      </w:r>
    </w:p>
    <w:p w:rsidRPr="00557847" w:rsidR="00557847" w:rsidP="000905A2" w:rsidRDefault="00557847" w14:paraId="40409AE9" w14:textId="77777777">
      <w:pPr>
        <w:jc w:val="both"/>
      </w:pPr>
    </w:p>
    <w:p w:rsidRPr="00557847" w:rsidR="00557847" w:rsidP="000905A2" w:rsidRDefault="00557847" w14:paraId="0983BD9B" w14:textId="77777777">
      <w:pPr>
        <w:jc w:val="both"/>
      </w:pPr>
    </w:p>
    <w:p w:rsidRPr="00557847" w:rsidR="00557847" w:rsidP="000905A2" w:rsidRDefault="00557847" w14:paraId="1E0D986F" w14:textId="533BAD80">
      <w:pPr>
        <w:numPr>
          <w:ilvl w:val="0"/>
          <w:numId w:val="45"/>
        </w:numPr>
        <w:jc w:val="both"/>
        <w:rPr/>
      </w:pPr>
      <w:r w:rsidR="00557847">
        <w:rPr/>
        <w:t xml:space="preserve">Es </w:t>
      </w:r>
      <w:r w:rsidR="00557847">
        <w:rPr/>
        <w:t>decir</w:t>
      </w:r>
      <w:r w:rsidR="00557847">
        <w:rPr/>
        <w:t xml:space="preserve"> el contrato señala que la compañía puede realizar una entrevista personal para obtener aclaraciones y/o requerir al asegurado someterse a una prueba poligráfica con el fin de establecer la veracidad de los hechos declarados.</w:t>
      </w:r>
    </w:p>
    <w:p w:rsidRPr="00557847" w:rsidR="00557847" w:rsidP="000905A2" w:rsidRDefault="00557847" w14:paraId="0A9DABDA" w14:textId="77777777">
      <w:pPr>
        <w:jc w:val="both"/>
      </w:pPr>
    </w:p>
    <w:p w:rsidRPr="00557847" w:rsidR="00557847" w:rsidP="000905A2" w:rsidRDefault="00557847" w14:paraId="5DD66F49" w14:textId="77777777">
      <w:pPr>
        <w:numPr>
          <w:ilvl w:val="0"/>
          <w:numId w:val="45"/>
        </w:numPr>
        <w:jc w:val="both"/>
      </w:pPr>
      <w:r w:rsidRPr="00557847">
        <w:t>En este caso, no se recurrió a la entrevista personal, sino que directamente se le citó a la prueba poligráfica, la cual realizó alrededor de 45 preguntas, empezando por la narración de hechos, de las cuales, el informe solo considera relevantes para el análisis las siguientes 4 preguntas, poniendo la conclusión que se indica a continuación.</w:t>
      </w:r>
    </w:p>
    <w:p w:rsidRPr="00557847" w:rsidR="00557847" w:rsidP="000905A2" w:rsidRDefault="00557847" w14:paraId="067819FE" w14:textId="77777777">
      <w:pPr>
        <w:jc w:val="both"/>
      </w:pPr>
    </w:p>
    <w:p w:rsidRPr="00557847" w:rsidR="00557847" w:rsidP="0068159D" w:rsidRDefault="00557847" w14:paraId="4889C9EA" w14:textId="04B5CD9D">
      <w:pPr>
        <w:ind w:left="1440"/>
        <w:jc w:val="center"/>
      </w:pPr>
      <w:r w:rsidRPr="000905A2">
        <w:drawing>
          <wp:inline distT="0" distB="0" distL="0" distR="0" wp14:anchorId="0E547090" wp14:editId="4FC08683">
            <wp:extent cx="4770120" cy="1333500"/>
            <wp:effectExtent l="0" t="0" r="0" b="0"/>
            <wp:docPr id="85536976" name="Imagen 1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terfaz de usuario gráfica, Texto, Aplicación, Correo electrónic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70120" cy="1333500"/>
                    </a:xfrm>
                    <a:prstGeom prst="rect">
                      <a:avLst/>
                    </a:prstGeom>
                    <a:noFill/>
                    <a:ln>
                      <a:noFill/>
                    </a:ln>
                  </pic:spPr>
                </pic:pic>
              </a:graphicData>
            </a:graphic>
          </wp:inline>
        </w:drawing>
      </w:r>
    </w:p>
    <w:p w:rsidRPr="00557847" w:rsidR="00557847" w:rsidP="0068159D" w:rsidRDefault="00557847" w14:paraId="6913E907" w14:textId="3E01345A">
      <w:pPr>
        <w:ind w:left="1440"/>
        <w:jc w:val="center"/>
      </w:pPr>
      <w:r w:rsidRPr="000905A2">
        <w:drawing>
          <wp:inline distT="0" distB="0" distL="0" distR="0" wp14:anchorId="586EF191" wp14:editId="54E77D58">
            <wp:extent cx="4747260" cy="967740"/>
            <wp:effectExtent l="0" t="0" r="0" b="0"/>
            <wp:docPr id="646655507" name="Imagen 10"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nterfaz de usuario gráfica, Texto, Aplicación&#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7260" cy="967740"/>
                    </a:xfrm>
                    <a:prstGeom prst="rect">
                      <a:avLst/>
                    </a:prstGeom>
                    <a:noFill/>
                    <a:ln>
                      <a:noFill/>
                    </a:ln>
                  </pic:spPr>
                </pic:pic>
              </a:graphicData>
            </a:graphic>
          </wp:inline>
        </w:drawing>
      </w:r>
    </w:p>
    <w:p w:rsidRPr="00557847" w:rsidR="00557847" w:rsidP="000905A2" w:rsidRDefault="00557847" w14:paraId="3BDF9546" w14:textId="77777777">
      <w:pPr>
        <w:jc w:val="both"/>
      </w:pPr>
    </w:p>
    <w:p w:rsidRPr="00557847" w:rsidR="00557847" w:rsidP="0068159D" w:rsidRDefault="00557847" w14:paraId="0B6E6F35" w14:textId="3C368137">
      <w:pPr>
        <w:ind w:left="1440"/>
        <w:jc w:val="center"/>
      </w:pPr>
      <w:r w:rsidR="056FE0B4">
        <w:rPr/>
        <w:t>.......................................................................................................................</w:t>
      </w:r>
    </w:p>
    <w:p w:rsidR="470EFFE1" w:rsidP="470EFFE1" w:rsidRDefault="470EFFE1" w14:paraId="754D9014" w14:textId="1B5E164E">
      <w:pPr>
        <w:ind w:left="1440"/>
        <w:jc w:val="center"/>
      </w:pPr>
    </w:p>
    <w:p w:rsidRPr="00557847" w:rsidR="00557847" w:rsidP="000905A2" w:rsidRDefault="00557847" w14:paraId="538EDF47" w14:textId="77777777">
      <w:pPr>
        <w:jc w:val="both"/>
      </w:pPr>
    </w:p>
    <w:p w:rsidR="0068159D" w:rsidP="000905A2" w:rsidRDefault="00557847" w14:paraId="2CAE6D77" w14:textId="77777777">
      <w:pPr>
        <w:pStyle w:val="Prrafodelista"/>
        <w:numPr>
          <w:ilvl w:val="0"/>
          <w:numId w:val="45"/>
        </w:numPr>
        <w:jc w:val="both"/>
      </w:pPr>
      <w:r w:rsidRPr="00557847">
        <w:t xml:space="preserve">De acuerdo a dicha conclusión dos de las cuatro preguntas relevantes, son significativas de engaño (siendo que esas preguntas no se refieren a los hechos (como si lo son alrededor de otras 40 preguntas) si no a apreciaciones sobre el comportamiento), y las otras dos preguntas relevantes NO son significativas de engaño. </w:t>
      </w:r>
    </w:p>
    <w:p w:rsidR="0068159D" w:rsidP="0068159D" w:rsidRDefault="0068159D" w14:paraId="30739988" w14:textId="77777777">
      <w:pPr>
        <w:pStyle w:val="Prrafodelista"/>
        <w:ind w:left="1065"/>
        <w:jc w:val="both"/>
      </w:pPr>
    </w:p>
    <w:p w:rsidRPr="00557847" w:rsidR="00557847" w:rsidP="000905A2" w:rsidRDefault="00557847" w14:paraId="1E845935" w14:textId="4EAF0DBA">
      <w:pPr>
        <w:pStyle w:val="Prrafodelista"/>
        <w:numPr>
          <w:ilvl w:val="0"/>
          <w:numId w:val="45"/>
        </w:numPr>
        <w:jc w:val="both"/>
      </w:pPr>
      <w:r w:rsidRPr="00557847">
        <w:t>¿Por qué si existe este “empate”, se concluye que hay fraude?. Las preguntas identificadas como relevantes no se refieren a hechos, es decir, no se presenta una inconsistencia en los hechos,  los cuales coinciden con lo narrado en la denuncia, y ante la fiscalía, siendo que además se han mostrado estados de cuenta, y documentos vinculados a una carpeta fiscal en trámite donde la reclamante ha acudido a brindar su manifestación, lo que acredita que la misma viene colaborando con las autoridades para el esclarecimiento de los hechos.</w:t>
      </w:r>
    </w:p>
    <w:p w:rsidRPr="00557847" w:rsidR="00557847" w:rsidP="000905A2" w:rsidRDefault="00557847" w14:paraId="565F044B" w14:textId="77777777">
      <w:pPr>
        <w:jc w:val="both"/>
      </w:pPr>
    </w:p>
    <w:p w:rsidRPr="00557847" w:rsidR="00557847" w:rsidP="000905A2" w:rsidRDefault="00557847" w14:paraId="16349A60" w14:textId="77777777">
      <w:pPr>
        <w:numPr>
          <w:ilvl w:val="0"/>
          <w:numId w:val="45"/>
        </w:numPr>
        <w:jc w:val="both"/>
      </w:pPr>
      <w:r w:rsidRPr="00557847">
        <w:t>Por las consideraciones anteriores, la vocal que suscribe, no considera que este informe de examen de polígrafo sea categórico sobre la existencia de fraude, solo da cuenta de una respuesta significativa de engaño, siendo que las otra (la mayoría( no lo serían); asimismo considera, que dicho informe debería ser explicado a mayor detalle, pues tal y como se presenta no genera convicción, ni constituye prueba suficiente para acreditar fraude, sobre todo atendiendo a la salvedad que el propio informe contiene a pie de página.</w:t>
      </w:r>
    </w:p>
    <w:p w:rsidRPr="00557847" w:rsidR="00557847" w:rsidP="000905A2" w:rsidRDefault="00557847" w14:paraId="7B130247" w14:textId="77777777">
      <w:pPr>
        <w:jc w:val="both"/>
      </w:pPr>
    </w:p>
    <w:p w:rsidRPr="00557847" w:rsidR="00557847" w:rsidP="000905A2" w:rsidRDefault="00557847" w14:paraId="234B60D8" w14:textId="77777777">
      <w:pPr>
        <w:numPr>
          <w:ilvl w:val="0"/>
          <w:numId w:val="45"/>
        </w:numPr>
        <w:jc w:val="both"/>
      </w:pPr>
      <w:r w:rsidRPr="00557847">
        <w:t xml:space="preserve">De otro lado, el propio contrato de seguro, señala a continuación de referirse a la prueba de polígrafo como elemento adicional para esclarecer los hechos, que “en caso exista incertidumbre respecto a los hechos que originaron el siniestro, la compañía solicitará las conclusiones de la investigación fiscal. </w:t>
      </w:r>
    </w:p>
    <w:p w:rsidRPr="00557847" w:rsidR="00557847" w:rsidP="000905A2" w:rsidRDefault="00557847" w14:paraId="1DCF0C79" w14:textId="77777777">
      <w:pPr>
        <w:jc w:val="both"/>
      </w:pPr>
    </w:p>
    <w:p w:rsidRPr="00557847" w:rsidR="00557847" w:rsidP="000905A2" w:rsidRDefault="00557847" w14:paraId="2B1E34CE" w14:textId="77777777">
      <w:pPr>
        <w:numPr>
          <w:ilvl w:val="0"/>
          <w:numId w:val="45"/>
        </w:numPr>
        <w:jc w:val="both"/>
      </w:pPr>
      <w:r w:rsidRPr="00557847">
        <w:t>En este caso, la investigación fiscal se encuentra en curso, y la aseguradora no ha señalado cuáles serían los hechos que generan incertidumbre, ni cual la inconsistencia encontrada en los hechos y/o la declaración falsa, siendo que la carpeta fiscal contiene mayor detalle sobre los hechos, los cuales no han sido referidos ni cuestionados por la aseguradora</w:t>
      </w:r>
    </w:p>
    <w:p w:rsidRPr="00557847" w:rsidR="00557847" w:rsidP="000905A2" w:rsidRDefault="00557847" w14:paraId="40DC9B2D" w14:textId="77777777">
      <w:pPr>
        <w:jc w:val="both"/>
      </w:pPr>
    </w:p>
    <w:p w:rsidRPr="00557847" w:rsidR="00557847" w:rsidP="000905A2" w:rsidRDefault="00557847" w14:paraId="6A39ED1B" w14:textId="77777777">
      <w:pPr>
        <w:numPr>
          <w:ilvl w:val="0"/>
          <w:numId w:val="45"/>
        </w:numPr>
        <w:jc w:val="both"/>
      </w:pPr>
      <w:r w:rsidRPr="00557847">
        <w:t>En opinión de la vocal que suscribe, la prueba poligráfica es una herramienta que permite poner bajo cuestionamiento la veracidad del relato, cuando existen elementos que generan dudas sobre los hechos. En el caso previo resuelto por la DEFASEG, con sustento en una prueba de polígrafo -referido por la aseguradora en sus descargos-, existían movimientos y documentación que brindaba criterios objetivos para postular que se estaba ante una reclamación fraudulenta, elementos objetivos de inconsistencias o sospechas, que en este caso, no se aprecian. Siendo que no puede concluirse en la existencia de un fraude, cuando se obtiene solo una respuesta, según el polígrafo significativa de engaño; siendo que además se determina que las otras preguntas relevantes, no presentaron respuestas significativas de engaño.</w:t>
      </w:r>
    </w:p>
    <w:p w:rsidRPr="00557847" w:rsidR="00557847" w:rsidP="000905A2" w:rsidRDefault="00557847" w14:paraId="4B4A03E4" w14:textId="77777777">
      <w:pPr>
        <w:jc w:val="both"/>
      </w:pPr>
    </w:p>
    <w:p w:rsidRPr="00557847" w:rsidR="00557847" w:rsidP="000905A2" w:rsidRDefault="00557847" w14:paraId="71842EEC" w14:textId="13448DED">
      <w:pPr>
        <w:jc w:val="both"/>
      </w:pPr>
      <w:r w:rsidR="00557847">
        <w:rPr/>
        <w:t>Por lo expuesto, no siendo el informe de polígrafo categórico ni contundente respecto de la existencia de fraude, y no habiendo  demostrado la aseguradora una contradicción ni inconsistencia, en las afirmaciones expresadas por la reclamante sobre el siniestro; ni identificado cuál sería la exageración, la declaración o documento falso que justifica rechazar el siniestro conforme al artículo 73 de la ley del contrato de seguro, el voto de la vocal que suscribe es por d</w:t>
      </w:r>
      <w:r w:rsidR="00557847">
        <w:rPr/>
        <w:t xml:space="preserve">eclarar FUNDADA la reclamación interpuesta por doña </w:t>
      </w:r>
      <w:r w:rsidR="03404267">
        <w:rPr/>
        <w:t>....................................</w:t>
      </w:r>
      <w:r w:rsidR="00557847">
        <w:rPr/>
        <w:t xml:space="preserve"> </w:t>
      </w:r>
      <w:r w:rsidR="44E65662">
        <w:rPr/>
        <w:t>.......................................</w:t>
      </w:r>
      <w:r w:rsidR="00557847">
        <w:rPr/>
        <w:t xml:space="preserve">  contra </w:t>
      </w:r>
      <w:r w:rsidR="719F5CF5">
        <w:rPr/>
        <w:t>................................</w:t>
      </w:r>
      <w:r w:rsidR="00557847">
        <w:rPr/>
        <w:t xml:space="preserve"> respecto de la póliza de Seguro de Tarjetas 360°.</w:t>
      </w:r>
    </w:p>
    <w:p w:rsidRPr="000905A2" w:rsidR="002C79AC" w:rsidP="002C79AC" w:rsidRDefault="002C79AC" w14:paraId="400B367B" w14:textId="77777777">
      <w:pPr>
        <w:jc w:val="both"/>
      </w:pPr>
    </w:p>
    <w:p w:rsidRPr="000905A2" w:rsidR="002C79AC" w:rsidP="002C79AC" w:rsidRDefault="002C79AC" w14:paraId="0935F271" w14:textId="77777777">
      <w:pPr>
        <w:jc w:val="both"/>
        <w:rPr>
          <w:b/>
          <w:bCs/>
          <w:i/>
          <w:iCs/>
          <w:lang w:val="es-ES_tradnl"/>
        </w:rPr>
      </w:pPr>
      <w:r w:rsidRPr="000905A2">
        <w:rPr>
          <w:b/>
          <w:bCs/>
          <w:i/>
          <w:iCs/>
          <w:lang w:val="es-ES_tradnl"/>
        </w:rPr>
        <w:t>La Secretaría Técnica certifica el voto en discordia del vocal cuyo nombre figura en el presente documento.</w:t>
      </w:r>
    </w:p>
    <w:p w:rsidRPr="000905A2" w:rsidR="002C79AC" w:rsidP="002C79AC" w:rsidRDefault="002C79AC" w14:paraId="75A27FC9" w14:textId="77777777"/>
    <w:p w:rsidRPr="000905A2" w:rsidR="002C79AC" w:rsidP="002C79AC" w:rsidRDefault="002C79AC" w14:paraId="760D3EB2" w14:textId="77777777">
      <w:pPr>
        <w:spacing w:line="360" w:lineRule="auto"/>
        <w:jc w:val="center"/>
        <w:rPr>
          <w:b/>
          <w:bCs/>
        </w:rPr>
      </w:pPr>
      <w:r w:rsidRPr="000905A2">
        <w:rPr>
          <w:b/>
          <w:bCs/>
        </w:rPr>
        <w:t>María Eugenia Valdez Fernández Baca – Presidente</w:t>
      </w:r>
    </w:p>
    <w:p w:rsidRPr="000D72A1" w:rsidR="007E3C3D" w:rsidRDefault="007E3C3D" w14:paraId="6BD79F5C" w14:textId="77777777">
      <w:pPr>
        <w:rPr>
          <w:sz w:val="23"/>
          <w:szCs w:val="23"/>
        </w:rPr>
      </w:pPr>
    </w:p>
    <w:sectPr w:rsidRPr="000D72A1" w:rsidR="007E3C3D">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247" w:rsidP="005F148C" w:rsidRDefault="00755247" w14:paraId="450197FA" w14:textId="77777777">
      <w:r>
        <w:separator/>
      </w:r>
    </w:p>
  </w:endnote>
  <w:endnote w:type="continuationSeparator" w:id="0">
    <w:p w:rsidR="00755247" w:rsidP="005F148C" w:rsidRDefault="00755247" w14:paraId="76CE72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247" w:rsidP="005F148C" w:rsidRDefault="00755247" w14:paraId="3255FBA4" w14:textId="77777777">
      <w:r>
        <w:separator/>
      </w:r>
    </w:p>
  </w:footnote>
  <w:footnote w:type="continuationSeparator" w:id="0">
    <w:p w:rsidR="00755247" w:rsidP="005F148C" w:rsidRDefault="00755247" w14:paraId="4B0DA289" w14:textId="77777777">
      <w:r>
        <w:continuationSeparator/>
      </w:r>
    </w:p>
  </w:footnote>
  <w:footnote w:id="1">
    <w:p w:rsidR="007E3C3D" w:rsidP="007E3C3D" w:rsidRDefault="007E3C3D" w14:paraId="7B13A226" w14:textId="77777777">
      <w:pPr>
        <w:pStyle w:val="Textonotapie"/>
        <w:rPr>
          <w:lang w:val="es-MX"/>
        </w:rPr>
      </w:pPr>
      <w:r>
        <w:rPr>
          <w:rStyle w:val="Refdenotaalpie"/>
        </w:rPr>
        <w:footnoteRef/>
      </w:r>
      <w:r>
        <w:t xml:space="preserve"> </w:t>
      </w:r>
      <w:r>
        <w:rPr>
          <w:lang w:val="es-MX"/>
        </w:rPr>
        <w:t>La reclamante adjunta el certificado de seguros con el que cuenta.</w:t>
      </w:r>
    </w:p>
  </w:footnote>
  <w:footnote w:id="2">
    <w:p w:rsidR="007E3C3D" w:rsidP="007E3C3D" w:rsidRDefault="007E3C3D" w14:paraId="3B408710" w14:textId="77777777">
      <w:pPr>
        <w:pStyle w:val="Textonotapie"/>
        <w:rPr>
          <w:b/>
          <w:lang w:val="es-ES_tradnl"/>
        </w:rPr>
      </w:pPr>
      <w:r>
        <w:rPr>
          <w:rStyle w:val="Refdenotaalpie"/>
        </w:rPr>
        <w:footnoteRef/>
      </w:r>
      <w:r>
        <w:t xml:space="preserve"> “</w:t>
      </w:r>
      <w:r>
        <w:rPr>
          <w:b/>
          <w:bCs/>
        </w:rPr>
        <w:t>Art. 2. -</w:t>
      </w:r>
      <w:r>
        <w:t xml:space="preserve"> </w:t>
      </w:r>
      <w:r>
        <w:rPr>
          <w:b/>
          <w:bCs/>
          <w:lang w:val="es-ES_tradnl"/>
        </w:rPr>
        <w:t>D</w:t>
      </w:r>
      <w:r>
        <w:rPr>
          <w:b/>
          <w:lang w:val="es-ES_tradnl"/>
        </w:rPr>
        <w:t>efiniciones</w:t>
      </w:r>
    </w:p>
    <w:p w:rsidR="007E3C3D" w:rsidP="007E3C3D" w:rsidRDefault="007E3C3D" w14:paraId="358A4303" w14:textId="77777777">
      <w:pPr>
        <w:pStyle w:val="Textonotapie"/>
        <w:jc w:val="both"/>
        <w:rPr>
          <w:bCs/>
          <w:lang w:val="es-ES_tradnl"/>
        </w:rPr>
      </w:pPr>
      <w:r>
        <w:rPr>
          <w:bCs/>
          <w:lang w:val="es-ES_tradnl"/>
        </w:rPr>
        <w:t>Para efectos de lo dispuesto en la presente norma considérense las siguientes definiciones y referencias:</w:t>
      </w:r>
    </w:p>
    <w:p w:rsidR="007E3C3D" w:rsidP="007E3C3D" w:rsidRDefault="007E3C3D" w14:paraId="14398789" w14:textId="77777777">
      <w:pPr>
        <w:pStyle w:val="Textonotapie"/>
      </w:pPr>
      <w:r>
        <w:t>(…)</w:t>
      </w:r>
    </w:p>
    <w:p w:rsidR="007E3C3D" w:rsidP="007E3C3D" w:rsidRDefault="007E3C3D" w14:paraId="7E114425" w14:textId="77777777">
      <w:pPr>
        <w:pStyle w:val="Textonotapie"/>
        <w:numPr>
          <w:ilvl w:val="0"/>
          <w:numId w:val="44"/>
        </w:numPr>
        <w:tabs>
          <w:tab w:val="left" w:pos="284"/>
        </w:tabs>
        <w:ind w:left="0" w:firstLine="0"/>
        <w:jc w:val="both"/>
        <w:rPr>
          <w:lang w:val="es-ES_tradnl"/>
        </w:rPr>
      </w:pPr>
      <w:r>
        <w:t>Seguros de grupo o colectivos: modalidad de seguro que</w:t>
      </w:r>
      <w:r>
        <w:rPr>
          <w:lang w:val="es-ES_tradnl"/>
        </w:rPr>
        <w:t xml:space="preserve"> se caracteriza por cubrir, mediante un solo contrato, a múltiples asegurados que integran una colectividad homogénea.</w:t>
      </w:r>
    </w:p>
    <w:p w:rsidR="007E3C3D" w:rsidP="007E3C3D" w:rsidRDefault="007E3C3D" w14:paraId="7770342D" w14:textId="77777777">
      <w:pPr>
        <w:pStyle w:val="Textonotapie"/>
        <w:rPr>
          <w:lang w:val="es-ES_tradnl"/>
        </w:rPr>
      </w:pPr>
      <w:r>
        <w:rPr>
          <w:lang w:val="es-ES_tradnl"/>
        </w:rPr>
        <w:t>(…)”</w:t>
      </w:r>
    </w:p>
    <w:p w:rsidR="007E3C3D" w:rsidP="007E3C3D" w:rsidRDefault="007E3C3D" w14:paraId="268EA28D" w14:textId="77777777">
      <w:pPr>
        <w:pStyle w:val="Textonotapie"/>
        <w:rPr>
          <w:lang w:val="es-MX"/>
        </w:rPr>
      </w:pPr>
    </w:p>
  </w:footnote>
  <w:footnote w:id="3">
    <w:p w:rsidR="007E3C3D" w:rsidP="007E3C3D" w:rsidRDefault="007E3C3D" w14:paraId="48FECCF8" w14:textId="77777777">
      <w:pPr>
        <w:pStyle w:val="Textonotapie"/>
      </w:pPr>
      <w:r>
        <w:rPr>
          <w:rStyle w:val="Refdenotaalpie"/>
        </w:rPr>
        <w:footnoteRef/>
      </w:r>
      <w:r>
        <w:t xml:space="preserve"> Literal modificado por la Resolución SBS </w:t>
      </w:r>
      <w:proofErr w:type="spellStart"/>
      <w:r>
        <w:t>N°</w:t>
      </w:r>
      <w:proofErr w:type="spellEnd"/>
      <w:r>
        <w:t xml:space="preserve"> 809-2019, publicada el 07.03.2019.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BCF1363"/>
    <w:multiLevelType w:val="multilevel"/>
    <w:tmpl w:val="CF523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0C35E6E"/>
    <w:multiLevelType w:val="hybridMultilevel"/>
    <w:tmpl w:val="04044BF4"/>
    <w:lvl w:ilvl="0" w:tplc="37C85876">
      <w:start w:val="1"/>
      <w:numFmt w:val="decimal"/>
      <w:lvlText w:val="%1."/>
      <w:lvlJc w:val="left"/>
      <w:pPr>
        <w:ind w:left="1065" w:hanging="705"/>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5" w15:restartNumberingAfterBreak="0">
    <w:nsid w:val="61775343"/>
    <w:multiLevelType w:val="hybridMultilevel"/>
    <w:tmpl w:val="EF8EBEA4"/>
    <w:lvl w:ilvl="0" w:tplc="0C0A0019">
      <w:start w:val="1"/>
      <w:numFmt w:val="lowerLetter"/>
      <w:lvlText w:val="%1."/>
      <w:lvlJc w:val="left"/>
      <w:pPr>
        <w:tabs>
          <w:tab w:val="num" w:pos="360"/>
        </w:tabs>
        <w:ind w:left="36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6B54D78"/>
    <w:multiLevelType w:val="hybridMultilevel"/>
    <w:tmpl w:val="25DA7ECE"/>
    <w:lvl w:ilvl="0" w:tplc="280A0019">
      <w:start w:val="26"/>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6"/>
  </w:num>
  <w:num w:numId="2" w16cid:durableId="1256477769">
    <w:abstractNumId w:val="12"/>
  </w:num>
  <w:num w:numId="3" w16cid:durableId="1780678958">
    <w:abstractNumId w:val="23"/>
  </w:num>
  <w:num w:numId="4" w16cid:durableId="20433587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3"/>
  </w:num>
  <w:num w:numId="7" w16cid:durableId="14757574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7"/>
  </w:num>
  <w:num w:numId="18" w16cid:durableId="109610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6"/>
  </w:num>
  <w:num w:numId="33" w16cid:durableId="2138374204">
    <w:abstractNumId w:val="29"/>
  </w:num>
  <w:num w:numId="34" w16cid:durableId="1906407826">
    <w:abstractNumId w:val="20"/>
  </w:num>
  <w:num w:numId="35" w16cid:durableId="1109930781">
    <w:abstractNumId w:val="43"/>
  </w:num>
  <w:num w:numId="36" w16cid:durableId="868372114">
    <w:abstractNumId w:val="15"/>
  </w:num>
  <w:num w:numId="37" w16cid:durableId="7606870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545783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8269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114452">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44662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05A2"/>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9AC"/>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95508"/>
    <w:rsid w:val="004A05A4"/>
    <w:rsid w:val="004A0E99"/>
    <w:rsid w:val="004B6DF1"/>
    <w:rsid w:val="004B78B8"/>
    <w:rsid w:val="004C10B4"/>
    <w:rsid w:val="004C5624"/>
    <w:rsid w:val="004C6A2A"/>
    <w:rsid w:val="004C71C2"/>
    <w:rsid w:val="004C7F8F"/>
    <w:rsid w:val="004D0D95"/>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57847"/>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159D"/>
    <w:rsid w:val="006859F9"/>
    <w:rsid w:val="0069382D"/>
    <w:rsid w:val="00694105"/>
    <w:rsid w:val="00696F0F"/>
    <w:rsid w:val="006A008D"/>
    <w:rsid w:val="006A1077"/>
    <w:rsid w:val="006A4B64"/>
    <w:rsid w:val="006A5F94"/>
    <w:rsid w:val="006A7108"/>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524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E3C3D"/>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B78D8"/>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3404267"/>
    <w:rsid w:val="056FE0B4"/>
    <w:rsid w:val="082E24B4"/>
    <w:rsid w:val="0A67C8CE"/>
    <w:rsid w:val="0ACF5166"/>
    <w:rsid w:val="0B69C55C"/>
    <w:rsid w:val="0CCB4E51"/>
    <w:rsid w:val="1B780AB6"/>
    <w:rsid w:val="1DD123ED"/>
    <w:rsid w:val="2160302A"/>
    <w:rsid w:val="22015803"/>
    <w:rsid w:val="25C8FC0D"/>
    <w:rsid w:val="28C3E0E5"/>
    <w:rsid w:val="299C7A9A"/>
    <w:rsid w:val="29ADDC81"/>
    <w:rsid w:val="2AD36E63"/>
    <w:rsid w:val="32F4D491"/>
    <w:rsid w:val="35FF6FBC"/>
    <w:rsid w:val="36ACCC14"/>
    <w:rsid w:val="43568708"/>
    <w:rsid w:val="44E65662"/>
    <w:rsid w:val="470EFFE1"/>
    <w:rsid w:val="4C80708F"/>
    <w:rsid w:val="4E921BDA"/>
    <w:rsid w:val="4FEFB483"/>
    <w:rsid w:val="564E28C8"/>
    <w:rsid w:val="5D1F634E"/>
    <w:rsid w:val="6497F1F2"/>
    <w:rsid w:val="71232DD6"/>
    <w:rsid w:val="719F5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148665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4084822">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348528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77406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87653833">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513882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B456DEB-DDEE-4C53-8C32-F516787E9313}"/>
</file>

<file path=customXml/itemProps3.xml><?xml version="1.0" encoding="utf-8"?>
<ds:datastoreItem xmlns:ds="http://schemas.openxmlformats.org/officeDocument/2006/customXml" ds:itemID="{75CB1E82-DCD6-498E-8A0C-11DB6D2DA2AE}"/>
</file>

<file path=customXml/itemProps4.xml><?xml version="1.0" encoding="utf-8"?>
<ds:datastoreItem xmlns:ds="http://schemas.openxmlformats.org/officeDocument/2006/customXml" ds:itemID="{F961F170-1C42-43F5-92A5-85D58E8D3E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311</cp:revision>
  <cp:lastPrinted>2025-03-12T15:30:00Z</cp:lastPrinted>
  <dcterms:created xsi:type="dcterms:W3CDTF">2023-06-22T13:57:00Z</dcterms:created>
  <dcterms:modified xsi:type="dcterms:W3CDTF">2026-03-10T16:47:16Z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