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615431" w:rsidR="001662D0" w:rsidP="00615431" w:rsidRDefault="00F15FBA" w14:paraId="741887BF" w14:textId="32E08CF9">
      <w:pPr>
        <w:pStyle w:val="Ttulo"/>
        <w:outlineLvl w:val="0"/>
        <w:rPr>
          <w:lang w:val="es-PE"/>
        </w:rPr>
      </w:pPr>
      <w:r w:rsidRPr="00CD67EE">
        <w:rPr>
          <w:lang w:val="es-PE"/>
        </w:rPr>
        <w:t>RESOLUCIÓN N</w:t>
      </w:r>
      <w:r w:rsidRPr="00CD67EE" w:rsidR="001631D6">
        <w:rPr>
          <w:lang w:val="es-PE"/>
        </w:rPr>
        <w:t xml:space="preserve">° </w:t>
      </w:r>
      <w:r w:rsidRPr="00CD67EE" w:rsidR="00015A30">
        <w:rPr>
          <w:lang w:val="es-PE"/>
        </w:rPr>
        <w:t>0</w:t>
      </w:r>
      <w:r w:rsidR="000D5B9A">
        <w:rPr>
          <w:lang w:val="es-PE"/>
        </w:rPr>
        <w:t>56</w:t>
      </w:r>
      <w:r w:rsidRPr="00CD67EE" w:rsidR="001631D6">
        <w:rPr>
          <w:lang w:val="es-PE"/>
        </w:rPr>
        <w:t>/2</w:t>
      </w:r>
      <w:r w:rsidRPr="00CD67EE" w:rsidR="0073373B">
        <w:rPr>
          <w:lang w:val="es-PE"/>
        </w:rPr>
        <w:t>5</w:t>
      </w:r>
    </w:p>
    <w:p w:rsidRPr="009D4CAF" w:rsidR="009D4CAF" w:rsidP="009D4CAF" w:rsidRDefault="009D4CAF" w14:paraId="124DD7EA" w14:textId="77777777">
      <w:pPr>
        <w:jc w:val="both"/>
        <w:outlineLvl w:val="0"/>
        <w:rPr>
          <w:b/>
          <w:bCs/>
          <w:lang w:val="es-PE"/>
        </w:rPr>
      </w:pPr>
      <w:r w:rsidRPr="009D4CAF">
        <w:rPr>
          <w:b/>
          <w:bCs/>
          <w:lang w:val="es-PE"/>
        </w:rPr>
        <w:t>Vistos:</w:t>
      </w:r>
    </w:p>
    <w:p w:rsidRPr="009D4CAF" w:rsidR="009D4CAF" w:rsidP="009D4CAF" w:rsidRDefault="009D4CAF" w14:paraId="4F60E015" w14:textId="77777777">
      <w:pPr>
        <w:jc w:val="both"/>
        <w:outlineLvl w:val="0"/>
        <w:rPr>
          <w:b/>
          <w:bCs/>
          <w:lang w:val="es-PE"/>
        </w:rPr>
      </w:pPr>
    </w:p>
    <w:p w:rsidRPr="009D4CAF" w:rsidR="009D4CAF" w:rsidP="009D4CAF" w:rsidRDefault="009D4CAF" w14:paraId="528168AF" w14:textId="47689BAF">
      <w:pPr>
        <w:jc w:val="both"/>
        <w:outlineLvl w:val="0"/>
        <w:rPr>
          <w:lang w:val="es-PE"/>
        </w:rPr>
      </w:pPr>
      <w:r w:rsidRPr="294CEB59" w:rsidR="009D4CAF">
        <w:rPr>
          <w:lang w:val="es-PE"/>
        </w:rPr>
        <w:t xml:space="preserve">Que, el 10 de diciembre de 2024, don </w:t>
      </w:r>
      <w:r w:rsidRPr="294CEB59" w:rsidR="2B903596">
        <w:rPr>
          <w:lang w:val="es-PE"/>
        </w:rPr>
        <w:t>....................................................................</w:t>
      </w:r>
      <w:r w:rsidRPr="294CEB59" w:rsidR="009D4CAF">
        <w:rPr>
          <w:lang w:val="es-PE"/>
        </w:rPr>
        <w:t xml:space="preserve">, interpone reclamación ante esta Defensoría del Asegurado (DEFASEG), solicitando que </w:t>
      </w:r>
      <w:r w:rsidRPr="294CEB59" w:rsidR="59133562">
        <w:rPr>
          <w:lang w:val="es-PE"/>
        </w:rPr>
        <w:t>.............................................................................</w:t>
      </w:r>
      <w:r w:rsidRPr="294CEB59" w:rsidR="009D4CAF">
        <w:rPr>
          <w:lang w:val="es-PE"/>
        </w:rPr>
        <w:t xml:space="preserve"> (</w:t>
      </w:r>
      <w:r w:rsidRPr="294CEB59" w:rsidR="1164D530">
        <w:rPr>
          <w:lang w:val="es-PE"/>
        </w:rPr>
        <w:t>............................</w:t>
      </w:r>
      <w:r w:rsidRPr="294CEB59" w:rsidR="009D4CAF">
        <w:rPr>
          <w:lang w:val="es-PE"/>
        </w:rPr>
        <w:t xml:space="preserve">) otorgue cobertura de seguro al vehículo </w:t>
      </w:r>
      <w:r w:rsidRPr="294CEB59" w:rsidR="009D4CAF">
        <w:rPr>
          <w:lang w:val="es-PE"/>
        </w:rPr>
        <w:t>Jeep</w:t>
      </w:r>
      <w:r w:rsidRPr="294CEB59" w:rsidR="009D4CAF">
        <w:rPr>
          <w:lang w:val="es-PE"/>
        </w:rPr>
        <w:t xml:space="preserve"> Renegado Sport de placa </w:t>
      </w:r>
      <w:r w:rsidRPr="294CEB59" w:rsidR="5849962A">
        <w:rPr>
          <w:lang w:val="es-PE"/>
        </w:rPr>
        <w:t>................</w:t>
      </w:r>
      <w:r w:rsidRPr="294CEB59" w:rsidR="009D4CAF">
        <w:rPr>
          <w:lang w:val="es-PE"/>
        </w:rPr>
        <w:t xml:space="preserve">, conforme a la póliza de Seguro Vehicular Todo Riesgo </w:t>
      </w:r>
      <w:r w:rsidRPr="294CEB59" w:rsidR="009D4CAF">
        <w:rPr>
          <w:lang w:val="es-PE"/>
        </w:rPr>
        <w:t>N°</w:t>
      </w:r>
      <w:r w:rsidRPr="294CEB59" w:rsidR="009D4CAF">
        <w:rPr>
          <w:lang w:val="es-PE"/>
        </w:rPr>
        <w:t xml:space="preserve"> </w:t>
      </w:r>
      <w:r w:rsidRPr="294CEB59" w:rsidR="326ACA78">
        <w:rPr>
          <w:lang w:val="es-PE"/>
        </w:rPr>
        <w:t>.....................</w:t>
      </w:r>
      <w:r w:rsidRPr="294CEB59" w:rsidR="009D4CAF">
        <w:rPr>
          <w:lang w:val="es-PE"/>
        </w:rPr>
        <w:t xml:space="preserve">; </w:t>
      </w:r>
    </w:p>
    <w:p w:rsidRPr="009D4CAF" w:rsidR="009D4CAF" w:rsidP="009D4CAF" w:rsidRDefault="009D4CAF" w14:paraId="4999E05C" w14:textId="77777777">
      <w:pPr>
        <w:jc w:val="both"/>
        <w:outlineLvl w:val="0"/>
        <w:rPr>
          <w:lang w:val="es-PE"/>
        </w:rPr>
      </w:pPr>
    </w:p>
    <w:p w:rsidRPr="009D4CAF" w:rsidR="009D4CAF" w:rsidP="009D4CAF" w:rsidRDefault="009D4CAF" w14:paraId="2F40FAA5" w14:textId="77777777">
      <w:pPr>
        <w:jc w:val="both"/>
        <w:outlineLvl w:val="0"/>
        <w:rPr>
          <w:lang w:val="es-PE"/>
        </w:rPr>
      </w:pPr>
      <w:r w:rsidRPr="009D4CAF">
        <w:rPr>
          <w:lang w:val="es-PE"/>
        </w:rPr>
        <w:t>Que, la señalada reclamación cumple con los requisitos de materia, cuantía y oportunidad establecidos en el Reglamento de la DEFASEG (http://www.defaseg.com.pe/reglamento);</w:t>
      </w:r>
    </w:p>
    <w:p w:rsidRPr="009D4CAF" w:rsidR="009D4CAF" w:rsidP="009D4CAF" w:rsidRDefault="009D4CAF" w14:paraId="6ADC61E2" w14:textId="77777777">
      <w:pPr>
        <w:jc w:val="both"/>
        <w:outlineLvl w:val="0"/>
        <w:rPr>
          <w:lang w:val="es-PE"/>
        </w:rPr>
      </w:pPr>
    </w:p>
    <w:p w:rsidRPr="009D4CAF" w:rsidR="009D4CAF" w:rsidP="009D4CAF" w:rsidRDefault="009D4CAF" w14:paraId="23A4020E" w14:textId="77777777">
      <w:pPr>
        <w:jc w:val="both"/>
        <w:outlineLvl w:val="0"/>
        <w:rPr>
          <w:lang w:val="es-PE"/>
        </w:rPr>
      </w:pPr>
      <w:r w:rsidRPr="009D4CAF">
        <w:rPr>
          <w:lang w:val="es-PE"/>
        </w:rPr>
        <w:t>Que, conforme al Reglamento de la DEFASEG, atendiendo a la cuantía de la reclamación, que no supera la suma de US$ 3,000 (o su equivalente en moneda nacional), esta última puede ser resuelta por un Órgano Resolutivo Unipersonal (ORU), el mismo que, en el presente caso, está a cargo de la vocal que suscribe;</w:t>
      </w:r>
    </w:p>
    <w:p w:rsidRPr="009D4CAF" w:rsidR="009D4CAF" w:rsidP="009D4CAF" w:rsidRDefault="009D4CAF" w14:paraId="65EF9CBD" w14:textId="77777777">
      <w:pPr>
        <w:jc w:val="both"/>
        <w:outlineLvl w:val="0"/>
        <w:rPr>
          <w:lang w:val="es-PE"/>
        </w:rPr>
      </w:pPr>
    </w:p>
    <w:p w:rsidRPr="009D4CAF" w:rsidR="009D4CAF" w:rsidP="009D4CAF" w:rsidRDefault="009D4CAF" w14:paraId="345CEDB4" w14:textId="77777777">
      <w:pPr>
        <w:jc w:val="both"/>
        <w:outlineLvl w:val="0"/>
        <w:rPr>
          <w:lang w:val="es-PE"/>
        </w:rPr>
      </w:pPr>
      <w:r w:rsidRPr="009D4CAF">
        <w:rPr>
          <w:lang w:val="es-PE"/>
        </w:rPr>
        <w:t>Que, habiéndose corrido traslado de la respectiva reclamación, la aseguradora solicitó un plazo adicional para presentar sus descargos, los cuales finalmente presenta el 11 de febrero de 2025, adjuntando la documentación correspondiente.</w:t>
      </w:r>
    </w:p>
    <w:p w:rsidRPr="009D4CAF" w:rsidR="009D4CAF" w:rsidP="009D4CAF" w:rsidRDefault="009D4CAF" w14:paraId="6C17F392" w14:textId="77777777">
      <w:pPr>
        <w:jc w:val="both"/>
        <w:outlineLvl w:val="0"/>
        <w:rPr>
          <w:lang w:val="es-PE"/>
        </w:rPr>
      </w:pPr>
    </w:p>
    <w:p w:rsidRPr="009D4CAF" w:rsidR="009D4CAF" w:rsidP="009D4CAF" w:rsidRDefault="009D4CAF" w14:paraId="6DE8186E" w14:textId="77777777">
      <w:pPr>
        <w:jc w:val="both"/>
        <w:outlineLvl w:val="0"/>
      </w:pPr>
      <w:r w:rsidRPr="009D4CAF">
        <w:rPr>
          <w:lang w:val="es-PE"/>
        </w:rPr>
        <w:t>Que, el 07 de abril de 2025, se realizó la correspondiente audiencia virtual de vista con la participación de ambas partes, oportunidad en la cual expusieron sus posiciones y absolvieron las preguntas formuladas, conforme consta en la correspondiente acta.</w:t>
      </w:r>
    </w:p>
    <w:p w:rsidRPr="009D4CAF" w:rsidR="009D4CAF" w:rsidP="009D4CAF" w:rsidRDefault="009D4CAF" w14:paraId="7BFE1F7B" w14:textId="77777777">
      <w:pPr>
        <w:jc w:val="both"/>
        <w:outlineLvl w:val="0"/>
      </w:pPr>
    </w:p>
    <w:p w:rsidRPr="009D4CAF" w:rsidR="009D4CAF" w:rsidP="009D4CAF" w:rsidRDefault="009D4CAF" w14:paraId="5F0AA4B2" w14:textId="5239ED9E">
      <w:pPr>
        <w:jc w:val="both"/>
        <w:outlineLvl w:val="0"/>
        <w:rPr>
          <w:lang w:val="es-PE"/>
        </w:rPr>
      </w:pPr>
      <w:r w:rsidRPr="294CEB59" w:rsidR="009D4CAF">
        <w:rPr>
          <w:lang w:val="es-PE"/>
        </w:rPr>
        <w:t xml:space="preserve">Que, el reclamante sustenta su pedido resumidamente en lo siguiente: a) el 07 de junio de 2024, entre las 21:00 horas y las 00:30 horas aproximadamente dejó estacionado su vehículo en la Plaza de Armas de </w:t>
      </w:r>
      <w:r w:rsidRPr="294CEB59" w:rsidR="009D4CAF">
        <w:rPr>
          <w:lang w:val="es-PE"/>
        </w:rPr>
        <w:t>Cayaltí</w:t>
      </w:r>
      <w:r w:rsidRPr="294CEB59" w:rsidR="009D4CAF">
        <w:rPr>
          <w:lang w:val="es-PE"/>
        </w:rPr>
        <w:t xml:space="preserve"> en la ciudad de Chiclayo; b) según testigos su vehículo sufrió un siniestro ocasionado presuntamente por el choque de un </w:t>
      </w:r>
      <w:r w:rsidRPr="294CEB59" w:rsidR="009D4CAF">
        <w:rPr>
          <w:lang w:val="es-PE"/>
        </w:rPr>
        <w:t>motocar</w:t>
      </w:r>
      <w:r w:rsidRPr="294CEB59" w:rsidR="009D4CAF">
        <w:rPr>
          <w:lang w:val="es-PE"/>
        </w:rPr>
        <w:t>, que se dio a la fugar sin poder ser identificado, afectando el lateral derecho; c) por lo incómodo de la</w:t>
      </w:r>
      <w:r w:rsidRPr="294CEB59" w:rsidR="67F5564D">
        <w:rPr>
          <w:lang w:val="es-PE"/>
        </w:rPr>
        <w:t xml:space="preserve"> </w:t>
      </w:r>
      <w:r w:rsidRPr="294CEB59" w:rsidR="009D4CAF">
        <w:rPr>
          <w:lang w:val="es-PE"/>
        </w:rPr>
        <w:t xml:space="preserve">situación le fue imposible reportar a la aseguradora en ese momento y al acudir a la comisaría le dijeron que identificara al autor para la respectiva denuncia, lo cual no era posible por lo que no pudo sentar denuncia alguna; d) el 08 de junio al contar con la póliza vehicular, reportó el siniestro describiendo los hechos y adjuntando fotografías de las partes afectadas, desde el taller </w:t>
      </w:r>
      <w:r w:rsidRPr="294CEB59" w:rsidR="009D4CAF">
        <w:rPr>
          <w:lang w:val="es-PE"/>
        </w:rPr>
        <w:t>Divemotor</w:t>
      </w:r>
      <w:r w:rsidRPr="294CEB59" w:rsidR="009D4CAF">
        <w:rPr>
          <w:lang w:val="es-PE"/>
        </w:rPr>
        <w:t xml:space="preserve"> de Lambayeque, distribuidora de la marca Jeep, a donde acudió para una reparación de urgencia ya que tenía el espejo retrovisor derecho descolgado; e) en el taller le indicaron que esos daños sí eran </w:t>
      </w:r>
      <w:r w:rsidRPr="294CEB59" w:rsidR="009D4CAF">
        <w:rPr>
          <w:lang w:val="es-PE"/>
        </w:rPr>
        <w:t>coberturados</w:t>
      </w:r>
      <w:r w:rsidRPr="294CEB59" w:rsidR="009D4CAF">
        <w:rPr>
          <w:lang w:val="es-PE"/>
        </w:rPr>
        <w:t xml:space="preserve"> pero que el vehículo quedaría internado y ellos harían los trámites, pero no pudo dejar el vehículo porque estaba de paso en la ciudad, y debía retornar hacia la región Amazonas; en dicho reporte solicitó la activación de la póliza acogiéndose al plan full contratado; f) con fecha 05 de julio le informaron por correo el rechazo de cobertura por no haber realizado la denuncia policial y haber realizado la reparación sin la autorización de la aseguradora, señalando que no se han presentado pruebas que permitan determinar la ocurrencia del accidente; g) no está de acuerdo con el rechazo porque al realizar el reporte le indicaron que con la descripción de los hechos y las fotografía enviadas era suficiente; no le parece correcto que le oferten full coberturas y luego busquen justificaciones para no otorgarlas; el cumplió con reportar el aviso dentro del plazo que prevé la póliza que es de hasta 3 días calendarios en caso de daños patrimoniales; h) la compañía no considera que hay casos en </w:t>
      </w:r>
      <w:r w:rsidRPr="294CEB59" w:rsidR="009D4CAF">
        <w:rPr>
          <w:lang w:val="es-PE"/>
        </w:rPr>
        <w:t xml:space="preserve">que no se puede identificar al autor de los daños; se le está negando la cobertura con cláusulas no explicadas al momento de vender cuando uno solo se remite al resumen y no a interpretar el sentido de cada cláusula; i) por ello solicita a la aseguradora se le otorgue la indemnización equivalente a la suma pagada en el taller </w:t>
      </w:r>
      <w:r w:rsidRPr="294CEB59" w:rsidR="009D4CAF">
        <w:rPr>
          <w:lang w:val="es-PE"/>
        </w:rPr>
        <w:t>Divemotor</w:t>
      </w:r>
      <w:r w:rsidRPr="294CEB59" w:rsidR="009D4CAF">
        <w:rPr>
          <w:lang w:val="es-PE"/>
        </w:rPr>
        <w:t xml:space="preserve"> ascendente a US$157.08 (S/ 594.70) y se sancione a la aseguradora por el incumplimiento del plan contratado y los daños causados a su persona como cliente.</w:t>
      </w:r>
    </w:p>
    <w:p w:rsidRPr="009D4CAF" w:rsidR="009D4CAF" w:rsidP="009D4CAF" w:rsidRDefault="009D4CAF" w14:paraId="365D39F9" w14:textId="77777777">
      <w:pPr>
        <w:jc w:val="both"/>
        <w:outlineLvl w:val="0"/>
        <w:rPr>
          <w:lang w:val="es-PE"/>
        </w:rPr>
      </w:pPr>
    </w:p>
    <w:p w:rsidRPr="009D4CAF" w:rsidR="009D4CAF" w:rsidP="009D4CAF" w:rsidRDefault="009D4CAF" w14:paraId="3185E238" w14:textId="7FA2BAC5">
      <w:pPr>
        <w:jc w:val="both"/>
        <w:outlineLvl w:val="0"/>
        <w:rPr>
          <w:lang w:val="es-PE"/>
        </w:rPr>
      </w:pPr>
      <w:r w:rsidRPr="294CEB59" w:rsidR="009D4CAF">
        <w:rPr>
          <w:lang w:val="es-PE"/>
        </w:rPr>
        <w:t xml:space="preserve">Que, por su parte la aseguradora ratifica el rechazo de cobertura, sustentando su posición resumidamente en lo siguiente: a) El reclamante contrató con </w:t>
      </w:r>
      <w:r w:rsidRPr="294CEB59" w:rsidR="1164D530">
        <w:rPr>
          <w:lang w:val="es-PE"/>
        </w:rPr>
        <w:t>............................</w:t>
      </w:r>
      <w:r w:rsidRPr="294CEB59" w:rsidR="009D4CAF">
        <w:rPr>
          <w:lang w:val="es-PE"/>
        </w:rPr>
        <w:t xml:space="preserve"> la póliza de seguro vehicular todo riesgo el 13 de diciembre de 2023, el mismo día se le envió la póliza a su correo electrónico; lo cual acreditan con la constancia respectiva; b) el 08 de junio de 2024 a las 10:11 el reclamante reportó los daños en la parte lateral derecha de su vehículo supuestamente ocasionado por un </w:t>
      </w:r>
      <w:r w:rsidRPr="294CEB59" w:rsidR="009D4CAF">
        <w:rPr>
          <w:lang w:val="es-PE"/>
        </w:rPr>
        <w:t>motocar</w:t>
      </w:r>
      <w:r w:rsidRPr="294CEB59" w:rsidR="009D4CAF">
        <w:rPr>
          <w:lang w:val="es-PE"/>
        </w:rPr>
        <w:t xml:space="preserve"> que se dio a la fuga sin ser identificado; c) al momento de informar el siniestro, el asegurado indica que su vehículo se encontraba siendo reparado por un taller sin obtener autorización previa; c) al no contar con mayor información que permita acreditar el siniestro, con fecha 05 de julio de 2024 se le envió la carta de rechazo debido a que no se habría realizado una denuncia policial, la cual constituye una obligación establecida en la póliza, así como por haber realizado reparaciones y/o cambios de piezas sin autorización de </w:t>
      </w:r>
      <w:r w:rsidRPr="294CEB59" w:rsidR="1164D530">
        <w:rPr>
          <w:lang w:val="es-PE"/>
        </w:rPr>
        <w:t>............................</w:t>
      </w:r>
      <w:r w:rsidRPr="294CEB59" w:rsidR="009D4CAF">
        <w:rPr>
          <w:lang w:val="es-PE"/>
        </w:rPr>
        <w:t>, ello devendría en una exclusión de la póliza pues dicha situación dificulta la identificación de las causas del siniestro y el daño; d) la póliza es clara al establecer el procedimiento que debe seguirse en caso de siniestro, y la falta de denuncia no permite acreditar la ocurrencia del siniestro o las circunstancias en que habría sucedido; e) adicionalmente el que se haya efectuado reparaciones sin autorización calza dentro de una de las exclusiones de la póliza; dicha exclusión no es arbitraria, pues dificulta la verificación del daño, lo que es esencial para la cobertura; por lo que solicitan que el reclamo sea declarado infundado.</w:t>
      </w:r>
    </w:p>
    <w:p w:rsidRPr="009D4CAF" w:rsidR="009D4CAF" w:rsidP="009D4CAF" w:rsidRDefault="009D4CAF" w14:paraId="7844533C" w14:textId="77777777">
      <w:pPr>
        <w:jc w:val="both"/>
        <w:outlineLvl w:val="0"/>
        <w:rPr>
          <w:lang w:val="es-PE"/>
        </w:rPr>
      </w:pPr>
    </w:p>
    <w:p w:rsidRPr="009D4CAF" w:rsidR="009D4CAF" w:rsidP="009D4CAF" w:rsidRDefault="009D4CAF" w14:paraId="703A1D47" w14:textId="77777777">
      <w:pPr>
        <w:jc w:val="both"/>
        <w:outlineLvl w:val="0"/>
        <w:rPr>
          <w:lang w:val="es-PE"/>
        </w:rPr>
      </w:pPr>
      <w:r w:rsidRPr="009D4CAF">
        <w:rPr>
          <w:b/>
          <w:bCs/>
          <w:lang w:val="es-PE"/>
        </w:rPr>
        <w:t>Considerando:</w:t>
      </w:r>
    </w:p>
    <w:p w:rsidRPr="009D4CAF" w:rsidR="009D4CAF" w:rsidP="009D4CAF" w:rsidRDefault="009D4CAF" w14:paraId="00822FFF" w14:textId="77777777">
      <w:pPr>
        <w:jc w:val="both"/>
        <w:outlineLvl w:val="0"/>
        <w:rPr>
          <w:lang w:val="es-PE"/>
        </w:rPr>
      </w:pPr>
    </w:p>
    <w:p w:rsidRPr="009D4CAF" w:rsidR="009D4CAF" w:rsidP="009D4CAF" w:rsidRDefault="009D4CAF" w14:paraId="1D77FF36" w14:textId="77777777">
      <w:pPr>
        <w:jc w:val="both"/>
        <w:outlineLvl w:val="0"/>
        <w:rPr>
          <w:lang w:val="es-PE"/>
        </w:rPr>
      </w:pPr>
      <w:r w:rsidRPr="009D4CAF">
        <w:rPr>
          <w:b/>
          <w:u w:val="single"/>
          <w:lang w:val="es-PE"/>
        </w:rPr>
        <w:t>Primero</w:t>
      </w:r>
      <w:r w:rsidRPr="009D4CAF">
        <w:rPr>
          <w:b/>
          <w:lang w:val="es-PE"/>
        </w:rPr>
        <w:t xml:space="preserve">: </w:t>
      </w:r>
      <w:r w:rsidRPr="009D4CAF">
        <w:rPr>
          <w:lang w:val="es-PE"/>
        </w:rPr>
        <w:t>Conforme a su Reglamento, la</w:t>
      </w:r>
      <w:r w:rsidRPr="009D4CAF">
        <w:rPr>
          <w:b/>
          <w:bCs/>
          <w:lang w:val="es-PE"/>
        </w:rPr>
        <w:t xml:space="preserve"> </w:t>
      </w:r>
      <w:r w:rsidRPr="009D4CAF">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9D4CAF" w:rsidR="009D4CAF" w:rsidP="009D4CAF" w:rsidRDefault="009D4CAF" w14:paraId="1F868F97" w14:textId="77777777">
      <w:pPr>
        <w:jc w:val="both"/>
        <w:outlineLvl w:val="0"/>
        <w:rPr>
          <w:bCs/>
        </w:rPr>
      </w:pPr>
    </w:p>
    <w:p w:rsidRPr="009D4CAF" w:rsidR="009D4CAF" w:rsidP="009D4CAF" w:rsidRDefault="009D4CAF" w14:paraId="083F5216" w14:textId="77777777">
      <w:pPr>
        <w:jc w:val="both"/>
        <w:outlineLvl w:val="0"/>
        <w:rPr>
          <w:bCs/>
          <w:lang w:val="es-PE"/>
        </w:rPr>
      </w:pPr>
      <w:r w:rsidRPr="009D4CAF">
        <w:rPr>
          <w:b/>
          <w:bCs/>
          <w:u w:val="single"/>
          <w:lang w:val="es-PE"/>
        </w:rPr>
        <w:t>Segundo</w:t>
      </w:r>
      <w:r w:rsidRPr="009D4CAF">
        <w:rPr>
          <w:b/>
          <w:bCs/>
          <w:lang w:val="es-PE"/>
        </w:rPr>
        <w:t>:</w:t>
      </w:r>
      <w:r w:rsidRPr="009D4CAF">
        <w:rPr>
          <w:bCs/>
          <w:lang w:val="es-PE"/>
        </w:rPr>
        <w:t xml:space="preserve"> </w:t>
      </w:r>
      <w:r w:rsidRPr="009D4CAF">
        <w:rPr>
          <w:lang w:val="es-PE"/>
        </w:rPr>
        <w:t xml:space="preserve">Asimismo, de acuerdo a </w:t>
      </w:r>
      <w:r w:rsidRPr="009D4CAF">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9D4CAF" w:rsidR="009D4CAF" w:rsidP="009D4CAF" w:rsidRDefault="009D4CAF" w14:paraId="003CD6FF" w14:textId="77777777">
      <w:pPr>
        <w:jc w:val="both"/>
        <w:outlineLvl w:val="0"/>
        <w:rPr>
          <w:lang w:val="es-PE"/>
        </w:rPr>
      </w:pPr>
    </w:p>
    <w:p w:rsidRPr="009D4CAF" w:rsidR="009D4CAF" w:rsidP="009D4CAF" w:rsidRDefault="009D4CAF" w14:paraId="3910AAEC" w14:textId="77777777">
      <w:pPr>
        <w:jc w:val="both"/>
        <w:outlineLvl w:val="0"/>
      </w:pPr>
      <w:r w:rsidRPr="009D4CAF">
        <w:rPr>
          <w:b/>
          <w:bCs/>
          <w:u w:val="single"/>
          <w:lang w:val="es-PE"/>
        </w:rPr>
        <w:t>Tercero</w:t>
      </w:r>
      <w:r w:rsidRPr="009D4CAF">
        <w:rPr>
          <w:b/>
          <w:bCs/>
          <w:lang w:val="es-PE"/>
        </w:rPr>
        <w:t>:</w:t>
      </w:r>
      <w:r w:rsidRPr="009D4CAF">
        <w:rPr>
          <w:lang w:val="es-PE"/>
        </w:rPr>
        <w:t xml:space="preserve"> Que, de acuerdo a la Ley Nro. </w:t>
      </w:r>
      <w:r w:rsidRPr="009D4CAF">
        <w:t xml:space="preserve">29946 – Ley del Contrato de Seguro, norma legal vigente con ocasión de la celebración del contrato al cual se contrae el presente caso, </w:t>
      </w:r>
      <w:r w:rsidRPr="009D4CAF">
        <w:rPr>
          <w:lang w:val="es-PE"/>
        </w:rPr>
        <w:t xml:space="preserve">todas las cuestiones jurídicas se rigen por lo dispuesto en dicha ley y por las que reglas que se </w:t>
      </w:r>
      <w:r w:rsidRPr="009D4CAF">
        <w:rPr>
          <w:lang w:val="es-PE"/>
        </w:rPr>
        <w:lastRenderedPageBreak/>
        <w:t>acuerden convencionalmente, en cuanto no vulneren los principios esenciales de la naturaleza jurídica del seguro, siendo que sólo se aplica el derecho común a falta de disposiciones del derecho de seguros o de protección al consumidor.</w:t>
      </w:r>
    </w:p>
    <w:p w:rsidRPr="009D4CAF" w:rsidR="009D4CAF" w:rsidP="009D4CAF" w:rsidRDefault="009D4CAF" w14:paraId="4F79FD5C" w14:textId="77777777">
      <w:pPr>
        <w:jc w:val="both"/>
        <w:outlineLvl w:val="0"/>
        <w:rPr>
          <w:b/>
          <w:u w:val="single"/>
          <w:lang w:val="es-PE"/>
        </w:rPr>
      </w:pPr>
    </w:p>
    <w:p w:rsidRPr="009D4CAF" w:rsidR="009D4CAF" w:rsidP="009D4CAF" w:rsidRDefault="009D4CAF" w14:paraId="15F985E5" w14:textId="77777777">
      <w:pPr>
        <w:jc w:val="both"/>
        <w:outlineLvl w:val="0"/>
        <w:rPr>
          <w:lang w:val="es-PE"/>
        </w:rPr>
      </w:pPr>
      <w:r w:rsidRPr="009D4CAF">
        <w:rPr>
          <w:b/>
          <w:u w:val="single"/>
          <w:lang w:val="es-PE"/>
        </w:rPr>
        <w:t>Cuarto</w:t>
      </w:r>
      <w:r w:rsidRPr="009D4CAF">
        <w:rPr>
          <w:b/>
          <w:lang w:val="es-PE"/>
        </w:rPr>
        <w:t>:</w:t>
      </w:r>
      <w:r w:rsidRPr="009D4CAF">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9D4CAF" w:rsidR="009D4CAF" w:rsidP="009D4CAF" w:rsidRDefault="009D4CAF" w14:paraId="20926302" w14:textId="77777777">
      <w:pPr>
        <w:jc w:val="both"/>
        <w:outlineLvl w:val="0"/>
        <w:rPr>
          <w:bCs/>
        </w:rPr>
      </w:pPr>
    </w:p>
    <w:p w:rsidRPr="009D4CAF" w:rsidR="009D4CAF" w:rsidP="009D4CAF" w:rsidRDefault="009D4CAF" w14:paraId="2AECFBC6" w14:textId="77777777">
      <w:pPr>
        <w:jc w:val="both"/>
        <w:outlineLvl w:val="0"/>
      </w:pPr>
      <w:r w:rsidRPr="009D4CAF">
        <w:rPr>
          <w:b/>
          <w:bCs/>
          <w:u w:val="single"/>
          <w:lang w:val="es-PE"/>
        </w:rPr>
        <w:t>Quinto</w:t>
      </w:r>
      <w:r w:rsidRPr="009D4CAF">
        <w:rPr>
          <w:b/>
          <w:bCs/>
          <w:lang w:val="es-PE"/>
        </w:rPr>
        <w:t xml:space="preserve">: Que, conforme al </w:t>
      </w:r>
      <w:r w:rsidRPr="009D4CAF">
        <w:rPr>
          <w:lang w:val="es-PE"/>
        </w:rPr>
        <w:t>artículo 196 del Código Procesal Civil, corresponde a quien invoca hechos probar su existencia, así como a quien los contradice invocando nuevos hechos, salvo que aquel que esté sujeto a dicha carga procesal se acoja a alguna presunción legal de carácter relativo o absoluto.</w:t>
      </w:r>
    </w:p>
    <w:p w:rsidRPr="009D4CAF" w:rsidR="009D4CAF" w:rsidP="009D4CAF" w:rsidRDefault="009D4CAF" w14:paraId="6083AFAC" w14:textId="77777777">
      <w:pPr>
        <w:jc w:val="both"/>
        <w:outlineLvl w:val="0"/>
      </w:pPr>
    </w:p>
    <w:p w:rsidRPr="009D4CAF" w:rsidR="009D4CAF" w:rsidP="009D4CAF" w:rsidRDefault="009D4CAF" w14:paraId="36F74409" w14:textId="77777777">
      <w:pPr>
        <w:jc w:val="both"/>
        <w:outlineLvl w:val="0"/>
      </w:pPr>
      <w:r w:rsidRPr="009D4CAF">
        <w:rPr>
          <w:b/>
          <w:u w:val="single"/>
        </w:rPr>
        <w:t>Sexto</w:t>
      </w:r>
      <w:r w:rsidRPr="009D4CAF">
        <w:rPr>
          <w:b/>
        </w:rPr>
        <w:t>:</w:t>
      </w:r>
      <w:r w:rsidRPr="009D4CAF">
        <w:rPr>
          <w:b/>
          <w:lang w:val="es-PE"/>
        </w:rPr>
        <w:t xml:space="preserve"> </w:t>
      </w:r>
      <w:r w:rsidRPr="009D4CAF">
        <w:rPr>
          <w:lang w:val="es-PE"/>
        </w:rPr>
        <w:t xml:space="preserve">Sobre la base de los </w:t>
      </w:r>
      <w:r w:rsidRPr="009D4CAF">
        <w:t>términos contenidos en el rechazo, la reclamación y en la respectiva absolución, así como a lo tratado en la audiencia de vista, la solución de la presente controversia consiste en determinar si el rechazo de cobertura resulta o no legítimo.</w:t>
      </w:r>
    </w:p>
    <w:p w:rsidRPr="009D4CAF" w:rsidR="009D4CAF" w:rsidP="009D4CAF" w:rsidRDefault="009D4CAF" w14:paraId="46F9CBFC" w14:textId="77777777">
      <w:pPr>
        <w:jc w:val="both"/>
        <w:outlineLvl w:val="0"/>
      </w:pPr>
    </w:p>
    <w:p w:rsidRPr="009D4CAF" w:rsidR="009D4CAF" w:rsidP="009D4CAF" w:rsidRDefault="009D4CAF" w14:paraId="78135DA8" w14:textId="77777777">
      <w:pPr>
        <w:jc w:val="both"/>
        <w:outlineLvl w:val="0"/>
      </w:pPr>
      <w:r w:rsidRPr="009D4CAF">
        <w:t xml:space="preserve">En este caso el rechazo de cobertura se sustenta en el incumplimiento de las cargas establecidas en la póliza, y en la configuración de una causal de exclusión prevista en la póliza consistente en que se han realizado reparaciones en la unidad asegurada sin autorización de la compañía. </w:t>
      </w:r>
    </w:p>
    <w:p w:rsidRPr="009D4CAF" w:rsidR="009D4CAF" w:rsidP="009D4CAF" w:rsidRDefault="009D4CAF" w14:paraId="19FCF171" w14:textId="77777777">
      <w:pPr>
        <w:jc w:val="both"/>
        <w:outlineLvl w:val="0"/>
      </w:pPr>
    </w:p>
    <w:p w:rsidRPr="009D4CAF" w:rsidR="009D4CAF" w:rsidP="009D4CAF" w:rsidRDefault="009D4CAF" w14:paraId="17C735D3" w14:textId="77777777">
      <w:pPr>
        <w:jc w:val="both"/>
        <w:outlineLvl w:val="0"/>
      </w:pPr>
      <w:r w:rsidRPr="009D4CAF">
        <w:t>De resultar que al menos una de dichas causales es procedente, el rechazo de cobertura resultará legítimo; caso contrario será ilegítimo.</w:t>
      </w:r>
    </w:p>
    <w:p w:rsidRPr="009D4CAF" w:rsidR="009D4CAF" w:rsidP="009D4CAF" w:rsidRDefault="009D4CAF" w14:paraId="506894DA" w14:textId="77777777">
      <w:pPr>
        <w:jc w:val="both"/>
        <w:outlineLvl w:val="0"/>
      </w:pPr>
    </w:p>
    <w:p w:rsidRPr="009D4CAF" w:rsidR="009D4CAF" w:rsidP="009D4CAF" w:rsidRDefault="009D4CAF" w14:paraId="572347AF" w14:textId="77777777">
      <w:pPr>
        <w:jc w:val="both"/>
        <w:outlineLvl w:val="0"/>
        <w:rPr>
          <w:b/>
          <w:bCs/>
          <w:i/>
          <w:iCs/>
        </w:rPr>
      </w:pPr>
      <w:r w:rsidRPr="009D4CAF">
        <w:rPr>
          <w:b/>
          <w:bCs/>
          <w:i/>
          <w:iCs/>
        </w:rPr>
        <w:t xml:space="preserve">6.1. Exclusión de cobertura: realizar reparaciones sin autorización de la compañía </w:t>
      </w:r>
    </w:p>
    <w:p w:rsidRPr="009D4CAF" w:rsidR="009D4CAF" w:rsidP="009D4CAF" w:rsidRDefault="009D4CAF" w14:paraId="7F81F244" w14:textId="77777777">
      <w:pPr>
        <w:jc w:val="both"/>
        <w:outlineLvl w:val="0"/>
      </w:pPr>
    </w:p>
    <w:p w:rsidRPr="009D4CAF" w:rsidR="009D4CAF" w:rsidP="009D4CAF" w:rsidRDefault="009D4CAF" w14:paraId="373817E9" w14:textId="339FB1EB">
      <w:pPr>
        <w:jc w:val="both"/>
        <w:outlineLvl w:val="0"/>
        <w:rPr>
          <w:lang w:val="es-PE"/>
        </w:rPr>
      </w:pPr>
      <w:r w:rsidRPr="294CEB59" w:rsidR="009D4CAF">
        <w:rPr>
          <w:lang w:val="es-PE"/>
        </w:rPr>
        <w:t xml:space="preserve">Tratándose específicamente del rechazo por exclusiones de cobertura, como bien es sabido por </w:t>
      </w:r>
      <w:r w:rsidRPr="294CEB59" w:rsidR="1164D530">
        <w:rPr>
          <w:lang w:val="es-PE"/>
        </w:rPr>
        <w:t>............................</w:t>
      </w:r>
      <w:r w:rsidRPr="294CEB59" w:rsidR="009D4CAF">
        <w:rPr>
          <w:lang w:val="es-PE"/>
        </w:rPr>
        <w:t xml:space="preserve">, la </w:t>
      </w:r>
      <w:r w:rsidRPr="294CEB59" w:rsidR="009D4CAF">
        <w:rPr>
          <w:lang w:val="es-PE"/>
        </w:rPr>
        <w:t>DEFASEG  aplica</w:t>
      </w:r>
      <w:r w:rsidRPr="294CEB59" w:rsidR="009D4CAF">
        <w:rPr>
          <w:lang w:val="es-PE"/>
        </w:rPr>
        <w:t xml:space="preserve"> un criterio uniforme, conforme a diversos precedentes sostenidos en el tiempo, en el sentido que su eficacia está subordinada a que el correspondiente pacto contractual sea de efectivo conocimiento del asegurado, de manera que se pueda aplicar ante el correspondiente supuesto de hecho.</w:t>
      </w:r>
    </w:p>
    <w:p w:rsidRPr="009D4CAF" w:rsidR="009D4CAF" w:rsidP="009D4CAF" w:rsidRDefault="009D4CAF" w14:paraId="7DFA0D33" w14:textId="77777777">
      <w:pPr>
        <w:jc w:val="both"/>
        <w:outlineLvl w:val="0"/>
        <w:rPr>
          <w:lang w:val="es-PE"/>
        </w:rPr>
      </w:pPr>
    </w:p>
    <w:p w:rsidRPr="009D4CAF" w:rsidR="009D4CAF" w:rsidP="009D4CAF" w:rsidRDefault="009D4CAF" w14:paraId="7CD94945" w14:textId="77777777">
      <w:pPr>
        <w:jc w:val="both"/>
        <w:outlineLvl w:val="0"/>
        <w:rPr>
          <w:lang w:val="es-PE"/>
        </w:rPr>
      </w:pPr>
      <w:r w:rsidRPr="009D4CAF">
        <w:rPr>
          <w:lang w:val="es-PE"/>
        </w:rPr>
        <w:t>Conforme a lo anterior, la DEFASEG requiere verificar lo siguiente: (i) si la póliza contiene la exclusión invocada, (</w:t>
      </w:r>
      <w:proofErr w:type="spellStart"/>
      <w:r w:rsidRPr="009D4CAF">
        <w:rPr>
          <w:lang w:val="es-PE"/>
        </w:rPr>
        <w:t>ii</w:t>
      </w:r>
      <w:proofErr w:type="spellEnd"/>
      <w:r w:rsidRPr="009D4CAF">
        <w:rPr>
          <w:lang w:val="es-PE"/>
        </w:rPr>
        <w:t>) si dicha exclusión fue oportuna, adecuada y suficientemente informada al asegurado no contratante, a quien se afilió a una póliza, y (</w:t>
      </w:r>
      <w:proofErr w:type="spellStart"/>
      <w:r w:rsidRPr="009D4CAF">
        <w:rPr>
          <w:lang w:val="es-PE"/>
        </w:rPr>
        <w:t>iii</w:t>
      </w:r>
      <w:proofErr w:type="spellEnd"/>
      <w:r w:rsidRPr="009D4CAF">
        <w:rPr>
          <w:lang w:val="es-PE"/>
        </w:rPr>
        <w:t>) si está probado haberse incurrido en el supuesto de hecho regulado contractualmente como exclusión.  La respuesta negativa a cualquiera de dichos tres aspectos, por ser concurrentes, determina que el rechazo carezca de legitimidad.</w:t>
      </w:r>
    </w:p>
    <w:p w:rsidRPr="009D4CAF" w:rsidR="009D4CAF" w:rsidP="009D4CAF" w:rsidRDefault="009D4CAF" w14:paraId="36DCE410" w14:textId="77777777">
      <w:pPr>
        <w:jc w:val="both"/>
        <w:outlineLvl w:val="0"/>
        <w:rPr>
          <w:lang w:val="es-PE"/>
        </w:rPr>
      </w:pPr>
    </w:p>
    <w:p w:rsidRPr="009D4CAF" w:rsidR="009D4CAF" w:rsidP="009D4CAF" w:rsidRDefault="009D4CAF" w14:paraId="5326075D" w14:textId="77777777">
      <w:pPr>
        <w:jc w:val="both"/>
        <w:outlineLvl w:val="0"/>
        <w:rPr>
          <w:lang w:val="es-PE"/>
        </w:rPr>
      </w:pPr>
      <w:r w:rsidRPr="009D4CAF">
        <w:rPr>
          <w:lang w:val="es-PE"/>
        </w:rPr>
        <w:t xml:space="preserve">Al respecto, se ha verificado que la póliza de seguro </w:t>
      </w:r>
      <w:proofErr w:type="gramStart"/>
      <w:r w:rsidRPr="009D4CAF">
        <w:rPr>
          <w:lang w:val="es-PE"/>
        </w:rPr>
        <w:t>contratada,</w:t>
      </w:r>
      <w:proofErr w:type="gramEnd"/>
      <w:r w:rsidRPr="009D4CAF">
        <w:rPr>
          <w:lang w:val="es-PE"/>
        </w:rPr>
        <w:t xml:space="preserve"> señala en el Capítulo IV, numeral 4.1. Exclusiones Generales, numeral 19, que:</w:t>
      </w:r>
    </w:p>
    <w:p w:rsidRPr="009D4CAF" w:rsidR="009D4CAF" w:rsidP="009D4CAF" w:rsidRDefault="009D4CAF" w14:paraId="74F5548C" w14:textId="77777777">
      <w:pPr>
        <w:jc w:val="both"/>
        <w:outlineLvl w:val="0"/>
        <w:rPr>
          <w:lang w:val="es-PE"/>
        </w:rPr>
      </w:pPr>
    </w:p>
    <w:p w:rsidRPr="009D4CAF" w:rsidR="009D4CAF" w:rsidP="009D4CAF" w:rsidRDefault="009D4CAF" w14:paraId="02B96FEE" w14:textId="77777777">
      <w:pPr>
        <w:jc w:val="both"/>
        <w:outlineLvl w:val="0"/>
        <w:rPr>
          <w:i/>
          <w:iCs/>
          <w:lang w:val="es-PE"/>
        </w:rPr>
      </w:pPr>
      <w:r w:rsidRPr="009D4CAF">
        <w:rPr>
          <w:i/>
          <w:iCs/>
          <w:lang w:val="es-PE"/>
        </w:rPr>
        <w:t>“Se encuentran excluidos de cobertura los siniestros:</w:t>
      </w:r>
    </w:p>
    <w:p w:rsidRPr="009D4CAF" w:rsidR="009D4CAF" w:rsidP="009D4CAF" w:rsidRDefault="009D4CAF" w14:paraId="1F07B4AF" w14:textId="77777777">
      <w:pPr>
        <w:jc w:val="both"/>
        <w:outlineLvl w:val="0"/>
        <w:rPr>
          <w:i/>
          <w:iCs/>
          <w:lang w:val="es-PE"/>
        </w:rPr>
      </w:pPr>
      <w:r w:rsidRPr="009D4CAF">
        <w:rPr>
          <w:i/>
          <w:iCs/>
          <w:lang w:val="es-PE"/>
        </w:rPr>
        <w:t xml:space="preserve"> (…) </w:t>
      </w:r>
    </w:p>
    <w:p w:rsidRPr="009D4CAF" w:rsidR="009D4CAF" w:rsidP="009D4CAF" w:rsidRDefault="009D4CAF" w14:paraId="05AB7266" w14:textId="0515D248">
      <w:pPr>
        <w:jc w:val="both"/>
        <w:outlineLvl w:val="0"/>
        <w:rPr>
          <w:lang w:val="es-PE"/>
        </w:rPr>
      </w:pPr>
      <w:r w:rsidRPr="294CEB59" w:rsidR="009D4CAF">
        <w:rPr>
          <w:i w:val="1"/>
          <w:iCs w:val="1"/>
          <w:lang w:val="es-PE"/>
        </w:rPr>
        <w:t xml:space="preserve">19. </w:t>
      </w:r>
      <w:r w:rsidRPr="294CEB59" w:rsidR="009D4CAF">
        <w:rPr>
          <w:b w:val="1"/>
          <w:bCs w:val="1"/>
          <w:i w:val="1"/>
          <w:iCs w:val="1"/>
          <w:lang w:val="es-PE"/>
        </w:rPr>
        <w:t>Causados</w:t>
      </w:r>
      <w:r w:rsidRPr="294CEB59" w:rsidR="009D4CAF">
        <w:rPr>
          <w:i w:val="1"/>
          <w:iCs w:val="1"/>
          <w:lang w:val="es-PE"/>
        </w:rPr>
        <w:t xml:space="preserve"> por reparaciones y/o cambios de piezas sin autorización de </w:t>
      </w:r>
      <w:r w:rsidRPr="294CEB59" w:rsidR="1164D530">
        <w:rPr>
          <w:i w:val="1"/>
          <w:iCs w:val="1"/>
          <w:lang w:val="es-PE"/>
        </w:rPr>
        <w:t>............................</w:t>
      </w:r>
      <w:r w:rsidRPr="294CEB59" w:rsidR="009D4CAF">
        <w:rPr>
          <w:i w:val="1"/>
          <w:iCs w:val="1"/>
          <w:lang w:val="es-PE"/>
        </w:rPr>
        <w:t xml:space="preserve"> que dificultan determinar las causas del siniestro o el daño”.</w:t>
      </w:r>
      <w:r w:rsidRPr="294CEB59" w:rsidR="009D4CAF">
        <w:rPr>
          <w:lang w:val="es-PE"/>
        </w:rPr>
        <w:t xml:space="preserve"> (el resaltado es nuestro)</w:t>
      </w:r>
    </w:p>
    <w:p w:rsidRPr="009D4CAF" w:rsidR="009D4CAF" w:rsidP="009D4CAF" w:rsidRDefault="009D4CAF" w14:paraId="1D506EDA" w14:textId="77777777">
      <w:pPr>
        <w:jc w:val="both"/>
        <w:outlineLvl w:val="0"/>
        <w:rPr>
          <w:lang w:val="es-PE"/>
        </w:rPr>
      </w:pPr>
    </w:p>
    <w:p w:rsidRPr="009D4CAF" w:rsidR="009D4CAF" w:rsidP="009D4CAF" w:rsidRDefault="009D4CAF" w14:paraId="31B952B9" w14:textId="2D268ED3">
      <w:pPr>
        <w:jc w:val="both"/>
        <w:outlineLvl w:val="0"/>
        <w:rPr>
          <w:lang w:val="es-PE"/>
        </w:rPr>
      </w:pPr>
      <w:r w:rsidRPr="294CEB59" w:rsidR="009D4CAF">
        <w:rPr>
          <w:lang w:val="es-PE"/>
        </w:rPr>
        <w:t xml:space="preserve">En este caso, sí hubo una reparación no autorizada por </w:t>
      </w:r>
      <w:r w:rsidRPr="294CEB59" w:rsidR="1164D530">
        <w:rPr>
          <w:lang w:val="es-PE"/>
        </w:rPr>
        <w:t>............................</w:t>
      </w:r>
      <w:r w:rsidRPr="294CEB59" w:rsidR="009D4CAF">
        <w:rPr>
          <w:lang w:val="es-PE"/>
        </w:rPr>
        <w:t xml:space="preserve"> que dificulta determinar las causas del siniestro, pero el siniestro no fue “causado” por reparaciones y/o cambios de piezas sin dicha autorización. </w:t>
      </w:r>
    </w:p>
    <w:p w:rsidRPr="009D4CAF" w:rsidR="009D4CAF" w:rsidP="009D4CAF" w:rsidRDefault="009D4CAF" w14:paraId="2DA75F85" w14:textId="77777777">
      <w:pPr>
        <w:jc w:val="both"/>
        <w:outlineLvl w:val="0"/>
        <w:rPr>
          <w:lang w:val="es-PE"/>
        </w:rPr>
      </w:pPr>
    </w:p>
    <w:p w:rsidRPr="009D4CAF" w:rsidR="009D4CAF" w:rsidP="009D4CAF" w:rsidRDefault="009D4CAF" w14:paraId="090842C4" w14:textId="77777777">
      <w:pPr>
        <w:jc w:val="both"/>
        <w:outlineLvl w:val="0"/>
        <w:rPr>
          <w:lang w:val="es-PE"/>
        </w:rPr>
      </w:pPr>
      <w:r w:rsidRPr="009D4CAF">
        <w:rPr>
          <w:lang w:val="es-PE"/>
        </w:rPr>
        <w:t xml:space="preserve">Si lo que la aseguradora quiso excluir son los siniestros “cuando” se producen reparaciones y/o cambios de piezas sin autorización que dificultan determinar las causas del siniestro el daño; debió redactar la exclusión en dicho sentido, y no solo como una consecuencia de una reparación o daño no autorizado (supuesto en el que también podría producirse un siniestro, pero que no corresponde al caso que nos ocupa, pues el siniestro no se produce debido a dicha reparación, sino antes de ella). </w:t>
      </w:r>
    </w:p>
    <w:p w:rsidRPr="009D4CAF" w:rsidR="009D4CAF" w:rsidP="009D4CAF" w:rsidRDefault="009D4CAF" w14:paraId="1CF61DB1" w14:textId="77777777">
      <w:pPr>
        <w:jc w:val="both"/>
        <w:outlineLvl w:val="0"/>
        <w:rPr>
          <w:lang w:val="es-PE"/>
        </w:rPr>
      </w:pPr>
    </w:p>
    <w:p w:rsidRPr="009D4CAF" w:rsidR="009D4CAF" w:rsidP="009D4CAF" w:rsidRDefault="009D4CAF" w14:paraId="28DDC387" w14:textId="77777777">
      <w:pPr>
        <w:jc w:val="both"/>
        <w:outlineLvl w:val="0"/>
        <w:rPr>
          <w:lang w:val="es-PE"/>
        </w:rPr>
      </w:pPr>
      <w:proofErr w:type="gramStart"/>
      <w:r w:rsidRPr="009D4CAF">
        <w:rPr>
          <w:lang w:val="es-PE"/>
        </w:rPr>
        <w:t>De acuerdo a</w:t>
      </w:r>
      <w:proofErr w:type="gramEnd"/>
      <w:r w:rsidRPr="009D4CAF">
        <w:rPr>
          <w:lang w:val="es-PE"/>
        </w:rPr>
        <w:t xml:space="preserve"> la séptima regla de interpretación del contrato de seguro prevista en la Ley del Contrato de Seguro, Ley </w:t>
      </w:r>
      <w:proofErr w:type="gramStart"/>
      <w:r w:rsidRPr="009D4CAF">
        <w:rPr>
          <w:lang w:val="es-PE"/>
        </w:rPr>
        <w:t>29946,  las</w:t>
      </w:r>
      <w:proofErr w:type="gramEnd"/>
      <w:r w:rsidRPr="009D4CAF">
        <w:rPr>
          <w:lang w:val="es-PE"/>
        </w:rPr>
        <w:t xml:space="preserve"> exclusiones deben interpretarse literalmente; y, en consecuencia, al no haber sido el siniestro “causado” por una reparación y/o cambio sin autorización, el rechazo basado en dicha causal no resulta legítimo.</w:t>
      </w:r>
    </w:p>
    <w:p w:rsidRPr="009D4CAF" w:rsidR="009D4CAF" w:rsidP="009D4CAF" w:rsidRDefault="009D4CAF" w14:paraId="5EA2DCAC" w14:textId="77777777">
      <w:pPr>
        <w:jc w:val="both"/>
        <w:outlineLvl w:val="0"/>
        <w:rPr>
          <w:lang w:val="es-PE"/>
        </w:rPr>
      </w:pPr>
    </w:p>
    <w:p w:rsidRPr="009D4CAF" w:rsidR="009D4CAF" w:rsidP="009D4CAF" w:rsidRDefault="009D4CAF" w14:paraId="28F88907" w14:textId="77777777">
      <w:pPr>
        <w:jc w:val="both"/>
        <w:outlineLvl w:val="0"/>
        <w:rPr>
          <w:lang w:val="es-PE"/>
        </w:rPr>
      </w:pPr>
      <w:r w:rsidRPr="009D4CAF">
        <w:rPr>
          <w:lang w:val="es-PE"/>
        </w:rPr>
        <w:t>No obstante, como se han invocado otras causales de rechazo, y es suficiente que una de ellas sea legítima, para que el rechazo resulte procedente a continuación se analizará la otra causal invocada:</w:t>
      </w:r>
    </w:p>
    <w:p w:rsidRPr="009D4CAF" w:rsidR="009D4CAF" w:rsidP="009D4CAF" w:rsidRDefault="009D4CAF" w14:paraId="61ADA383" w14:textId="77777777">
      <w:pPr>
        <w:jc w:val="both"/>
        <w:outlineLvl w:val="0"/>
        <w:rPr>
          <w:lang w:val="es-PE"/>
        </w:rPr>
      </w:pPr>
    </w:p>
    <w:p w:rsidRPr="009D4CAF" w:rsidR="009D4CAF" w:rsidP="009D4CAF" w:rsidRDefault="009D4CAF" w14:paraId="5D66CDDA" w14:textId="77777777">
      <w:pPr>
        <w:jc w:val="both"/>
        <w:outlineLvl w:val="0"/>
        <w:rPr>
          <w:b/>
          <w:bCs/>
          <w:i/>
          <w:iCs/>
        </w:rPr>
      </w:pPr>
      <w:r w:rsidRPr="009D4CAF">
        <w:rPr>
          <w:b/>
          <w:bCs/>
          <w:i/>
          <w:iCs/>
        </w:rPr>
        <w:t>6.2. Incumplimiento de cargas contractuales:</w:t>
      </w:r>
    </w:p>
    <w:p w:rsidRPr="009D4CAF" w:rsidR="009D4CAF" w:rsidP="009D4CAF" w:rsidRDefault="009D4CAF" w14:paraId="4BF4084D" w14:textId="77777777">
      <w:pPr>
        <w:jc w:val="both"/>
        <w:outlineLvl w:val="0"/>
        <w:rPr>
          <w:b/>
          <w:bCs/>
        </w:rPr>
      </w:pPr>
    </w:p>
    <w:p w:rsidRPr="009D4CAF" w:rsidR="009D4CAF" w:rsidP="009D4CAF" w:rsidRDefault="009D4CAF" w14:paraId="6BEF3F39" w14:textId="77777777">
      <w:pPr>
        <w:jc w:val="both"/>
        <w:outlineLvl w:val="0"/>
      </w:pPr>
      <w:r w:rsidRPr="009D4CAF">
        <w:t>La aseguradora hace referencia en la carta de rechazo a diversas cláusulas contenidas en el contrato de seguro que establecen cargas u obligaciones a cargo del asegurado, y a la sanción por incumplimiento en dar el aviso oportuno.</w:t>
      </w:r>
    </w:p>
    <w:p w:rsidRPr="009D4CAF" w:rsidR="009D4CAF" w:rsidP="009D4CAF" w:rsidRDefault="009D4CAF" w14:paraId="545951F6" w14:textId="77777777">
      <w:pPr>
        <w:jc w:val="both"/>
        <w:outlineLvl w:val="0"/>
      </w:pPr>
    </w:p>
    <w:p w:rsidRPr="009D4CAF" w:rsidR="009D4CAF" w:rsidP="009D4CAF" w:rsidRDefault="009D4CAF" w14:paraId="01AA25B5" w14:textId="77777777">
      <w:pPr>
        <w:jc w:val="both"/>
        <w:outlineLvl w:val="0"/>
      </w:pPr>
      <w:r w:rsidRPr="009D4CAF">
        <w:t>En particular, se refiere al aviso de siniestro a la aseguradora, y de otro lado a la obligación de realizar la denuncia policial.</w:t>
      </w:r>
    </w:p>
    <w:p w:rsidRPr="009D4CAF" w:rsidR="009D4CAF" w:rsidP="009D4CAF" w:rsidRDefault="009D4CAF" w14:paraId="77755456" w14:textId="77777777">
      <w:pPr>
        <w:jc w:val="both"/>
        <w:outlineLvl w:val="0"/>
      </w:pPr>
    </w:p>
    <w:p w:rsidRPr="009D4CAF" w:rsidR="009D4CAF" w:rsidP="009D4CAF" w:rsidRDefault="009D4CAF" w14:paraId="6B31614D" w14:textId="77777777">
      <w:pPr>
        <w:jc w:val="both"/>
        <w:outlineLvl w:val="0"/>
      </w:pPr>
      <w:r w:rsidRPr="009D4CAF">
        <w:t>Al respecto, la ley del contrato de seguro permite que se pueda pactar la pérdida del derecho indemnizatorio ante el incumplimiento de una carga contractual, pero cumpliendo el régimen establecido en la propia ley, que establece disposiciones específicas tanto respecto de las cargas que deben observarse antes del siniestro, como respecto de aquellas que deben observarse luego de producido.</w:t>
      </w:r>
    </w:p>
    <w:p w:rsidRPr="009D4CAF" w:rsidR="009D4CAF" w:rsidP="009D4CAF" w:rsidRDefault="009D4CAF" w14:paraId="606EA84E" w14:textId="77777777">
      <w:pPr>
        <w:jc w:val="both"/>
        <w:outlineLvl w:val="0"/>
      </w:pPr>
    </w:p>
    <w:p w:rsidRPr="009D4CAF" w:rsidR="009D4CAF" w:rsidP="009D4CAF" w:rsidRDefault="009D4CAF" w14:paraId="103B9061" w14:textId="77777777">
      <w:pPr>
        <w:jc w:val="both"/>
        <w:outlineLvl w:val="0"/>
      </w:pPr>
      <w:r w:rsidRPr="009D4CAF">
        <w:t>En este caso, se ha invocado el incumplimiento de cargas que debieron observarse después de ocurrido el siniestro, y al respecto el artículo 59 de la ley 29946, establece lo siguiente:</w:t>
      </w:r>
    </w:p>
    <w:p w:rsidRPr="009D4CAF" w:rsidR="009D4CAF" w:rsidP="009D4CAF" w:rsidRDefault="009D4CAF" w14:paraId="581E9D1F" w14:textId="77777777">
      <w:pPr>
        <w:jc w:val="both"/>
        <w:outlineLvl w:val="0"/>
        <w:rPr>
          <w:i/>
          <w:iCs/>
        </w:rPr>
      </w:pPr>
    </w:p>
    <w:p w:rsidRPr="009D4CAF" w:rsidR="009D4CAF" w:rsidP="009D4CAF" w:rsidRDefault="009D4CAF" w14:paraId="297E9DD5" w14:textId="77777777">
      <w:pPr>
        <w:jc w:val="both"/>
        <w:outlineLvl w:val="0"/>
        <w:rPr>
          <w:i/>
          <w:iCs/>
          <w:lang w:val="es-PE"/>
        </w:rPr>
      </w:pPr>
      <w:r w:rsidRPr="009D4CAF">
        <w:rPr>
          <w:b/>
          <w:bCs/>
          <w:i/>
          <w:iCs/>
          <w:lang w:val="es-PE"/>
        </w:rPr>
        <w:t>     “Artículo 59. Caducidad convencional</w:t>
      </w:r>
    </w:p>
    <w:p w:rsidRPr="009D4CAF" w:rsidR="009D4CAF" w:rsidP="009D4CAF" w:rsidRDefault="009D4CAF" w14:paraId="7979B99C" w14:textId="77777777">
      <w:pPr>
        <w:jc w:val="both"/>
        <w:outlineLvl w:val="0"/>
        <w:rPr>
          <w:i/>
          <w:iCs/>
          <w:lang w:val="es-PE"/>
        </w:rPr>
      </w:pPr>
      <w:r w:rsidRPr="009D4CAF">
        <w:rPr>
          <w:b/>
          <w:bCs/>
          <w:i/>
          <w:iCs/>
          <w:lang w:val="es-PE"/>
        </w:rPr>
        <w:t>     </w:t>
      </w:r>
      <w:r w:rsidRPr="009D4CAF">
        <w:rPr>
          <w:i/>
          <w:iCs/>
          <w:lang w:val="es-PE"/>
        </w:rPr>
        <w:t xml:space="preserve">Cuando la presente ley no determine el efecto del incumplimiento de una carga impuesta al asegurado, las partes pueden convenir la caducidad de los derechos del asegurado si el incumplimiento obedece a su dolo o culpa inexcusable, </w:t>
      </w:r>
      <w:proofErr w:type="gramStart"/>
      <w:r w:rsidRPr="009D4CAF">
        <w:rPr>
          <w:i/>
          <w:iCs/>
          <w:lang w:val="es-PE"/>
        </w:rPr>
        <w:t>de acuerdo al</w:t>
      </w:r>
      <w:proofErr w:type="gramEnd"/>
      <w:r w:rsidRPr="009D4CAF">
        <w:rPr>
          <w:i/>
          <w:iCs/>
          <w:lang w:val="es-PE"/>
        </w:rPr>
        <w:t xml:space="preserve"> siguiente régimen:</w:t>
      </w:r>
    </w:p>
    <w:p w:rsidRPr="009D4CAF" w:rsidR="009D4CAF" w:rsidP="009D4CAF" w:rsidRDefault="009D4CAF" w14:paraId="4DD28F94" w14:textId="77777777">
      <w:pPr>
        <w:jc w:val="both"/>
        <w:outlineLvl w:val="0"/>
        <w:rPr>
          <w:i/>
          <w:iCs/>
          <w:lang w:val="es-PE"/>
        </w:rPr>
      </w:pPr>
      <w:r w:rsidRPr="009D4CAF">
        <w:rPr>
          <w:i/>
          <w:iCs/>
          <w:lang w:val="es-PE"/>
        </w:rPr>
        <w:t>     </w:t>
      </w:r>
      <w:r w:rsidRPr="009D4CAF">
        <w:rPr>
          <w:b/>
          <w:bCs/>
          <w:i/>
          <w:iCs/>
          <w:lang w:val="es-PE"/>
        </w:rPr>
        <w:t>Cargas anteriores al siniestro</w:t>
      </w:r>
    </w:p>
    <w:p w:rsidRPr="009D4CAF" w:rsidR="009D4CAF" w:rsidP="009D4CAF" w:rsidRDefault="009D4CAF" w14:paraId="21DB0EFD" w14:textId="77777777">
      <w:pPr>
        <w:jc w:val="both"/>
        <w:outlineLvl w:val="0"/>
        <w:rPr>
          <w:i/>
          <w:iCs/>
          <w:lang w:val="es-PE"/>
        </w:rPr>
      </w:pPr>
      <w:r w:rsidRPr="009D4CAF">
        <w:rPr>
          <w:i/>
          <w:iCs/>
          <w:lang w:val="es-PE"/>
        </w:rPr>
        <w:t xml:space="preserve">     (…)</w:t>
      </w:r>
    </w:p>
    <w:p w:rsidRPr="009D4CAF" w:rsidR="009D4CAF" w:rsidP="009D4CAF" w:rsidRDefault="009D4CAF" w14:paraId="6BDABACD" w14:textId="77777777">
      <w:pPr>
        <w:jc w:val="both"/>
        <w:outlineLvl w:val="0"/>
        <w:rPr>
          <w:i/>
          <w:iCs/>
          <w:lang w:val="es-PE"/>
        </w:rPr>
      </w:pPr>
      <w:r w:rsidRPr="009D4CAF">
        <w:rPr>
          <w:i/>
          <w:iCs/>
          <w:lang w:val="es-PE"/>
        </w:rPr>
        <w:t>     </w:t>
      </w:r>
      <w:r w:rsidRPr="009D4CAF">
        <w:rPr>
          <w:b/>
          <w:bCs/>
          <w:i/>
          <w:iCs/>
          <w:lang w:val="es-PE"/>
        </w:rPr>
        <w:t>Cargas posteriores al siniestro</w:t>
      </w:r>
    </w:p>
    <w:p w:rsidRPr="009D4CAF" w:rsidR="009D4CAF" w:rsidP="009D4CAF" w:rsidRDefault="009D4CAF" w14:paraId="413D41D5" w14:textId="77777777">
      <w:pPr>
        <w:jc w:val="both"/>
        <w:outlineLvl w:val="0"/>
        <w:rPr>
          <w:b/>
          <w:bCs/>
          <w:i/>
          <w:iCs/>
          <w:lang w:val="es-PE"/>
        </w:rPr>
      </w:pPr>
      <w:r w:rsidRPr="009D4CAF">
        <w:rPr>
          <w:b/>
          <w:bCs/>
          <w:i/>
          <w:iCs/>
          <w:lang w:val="es-PE"/>
        </w:rPr>
        <w:lastRenderedPageBreak/>
        <w:t>     </w:t>
      </w:r>
      <w:r w:rsidRPr="009D4CAF">
        <w:rPr>
          <w:i/>
          <w:iCs/>
          <w:lang w:val="es-PE"/>
        </w:rPr>
        <w:t>c) Si la carga debe ejecutarse después del siniestro, el asegurador se libera por el incumplimiento del asegurado</w:t>
      </w:r>
      <w:r w:rsidRPr="009D4CAF">
        <w:rPr>
          <w:b/>
          <w:bCs/>
          <w:i/>
          <w:iCs/>
          <w:lang w:val="es-PE"/>
        </w:rPr>
        <w:t>, si el mismo influyó en la extensión de la obligación asumida.</w:t>
      </w:r>
    </w:p>
    <w:p w:rsidRPr="009D4CAF" w:rsidR="009D4CAF" w:rsidP="009D4CAF" w:rsidRDefault="009D4CAF" w14:paraId="66136FDA" w14:textId="77777777">
      <w:pPr>
        <w:jc w:val="both"/>
        <w:outlineLvl w:val="0"/>
        <w:rPr>
          <w:i/>
          <w:iCs/>
          <w:lang w:val="es-PE"/>
        </w:rPr>
      </w:pPr>
      <w:r w:rsidRPr="009D4CAF">
        <w:rPr>
          <w:i/>
          <w:iCs/>
          <w:lang w:val="es-PE"/>
        </w:rPr>
        <w:t>     d) En caso de culpa leve, la indemnización se reduce de manera proporcional a la agravación del siniestro consecuencia del incumplimiento.</w:t>
      </w:r>
    </w:p>
    <w:p w:rsidRPr="009D4CAF" w:rsidR="009D4CAF" w:rsidP="009D4CAF" w:rsidRDefault="009D4CAF" w14:paraId="12B6F87B" w14:textId="77777777">
      <w:pPr>
        <w:jc w:val="both"/>
        <w:outlineLvl w:val="0"/>
        <w:rPr>
          <w:i/>
          <w:iCs/>
          <w:lang w:val="es-PE"/>
        </w:rPr>
      </w:pPr>
      <w:r w:rsidRPr="009D4CAF">
        <w:rPr>
          <w:i/>
          <w:iCs/>
          <w:lang w:val="es-PE"/>
        </w:rPr>
        <w:t>     En caso de caducidad, corresponde al asegurador la prima por el tiempo transcurrido hasta que toma conocimiento del incumplimiento de la carga.”</w:t>
      </w:r>
    </w:p>
    <w:p w:rsidRPr="009D4CAF" w:rsidR="009D4CAF" w:rsidP="009D4CAF" w:rsidRDefault="009D4CAF" w14:paraId="10674AF2" w14:textId="77777777">
      <w:pPr>
        <w:jc w:val="both"/>
        <w:outlineLvl w:val="0"/>
      </w:pPr>
    </w:p>
    <w:p w:rsidRPr="009D4CAF" w:rsidR="009D4CAF" w:rsidP="009D4CAF" w:rsidRDefault="009D4CAF" w14:paraId="65B2EB98" w14:textId="77777777">
      <w:pPr>
        <w:jc w:val="both"/>
        <w:outlineLvl w:val="0"/>
      </w:pPr>
      <w:r w:rsidRPr="009D4CAF">
        <w:t>Como puede apreciarse, no basta el solo incumplimiento de una carga contractual para que se genere la pérdida del derecho indemnizatorio, sino que debe haberse producido un perjuicio a la aseguradora debido a dicho incumplimiento.</w:t>
      </w:r>
    </w:p>
    <w:p w:rsidRPr="009D4CAF" w:rsidR="009D4CAF" w:rsidP="009D4CAF" w:rsidRDefault="009D4CAF" w14:paraId="1C052394" w14:textId="77777777">
      <w:pPr>
        <w:jc w:val="both"/>
        <w:outlineLvl w:val="0"/>
      </w:pPr>
    </w:p>
    <w:p w:rsidRPr="009D4CAF" w:rsidR="009D4CAF" w:rsidP="009D4CAF" w:rsidRDefault="009D4CAF" w14:paraId="0C3293D3" w14:textId="77777777">
      <w:pPr>
        <w:jc w:val="both"/>
        <w:outlineLvl w:val="0"/>
      </w:pPr>
      <w:r w:rsidRPr="009D4CAF">
        <w:t xml:space="preserve">En este caso, la aseguradora ha acreditado la entrega de la póliza vía correo electrónico al asegurado, </w:t>
      </w:r>
      <w:proofErr w:type="gramStart"/>
      <w:r w:rsidRPr="009D4CAF">
        <w:t>y</w:t>
      </w:r>
      <w:proofErr w:type="gramEnd"/>
      <w:r w:rsidRPr="009D4CAF">
        <w:t xml:space="preserve"> por tanto, este conocía o debía conocer el contenido de </w:t>
      </w:r>
      <w:proofErr w:type="gramStart"/>
      <w:r w:rsidRPr="009D4CAF">
        <w:t>la misma</w:t>
      </w:r>
      <w:proofErr w:type="gramEnd"/>
      <w:r w:rsidRPr="009D4CAF">
        <w:t xml:space="preserve"> y las obligaciones que debía cumplir en caso de siniestro; por lo que el incumplimiento de la carga obedece a culpa inexcusable del asegurado, quien debió leer la póliza, la cual establecía claramente sus obligaciones y las consecuencias del incumplimiento.</w:t>
      </w:r>
    </w:p>
    <w:p w:rsidRPr="009D4CAF" w:rsidR="009D4CAF" w:rsidP="009D4CAF" w:rsidRDefault="009D4CAF" w14:paraId="0B5DBBD4" w14:textId="77777777">
      <w:pPr>
        <w:jc w:val="both"/>
        <w:outlineLvl w:val="0"/>
      </w:pPr>
    </w:p>
    <w:p w:rsidRPr="009D4CAF" w:rsidR="009D4CAF" w:rsidP="009D4CAF" w:rsidRDefault="009D4CAF" w14:paraId="25FB7402" w14:textId="77777777">
      <w:pPr>
        <w:jc w:val="both"/>
        <w:outlineLvl w:val="0"/>
      </w:pPr>
      <w:r w:rsidRPr="009D4CAF">
        <w:t xml:space="preserve">En lo que respecta al aviso de siniestro a la aseguradora, si bien este ha sido referido en la carta de rechazo, no ha sido mencionado en los descargos que la aseguradora presenta, los que únicamente se refieren a la no interposición de la denuncia policial, por lo que únicamente nos referiremos a ella, más </w:t>
      </w:r>
      <w:proofErr w:type="spellStart"/>
      <w:r w:rsidRPr="009D4CAF">
        <w:t>aun</w:t>
      </w:r>
      <w:proofErr w:type="spellEnd"/>
      <w:r w:rsidRPr="009D4CAF">
        <w:t xml:space="preserve"> cuando el asegurado cita una disposición de la póliza que señala que el aviso a la aseguradora puede formularse dentro de los 3 días en caso de daños patrimoniales, y en este caso el aviso a la aseguradora se habría dado al día siguiente.</w:t>
      </w:r>
    </w:p>
    <w:p w:rsidRPr="009D4CAF" w:rsidR="009D4CAF" w:rsidP="009D4CAF" w:rsidRDefault="009D4CAF" w14:paraId="3A9E28D9" w14:textId="77777777">
      <w:pPr>
        <w:jc w:val="both"/>
        <w:outlineLvl w:val="0"/>
      </w:pPr>
    </w:p>
    <w:p w:rsidRPr="009D4CAF" w:rsidR="009D4CAF" w:rsidP="009D4CAF" w:rsidRDefault="009D4CAF" w14:paraId="6091E88B" w14:textId="77777777">
      <w:pPr>
        <w:jc w:val="both"/>
        <w:outlineLvl w:val="0"/>
      </w:pPr>
      <w:r w:rsidRPr="009D4CAF">
        <w:t>En lo que respecta a la denuncia policial, la póliza sí establece que esta debió denunciarse de inmediato, y que solo se podrá exonerar de la interposición de la denuncia si el aviso a la aseguradora es formulado dentro de una (1) hora de ocurrido el siniestro, aviso a la compañía de seguros que no se dio dentro de dicho plazo sin una razón válida que justifique la demora.</w:t>
      </w:r>
    </w:p>
    <w:p w:rsidRPr="009D4CAF" w:rsidR="009D4CAF" w:rsidP="009D4CAF" w:rsidRDefault="009D4CAF" w14:paraId="589302EC" w14:textId="77777777">
      <w:pPr>
        <w:jc w:val="both"/>
        <w:outlineLvl w:val="0"/>
      </w:pPr>
    </w:p>
    <w:p w:rsidRPr="009D4CAF" w:rsidR="009D4CAF" w:rsidP="009D4CAF" w:rsidRDefault="009D4CAF" w14:paraId="1AE3FD31" w14:textId="77777777">
      <w:pPr>
        <w:jc w:val="both"/>
        <w:outlineLvl w:val="0"/>
      </w:pPr>
      <w:r w:rsidRPr="009D4CAF">
        <w:t xml:space="preserve">Es un hecho no controvertido que el asegurado no cumplió con formular la denuncia policial. El reclamante refiere que ello fue porque no quisieron admitirla al no identificar a la unidad (presunto </w:t>
      </w:r>
      <w:proofErr w:type="spellStart"/>
      <w:r w:rsidRPr="009D4CAF">
        <w:t>motocar</w:t>
      </w:r>
      <w:proofErr w:type="spellEnd"/>
      <w:r w:rsidRPr="009D4CAF">
        <w:t xml:space="preserve">) que habría ocasionado el siniestro. No obstante, no se adjuntó prueba alguna que acredite dicho hecho. </w:t>
      </w:r>
    </w:p>
    <w:p w:rsidRPr="009D4CAF" w:rsidR="009D4CAF" w:rsidP="009D4CAF" w:rsidRDefault="009D4CAF" w14:paraId="3774F208" w14:textId="77777777">
      <w:pPr>
        <w:jc w:val="both"/>
        <w:outlineLvl w:val="0"/>
      </w:pPr>
    </w:p>
    <w:p w:rsidRPr="009D4CAF" w:rsidR="009D4CAF" w:rsidP="009D4CAF" w:rsidRDefault="009D4CAF" w14:paraId="1C75DD59" w14:textId="77777777">
      <w:pPr>
        <w:jc w:val="both"/>
        <w:outlineLvl w:val="0"/>
      </w:pPr>
      <w:r w:rsidRPr="009D4CAF">
        <w:t xml:space="preserve">Siendo que, en este caso, las circunstancias en las que ocurrió el siniestro no son claras, la falta de interposición de la denuncia impide a la compañía de seguros conocer las causas </w:t>
      </w:r>
      <w:proofErr w:type="gramStart"/>
      <w:r w:rsidRPr="009D4CAF">
        <w:t>del mismo</w:t>
      </w:r>
      <w:proofErr w:type="gramEnd"/>
      <w:r w:rsidRPr="009D4CAF">
        <w:t xml:space="preserve">, y eventualmente poder accionar contra el tercero que habría causado el siniestro, por lo que el incumplimiento de dicha </w:t>
      </w:r>
      <w:proofErr w:type="gramStart"/>
      <w:r w:rsidRPr="009D4CAF">
        <w:t>carga,</w:t>
      </w:r>
      <w:proofErr w:type="gramEnd"/>
      <w:r w:rsidRPr="009D4CAF">
        <w:t xml:space="preserve"> sí influye en la evaluación del siniestro y por tanto resulta legítimo.</w:t>
      </w:r>
    </w:p>
    <w:p w:rsidRPr="009D4CAF" w:rsidR="009D4CAF" w:rsidP="009D4CAF" w:rsidRDefault="009D4CAF" w14:paraId="70B95AE6" w14:textId="77777777">
      <w:pPr>
        <w:jc w:val="both"/>
        <w:outlineLvl w:val="0"/>
      </w:pPr>
    </w:p>
    <w:p w:rsidRPr="009D4CAF" w:rsidR="009D4CAF" w:rsidP="009D4CAF" w:rsidRDefault="009D4CAF" w14:paraId="11E112E8" w14:textId="6F45E38F">
      <w:pPr>
        <w:jc w:val="both"/>
        <w:outlineLvl w:val="0"/>
        <w:rPr>
          <w:lang w:val="es-PE"/>
        </w:rPr>
      </w:pPr>
      <w:r w:rsidRPr="294CEB59" w:rsidR="009D4CAF">
        <w:rPr>
          <w:lang w:val="es-PE"/>
        </w:rPr>
        <w:t xml:space="preserve">De otro lado, esta Defensoría tiene a bien señalar que, de haberse determinado que el rechazo no resultaba legítimo, la póliza contempla un deducible por daño propio, en taller preferente, de 10% del monto indemnizable, mínimo US$150, lo que significa que esa suma hubiera sido descontada del monto a indemnizar (de acuerdo a lo establecido en la póliza el deducible es el monto o porcentaje del monto indemnizable cuyo pago queda a </w:t>
      </w:r>
      <w:r w:rsidRPr="294CEB59" w:rsidR="009D4CAF">
        <w:rPr>
          <w:lang w:val="es-PE"/>
        </w:rPr>
        <w:t>cargo del asegurado cada vez que solicite la cobertura por la póliza, más el IGV que se indique).</w:t>
      </w:r>
    </w:p>
    <w:p w:rsidRPr="009D4CAF" w:rsidR="009D4CAF" w:rsidP="009D4CAF" w:rsidRDefault="009D4CAF" w14:paraId="029F10BF" w14:textId="77777777">
      <w:pPr>
        <w:jc w:val="both"/>
        <w:outlineLvl w:val="0"/>
        <w:rPr>
          <w:lang w:val="es-PE"/>
        </w:rPr>
      </w:pPr>
    </w:p>
    <w:p w:rsidRPr="009D4CAF" w:rsidR="009D4CAF" w:rsidP="009D4CAF" w:rsidRDefault="009D4CAF" w14:paraId="2B522749" w14:textId="77777777">
      <w:pPr>
        <w:jc w:val="both"/>
        <w:outlineLvl w:val="0"/>
        <w:rPr>
          <w:bCs/>
          <w:lang w:val="es-PE"/>
        </w:rPr>
      </w:pPr>
      <w:r w:rsidRPr="009D4CAF">
        <w:rPr>
          <w:bCs/>
          <w:lang w:val="es-PE"/>
        </w:rPr>
        <w:t xml:space="preserve">Atendiendo a lo expresado, este Órgano Resolutivo Unipersonal </w:t>
      </w:r>
      <w:r w:rsidRPr="009D4CAF">
        <w:rPr>
          <w:bCs/>
        </w:rPr>
        <w:t>concluye su apreciación razonada y conjunta al amparo de lo establecido en el Reglamento de la DEFASEG, determinando que la solicitud de cobertura no resulta procedente; por lo que</w:t>
      </w:r>
      <w:r w:rsidRPr="009D4CAF">
        <w:rPr>
          <w:bCs/>
          <w:lang w:val="es-PE"/>
        </w:rPr>
        <w:t xml:space="preserve"> </w:t>
      </w:r>
    </w:p>
    <w:p w:rsidRPr="009D4CAF" w:rsidR="009D4CAF" w:rsidP="009D4CAF" w:rsidRDefault="009D4CAF" w14:paraId="09B9E255" w14:textId="77777777">
      <w:pPr>
        <w:jc w:val="both"/>
        <w:outlineLvl w:val="0"/>
        <w:rPr>
          <w:bCs/>
          <w:lang w:val="es-PE"/>
        </w:rPr>
      </w:pPr>
    </w:p>
    <w:p w:rsidRPr="009D4CAF" w:rsidR="009D4CAF" w:rsidP="009D4CAF" w:rsidRDefault="009D4CAF" w14:paraId="3B2C93F2" w14:textId="77777777">
      <w:pPr>
        <w:jc w:val="both"/>
        <w:outlineLvl w:val="0"/>
        <w:rPr>
          <w:b/>
          <w:lang w:val="es-PE"/>
        </w:rPr>
      </w:pPr>
      <w:r w:rsidRPr="009D4CAF">
        <w:rPr>
          <w:b/>
          <w:lang w:val="es-PE"/>
        </w:rPr>
        <w:t>Resuelve:</w:t>
      </w:r>
    </w:p>
    <w:p w:rsidRPr="009D4CAF" w:rsidR="009D4CAF" w:rsidP="009D4CAF" w:rsidRDefault="009D4CAF" w14:paraId="3834862D" w14:textId="77777777">
      <w:pPr>
        <w:jc w:val="both"/>
        <w:outlineLvl w:val="0"/>
        <w:rPr>
          <w:b/>
          <w:lang w:val="es-PE"/>
        </w:rPr>
      </w:pPr>
    </w:p>
    <w:p w:rsidRPr="009D4CAF" w:rsidR="009D4CAF" w:rsidP="009D4CAF" w:rsidRDefault="009D4CAF" w14:paraId="520C4F54" w14:textId="1FB34E18">
      <w:pPr>
        <w:jc w:val="both"/>
        <w:outlineLvl w:val="0"/>
        <w:rPr>
          <w:lang w:val="es-PE"/>
        </w:rPr>
      </w:pPr>
      <w:r w:rsidRPr="294CEB59" w:rsidR="009D4CAF">
        <w:rPr>
          <w:lang w:val="es-PE"/>
        </w:rPr>
        <w:t xml:space="preserve">Declarar </w:t>
      </w:r>
      <w:r w:rsidRPr="294CEB59" w:rsidR="009D4CAF">
        <w:rPr>
          <w:b w:val="1"/>
          <w:bCs w:val="1"/>
          <w:lang w:val="es-PE"/>
        </w:rPr>
        <w:t>INFUNDADA</w:t>
      </w:r>
      <w:r w:rsidRPr="294CEB59" w:rsidR="009D4CAF">
        <w:rPr>
          <w:lang w:val="es-PE"/>
        </w:rPr>
        <w:t xml:space="preserve"> la reclamación interpuesta por don </w:t>
      </w:r>
      <w:r w:rsidRPr="294CEB59" w:rsidR="2B903596">
        <w:rPr>
          <w:lang w:val="es-PE"/>
        </w:rPr>
        <w:t>....................................................................</w:t>
      </w:r>
      <w:r w:rsidRPr="294CEB59" w:rsidR="009D4CAF">
        <w:rPr>
          <w:lang w:val="es-PE"/>
        </w:rPr>
        <w:t xml:space="preserve"> contra </w:t>
      </w:r>
      <w:r w:rsidRPr="294CEB59" w:rsidR="1164D530">
        <w:rPr>
          <w:lang w:val="es-PE"/>
        </w:rPr>
        <w:t>............................</w:t>
      </w:r>
      <w:r w:rsidRPr="294CEB59" w:rsidR="009D4CAF">
        <w:rPr>
          <w:lang w:val="es-PE"/>
        </w:rPr>
        <w:t xml:space="preserve">, dejando a salvo el derecho del reclamante de acudir ante las instancias que considere pertinentes. </w:t>
      </w:r>
    </w:p>
    <w:p w:rsidRPr="0087685C" w:rsidR="0087685C" w:rsidP="0087685C" w:rsidRDefault="0087685C" w14:paraId="1CF23038" w14:textId="77777777">
      <w:pPr>
        <w:jc w:val="right"/>
        <w:outlineLvl w:val="0"/>
        <w:rPr>
          <w:lang w:val="es-MX"/>
        </w:rPr>
      </w:pPr>
    </w:p>
    <w:p w:rsidRPr="00CD67EE" w:rsidR="00804FBA" w:rsidP="00804FBA" w:rsidRDefault="00F15FBA" w14:paraId="0B8F9BB3" w14:textId="5E192384">
      <w:pPr>
        <w:jc w:val="right"/>
        <w:outlineLvl w:val="0"/>
        <w:rPr>
          <w:lang w:val="es-PE"/>
        </w:rPr>
      </w:pPr>
      <w:r w:rsidRPr="00CD67EE">
        <w:rPr>
          <w:lang w:val="es-PE"/>
        </w:rPr>
        <w:t xml:space="preserve">Lima, </w:t>
      </w:r>
      <w:r w:rsidR="000D5B9A">
        <w:t xml:space="preserve">08 </w:t>
      </w:r>
      <w:r w:rsidRPr="00CD67EE">
        <w:rPr>
          <w:lang w:val="es-PE"/>
        </w:rPr>
        <w:t>de</w:t>
      </w:r>
      <w:r w:rsidRPr="00CD67EE" w:rsidR="001631D6">
        <w:rPr>
          <w:lang w:val="es-PE"/>
        </w:rPr>
        <w:t xml:space="preserve"> </w:t>
      </w:r>
      <w:r w:rsidR="000D5B9A">
        <w:rPr>
          <w:lang w:val="es-PE"/>
        </w:rPr>
        <w:t>abril</w:t>
      </w:r>
      <w:r w:rsidRPr="00CD67EE" w:rsidR="001631D6">
        <w:rPr>
          <w:lang w:val="es-PE"/>
        </w:rPr>
        <w:t xml:space="preserve"> </w:t>
      </w:r>
      <w:r w:rsidRPr="00CD67EE">
        <w:rPr>
          <w:lang w:val="es-PE"/>
        </w:rPr>
        <w:t>de 20</w:t>
      </w:r>
      <w:r w:rsidRPr="00CD67EE" w:rsidR="001631D6">
        <w:rPr>
          <w:lang w:val="es-PE"/>
        </w:rPr>
        <w:t>2</w:t>
      </w:r>
      <w:r w:rsidRPr="00CD67EE" w:rsidR="0073373B">
        <w:rPr>
          <w:lang w:val="es-PE"/>
        </w:rPr>
        <w:t>5</w:t>
      </w:r>
    </w:p>
    <w:p w:rsidR="008E2507" w:rsidP="003F73A8" w:rsidRDefault="008E2507" w14:paraId="6837EDF1" w14:textId="77777777">
      <w:pPr>
        <w:jc w:val="both"/>
        <w:rPr>
          <w:b/>
          <w:bCs/>
          <w:i/>
          <w:iCs/>
        </w:rPr>
      </w:pPr>
    </w:p>
    <w:p w:rsidRPr="008E2507" w:rsidR="003F73A8" w:rsidP="003F73A8" w:rsidRDefault="008E2507" w14:paraId="00714C2C" w14:textId="7D19F77A">
      <w:pPr>
        <w:jc w:val="both"/>
        <w:rPr>
          <w:b/>
          <w:bCs/>
          <w:i/>
          <w:iCs/>
        </w:rPr>
      </w:pPr>
      <w:r w:rsidRPr="003F3702">
        <w:rPr>
          <w:b/>
          <w:bCs/>
          <w:i/>
          <w:iCs/>
        </w:rPr>
        <w:t>La Secretaría Técnica certifica que la presente resolución, al haber sido emitida por el Órgano Resolutivo Unipersonal, cuenta con el voto del vocal cuyo nombre figura al final del presente documento</w:t>
      </w:r>
      <w:r w:rsidRPr="00CD67EE" w:rsidR="003F73A8">
        <w:rPr>
          <w:b/>
          <w:bCs/>
          <w:i/>
          <w:iCs/>
          <w:lang w:val="es-ES_tradnl"/>
        </w:rPr>
        <w:t>.</w:t>
      </w:r>
    </w:p>
    <w:p w:rsidRPr="00CD67EE" w:rsidR="003F73A8" w:rsidP="003F73A8" w:rsidRDefault="003F73A8" w14:paraId="1583EBBC" w14:textId="77777777">
      <w:pPr>
        <w:jc w:val="both"/>
        <w:rPr>
          <w:b/>
          <w:bCs/>
          <w:i/>
          <w:iCs/>
          <w:lang w:val="es-ES_tradnl"/>
        </w:rPr>
      </w:pPr>
    </w:p>
    <w:p w:rsidRPr="00CD67EE" w:rsidR="003F73A8" w:rsidP="003F73A8" w:rsidRDefault="003F73A8" w14:paraId="00F7442C" w14:textId="228252BD">
      <w:pPr>
        <w:spacing w:line="360" w:lineRule="auto"/>
        <w:jc w:val="center"/>
        <w:rPr>
          <w:b/>
          <w:bCs/>
        </w:rPr>
      </w:pPr>
      <w:r w:rsidRPr="00CD67EE">
        <w:rPr>
          <w:b/>
          <w:bCs/>
        </w:rPr>
        <w:t xml:space="preserve">María Eugenia Valdez Fernández Baca – </w:t>
      </w:r>
      <w:r w:rsidR="00DF1A3C">
        <w:rPr>
          <w:b/>
          <w:bCs/>
        </w:rPr>
        <w:t>Vocal</w:t>
      </w:r>
    </w:p>
    <w:p w:rsidRPr="00CD67EE" w:rsidR="001631D6" w:rsidP="00F15FBA" w:rsidRDefault="001631D6" w14:paraId="0DA96C46" w14:textId="77777777">
      <w:pPr>
        <w:jc w:val="both"/>
        <w:rPr>
          <w:lang w:val="es-MX"/>
        </w:rPr>
      </w:pPr>
    </w:p>
    <w:p w:rsidRPr="00CD67EE" w:rsidR="00F15FBA" w:rsidP="00F15FBA" w:rsidRDefault="00F15FBA" w14:paraId="22C77427" w14:textId="77777777"/>
    <w:p w:rsidRPr="003F3702" w:rsidR="00F15FBA" w:rsidP="00F15FBA" w:rsidRDefault="00F15FBA" w14:paraId="58BFC23A" w14:textId="77777777"/>
    <w:p w:rsidRPr="001631D6" w:rsidR="009E119B" w:rsidRDefault="009E119B" w14:paraId="164CAA9F" w14:textId="77777777"/>
    <w:sectPr w:rsidRPr="001631D6" w:rsidR="009E119B">
      <w:headerReference w:type="default" r:id="rId8"/>
      <w:footerReference w:type="default" r:id="rId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25A73" w:rsidP="005F148C" w:rsidRDefault="00325A73" w14:paraId="33E7D0EA" w14:textId="77777777">
      <w:r>
        <w:separator/>
      </w:r>
    </w:p>
  </w:endnote>
  <w:endnote w:type="continuationSeparator" w:id="0">
    <w:p w:rsidR="00325A73" w:rsidP="005F148C" w:rsidRDefault="00325A73" w14:paraId="2E17662D"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25A73" w:rsidP="005F148C" w:rsidRDefault="00325A73" w14:paraId="32FB2438" w14:textId="77777777">
      <w:r>
        <w:separator/>
      </w:r>
    </w:p>
  </w:footnote>
  <w:footnote w:type="continuationSeparator" w:id="0">
    <w:p w:rsidR="00325A73" w:rsidP="005F148C" w:rsidRDefault="00325A73" w14:paraId="641EF9A0"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323AD94"/>
    <w:multiLevelType w:val="hybridMultilevel"/>
    <w:tmpl w:val="FFFFFFFF"/>
    <w:lvl w:ilvl="0" w:tplc="FFFFFFFF">
      <w:start w:val="1"/>
      <w:numFmt w:val="lowerRoman"/>
      <w:lvlText w:val="%1"/>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15:restartNumberingAfterBreak="0">
    <w:nsid w:val="0D413AAC"/>
    <w:multiLevelType w:val="hybridMultilevel"/>
    <w:tmpl w:val="1240A650"/>
    <w:lvl w:ilvl="0" w:tplc="9878A62A">
      <w:start w:val="3"/>
      <w:numFmt w:val="lowerRoman"/>
      <w:lvlText w:val="%1)"/>
      <w:lvlJc w:val="left"/>
      <w:pPr>
        <w:ind w:left="1430" w:hanging="720"/>
      </w:pPr>
    </w:lvl>
    <w:lvl w:ilvl="1" w:tplc="580A0019">
      <w:start w:val="1"/>
      <w:numFmt w:val="lowerLetter"/>
      <w:lvlText w:val="%2."/>
      <w:lvlJc w:val="left"/>
      <w:pPr>
        <w:ind w:left="1790" w:hanging="360"/>
      </w:pPr>
    </w:lvl>
    <w:lvl w:ilvl="2" w:tplc="580A001B">
      <w:start w:val="1"/>
      <w:numFmt w:val="lowerRoman"/>
      <w:lvlText w:val="%3."/>
      <w:lvlJc w:val="right"/>
      <w:pPr>
        <w:ind w:left="2510" w:hanging="180"/>
      </w:pPr>
    </w:lvl>
    <w:lvl w:ilvl="3" w:tplc="580A000F">
      <w:start w:val="1"/>
      <w:numFmt w:val="decimal"/>
      <w:lvlText w:val="%4."/>
      <w:lvlJc w:val="left"/>
      <w:pPr>
        <w:ind w:left="3230" w:hanging="360"/>
      </w:pPr>
    </w:lvl>
    <w:lvl w:ilvl="4" w:tplc="580A0019">
      <w:start w:val="1"/>
      <w:numFmt w:val="lowerLetter"/>
      <w:lvlText w:val="%5."/>
      <w:lvlJc w:val="left"/>
      <w:pPr>
        <w:ind w:left="3950" w:hanging="360"/>
      </w:pPr>
    </w:lvl>
    <w:lvl w:ilvl="5" w:tplc="580A001B">
      <w:start w:val="1"/>
      <w:numFmt w:val="lowerRoman"/>
      <w:lvlText w:val="%6."/>
      <w:lvlJc w:val="right"/>
      <w:pPr>
        <w:ind w:left="4670" w:hanging="180"/>
      </w:pPr>
    </w:lvl>
    <w:lvl w:ilvl="6" w:tplc="580A000F">
      <w:start w:val="1"/>
      <w:numFmt w:val="decimal"/>
      <w:lvlText w:val="%7."/>
      <w:lvlJc w:val="left"/>
      <w:pPr>
        <w:ind w:left="5390" w:hanging="360"/>
      </w:pPr>
    </w:lvl>
    <w:lvl w:ilvl="7" w:tplc="580A0019">
      <w:start w:val="1"/>
      <w:numFmt w:val="lowerLetter"/>
      <w:lvlText w:val="%8."/>
      <w:lvlJc w:val="left"/>
      <w:pPr>
        <w:ind w:left="6110" w:hanging="360"/>
      </w:pPr>
    </w:lvl>
    <w:lvl w:ilvl="8" w:tplc="580A001B">
      <w:start w:val="1"/>
      <w:numFmt w:val="lowerRoman"/>
      <w:lvlText w:val="%9."/>
      <w:lvlJc w:val="right"/>
      <w:pPr>
        <w:ind w:left="6830" w:hanging="180"/>
      </w:pPr>
    </w:lvl>
  </w:abstractNum>
  <w:abstractNum w:abstractNumId="2" w15:restartNumberingAfterBreak="0">
    <w:nsid w:val="2CA4423A"/>
    <w:multiLevelType w:val="hybridMultilevel"/>
    <w:tmpl w:val="AC5CEAD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2CD10F45"/>
    <w:multiLevelType w:val="hybridMultilevel"/>
    <w:tmpl w:val="BA783EB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2D2A51AF"/>
    <w:multiLevelType w:val="hybridMultilevel"/>
    <w:tmpl w:val="B1209510"/>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2E1C25F4"/>
    <w:multiLevelType w:val="hybridMultilevel"/>
    <w:tmpl w:val="1020ED0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30F31856"/>
    <w:multiLevelType w:val="hybridMultilevel"/>
    <w:tmpl w:val="38383E3C"/>
    <w:lvl w:ilvl="0" w:tplc="E42024EC">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384022AE"/>
    <w:multiLevelType w:val="hybridMultilevel"/>
    <w:tmpl w:val="E454F30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3AAC247C"/>
    <w:multiLevelType w:val="hybridMultilevel"/>
    <w:tmpl w:val="32F89FE0"/>
    <w:lvl w:ilvl="0" w:tplc="28CC62C8">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9" w15:restartNumberingAfterBreak="0">
    <w:nsid w:val="3BA8597A"/>
    <w:multiLevelType w:val="hybridMultilevel"/>
    <w:tmpl w:val="89F060E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40AA075D"/>
    <w:multiLevelType w:val="hybridMultilevel"/>
    <w:tmpl w:val="C930EAE2"/>
    <w:lvl w:ilvl="0" w:tplc="4E42BDE6">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1" w15:restartNumberingAfterBreak="0">
    <w:nsid w:val="420D20FE"/>
    <w:multiLevelType w:val="hybridMultilevel"/>
    <w:tmpl w:val="EAF43E1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544828BB"/>
    <w:multiLevelType w:val="hybridMultilevel"/>
    <w:tmpl w:val="76E223B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730566F3"/>
    <w:multiLevelType w:val="hybridMultilevel"/>
    <w:tmpl w:val="85D83C18"/>
    <w:lvl w:ilvl="0" w:tplc="280A000B">
      <w:start w:val="1"/>
      <w:numFmt w:val="bullet"/>
      <w:lvlText w:val=""/>
      <w:lvlJc w:val="left"/>
      <w:pPr>
        <w:ind w:left="720" w:hanging="360"/>
      </w:pPr>
      <w:rPr>
        <w:rFonts w:hint="default" w:ascii="Wingdings" w:hAnsi="Wingdings"/>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4" w15:restartNumberingAfterBreak="0">
    <w:nsid w:val="77303056"/>
    <w:multiLevelType w:val="hybridMultilevel"/>
    <w:tmpl w:val="82A6A7A8"/>
    <w:lvl w:ilvl="0" w:tplc="6D74656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7A5E28EC"/>
    <w:multiLevelType w:val="hybridMultilevel"/>
    <w:tmpl w:val="AEB0152C"/>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826121645">
    <w:abstractNumId w:val="10"/>
  </w:num>
  <w:num w:numId="2" w16cid:durableId="1256477769">
    <w:abstractNumId w:val="3"/>
  </w:num>
  <w:num w:numId="3" w16cid:durableId="1780678958">
    <w:abstractNumId w:val="8"/>
  </w:num>
  <w:num w:numId="4" w16cid:durableId="20433587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9172688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74330377">
    <w:abstractNumId w:val="8"/>
  </w:num>
  <w:num w:numId="7" w16cid:durableId="147575747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89559680">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7387629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3330903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660322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5366077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0609963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90251986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37636592">
    <w:abstractNumId w:val="0"/>
    <w:lvlOverride w:ilvl="0">
      <w:startOverride w:val="1"/>
    </w:lvlOverride>
    <w:lvlOverride w:ilvl="1"/>
    <w:lvlOverride w:ilvl="2"/>
    <w:lvlOverride w:ilvl="3"/>
    <w:lvlOverride w:ilvl="4"/>
    <w:lvlOverride w:ilvl="5"/>
    <w:lvlOverride w:ilvl="6"/>
    <w:lvlOverride w:ilvl="7"/>
    <w:lvlOverride w:ilvl="8"/>
  </w:num>
  <w:num w:numId="16" w16cid:durableId="7120759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00493923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FBA"/>
    <w:rsid w:val="00007872"/>
    <w:rsid w:val="00007C13"/>
    <w:rsid w:val="0001004C"/>
    <w:rsid w:val="000155B3"/>
    <w:rsid w:val="00015A30"/>
    <w:rsid w:val="00020318"/>
    <w:rsid w:val="00021CE8"/>
    <w:rsid w:val="0002216F"/>
    <w:rsid w:val="0002647A"/>
    <w:rsid w:val="0002748F"/>
    <w:rsid w:val="0003193C"/>
    <w:rsid w:val="00032526"/>
    <w:rsid w:val="00032C2E"/>
    <w:rsid w:val="0003324F"/>
    <w:rsid w:val="00033D57"/>
    <w:rsid w:val="00035695"/>
    <w:rsid w:val="00035BA1"/>
    <w:rsid w:val="00035CCC"/>
    <w:rsid w:val="00043F13"/>
    <w:rsid w:val="0004567C"/>
    <w:rsid w:val="00045B2C"/>
    <w:rsid w:val="0005357E"/>
    <w:rsid w:val="00066E53"/>
    <w:rsid w:val="00073516"/>
    <w:rsid w:val="00074CB3"/>
    <w:rsid w:val="0008387F"/>
    <w:rsid w:val="00084E51"/>
    <w:rsid w:val="00085C13"/>
    <w:rsid w:val="00090136"/>
    <w:rsid w:val="00093257"/>
    <w:rsid w:val="00094DDA"/>
    <w:rsid w:val="0009632B"/>
    <w:rsid w:val="000A1BF0"/>
    <w:rsid w:val="000A32D2"/>
    <w:rsid w:val="000A5F16"/>
    <w:rsid w:val="000B085C"/>
    <w:rsid w:val="000B201A"/>
    <w:rsid w:val="000B35F3"/>
    <w:rsid w:val="000C1BC7"/>
    <w:rsid w:val="000C23F0"/>
    <w:rsid w:val="000C3C3C"/>
    <w:rsid w:val="000D2700"/>
    <w:rsid w:val="000D4627"/>
    <w:rsid w:val="000D5B9A"/>
    <w:rsid w:val="000E19E9"/>
    <w:rsid w:val="000E6D79"/>
    <w:rsid w:val="000F1BDF"/>
    <w:rsid w:val="000F4E06"/>
    <w:rsid w:val="00103188"/>
    <w:rsid w:val="00107A19"/>
    <w:rsid w:val="001103B4"/>
    <w:rsid w:val="001113E8"/>
    <w:rsid w:val="001121CB"/>
    <w:rsid w:val="00121D19"/>
    <w:rsid w:val="001244A4"/>
    <w:rsid w:val="00125D56"/>
    <w:rsid w:val="00131FAD"/>
    <w:rsid w:val="00137476"/>
    <w:rsid w:val="00140C67"/>
    <w:rsid w:val="00142D88"/>
    <w:rsid w:val="0014392D"/>
    <w:rsid w:val="001462E2"/>
    <w:rsid w:val="001545B7"/>
    <w:rsid w:val="00161B67"/>
    <w:rsid w:val="001631D6"/>
    <w:rsid w:val="001662D0"/>
    <w:rsid w:val="0017198C"/>
    <w:rsid w:val="00173975"/>
    <w:rsid w:val="00180976"/>
    <w:rsid w:val="0018455D"/>
    <w:rsid w:val="00185768"/>
    <w:rsid w:val="00193409"/>
    <w:rsid w:val="0019343D"/>
    <w:rsid w:val="001954EF"/>
    <w:rsid w:val="00195646"/>
    <w:rsid w:val="001A0D7C"/>
    <w:rsid w:val="001A19AE"/>
    <w:rsid w:val="001A3593"/>
    <w:rsid w:val="001A4C9A"/>
    <w:rsid w:val="001B5E00"/>
    <w:rsid w:val="001B6607"/>
    <w:rsid w:val="001B67A0"/>
    <w:rsid w:val="001B6A25"/>
    <w:rsid w:val="001B7CAB"/>
    <w:rsid w:val="001C2B16"/>
    <w:rsid w:val="001C5BFF"/>
    <w:rsid w:val="001D01FD"/>
    <w:rsid w:val="001D5564"/>
    <w:rsid w:val="001E1429"/>
    <w:rsid w:val="001E42D5"/>
    <w:rsid w:val="001E6B7D"/>
    <w:rsid w:val="001E78C8"/>
    <w:rsid w:val="001F004E"/>
    <w:rsid w:val="001F2B52"/>
    <w:rsid w:val="001F6093"/>
    <w:rsid w:val="0020442B"/>
    <w:rsid w:val="002044C0"/>
    <w:rsid w:val="00207EBB"/>
    <w:rsid w:val="00210261"/>
    <w:rsid w:val="00225D47"/>
    <w:rsid w:val="00225DE7"/>
    <w:rsid w:val="00233ED8"/>
    <w:rsid w:val="0023521A"/>
    <w:rsid w:val="002359D5"/>
    <w:rsid w:val="002370F4"/>
    <w:rsid w:val="0024261D"/>
    <w:rsid w:val="00251125"/>
    <w:rsid w:val="00251C91"/>
    <w:rsid w:val="002605BB"/>
    <w:rsid w:val="002608DC"/>
    <w:rsid w:val="00266CCD"/>
    <w:rsid w:val="002671AE"/>
    <w:rsid w:val="002713C2"/>
    <w:rsid w:val="00280092"/>
    <w:rsid w:val="00281026"/>
    <w:rsid w:val="002933C5"/>
    <w:rsid w:val="0029398F"/>
    <w:rsid w:val="0029474B"/>
    <w:rsid w:val="002A1509"/>
    <w:rsid w:val="002A2188"/>
    <w:rsid w:val="002A2594"/>
    <w:rsid w:val="002A27E8"/>
    <w:rsid w:val="002A666E"/>
    <w:rsid w:val="002B14D5"/>
    <w:rsid w:val="002B550C"/>
    <w:rsid w:val="002B6439"/>
    <w:rsid w:val="002C30A0"/>
    <w:rsid w:val="002C7082"/>
    <w:rsid w:val="002C7C2B"/>
    <w:rsid w:val="002D0468"/>
    <w:rsid w:val="002D1C78"/>
    <w:rsid w:val="002D3B3B"/>
    <w:rsid w:val="002D681D"/>
    <w:rsid w:val="002E259E"/>
    <w:rsid w:val="002E35A4"/>
    <w:rsid w:val="002E708C"/>
    <w:rsid w:val="002E730D"/>
    <w:rsid w:val="002F1C0E"/>
    <w:rsid w:val="00312437"/>
    <w:rsid w:val="00316A1B"/>
    <w:rsid w:val="0032570B"/>
    <w:rsid w:val="00325974"/>
    <w:rsid w:val="00325A73"/>
    <w:rsid w:val="0033198C"/>
    <w:rsid w:val="00331FB9"/>
    <w:rsid w:val="0033435B"/>
    <w:rsid w:val="00337458"/>
    <w:rsid w:val="00341276"/>
    <w:rsid w:val="00346A99"/>
    <w:rsid w:val="003470DF"/>
    <w:rsid w:val="0035026A"/>
    <w:rsid w:val="00350BE1"/>
    <w:rsid w:val="00366599"/>
    <w:rsid w:val="00377B6C"/>
    <w:rsid w:val="00381984"/>
    <w:rsid w:val="00383692"/>
    <w:rsid w:val="00385C08"/>
    <w:rsid w:val="003861F2"/>
    <w:rsid w:val="0039280A"/>
    <w:rsid w:val="00393CEF"/>
    <w:rsid w:val="0039536B"/>
    <w:rsid w:val="003977C8"/>
    <w:rsid w:val="003A0B41"/>
    <w:rsid w:val="003B36C2"/>
    <w:rsid w:val="003B46E3"/>
    <w:rsid w:val="003B4770"/>
    <w:rsid w:val="003B5737"/>
    <w:rsid w:val="003B5A8D"/>
    <w:rsid w:val="003B684A"/>
    <w:rsid w:val="003D32D3"/>
    <w:rsid w:val="003D5263"/>
    <w:rsid w:val="003D5461"/>
    <w:rsid w:val="003D54FC"/>
    <w:rsid w:val="003E0F70"/>
    <w:rsid w:val="003E6BA6"/>
    <w:rsid w:val="003F3702"/>
    <w:rsid w:val="003F5878"/>
    <w:rsid w:val="003F6005"/>
    <w:rsid w:val="003F73A8"/>
    <w:rsid w:val="00400965"/>
    <w:rsid w:val="0040487D"/>
    <w:rsid w:val="0040707C"/>
    <w:rsid w:val="004071D2"/>
    <w:rsid w:val="00410BC0"/>
    <w:rsid w:val="004157F2"/>
    <w:rsid w:val="00417664"/>
    <w:rsid w:val="0041770E"/>
    <w:rsid w:val="00417E23"/>
    <w:rsid w:val="00423218"/>
    <w:rsid w:val="0042673B"/>
    <w:rsid w:val="00427108"/>
    <w:rsid w:val="00427FB7"/>
    <w:rsid w:val="0043236E"/>
    <w:rsid w:val="004357E3"/>
    <w:rsid w:val="00440C04"/>
    <w:rsid w:val="00442F39"/>
    <w:rsid w:val="00444D29"/>
    <w:rsid w:val="0045603E"/>
    <w:rsid w:val="00457C69"/>
    <w:rsid w:val="00460DC4"/>
    <w:rsid w:val="004649E2"/>
    <w:rsid w:val="00467825"/>
    <w:rsid w:val="0046791C"/>
    <w:rsid w:val="00470816"/>
    <w:rsid w:val="004710AF"/>
    <w:rsid w:val="004734D9"/>
    <w:rsid w:val="00477D05"/>
    <w:rsid w:val="004832C1"/>
    <w:rsid w:val="004848A8"/>
    <w:rsid w:val="004850F1"/>
    <w:rsid w:val="004854D9"/>
    <w:rsid w:val="004856B2"/>
    <w:rsid w:val="00485D27"/>
    <w:rsid w:val="0048636C"/>
    <w:rsid w:val="00492B39"/>
    <w:rsid w:val="00492D3C"/>
    <w:rsid w:val="004A05A4"/>
    <w:rsid w:val="004B6DF1"/>
    <w:rsid w:val="004C10B4"/>
    <w:rsid w:val="004C5624"/>
    <w:rsid w:val="004C6A2A"/>
    <w:rsid w:val="004C71C2"/>
    <w:rsid w:val="004C7F8F"/>
    <w:rsid w:val="004D73C5"/>
    <w:rsid w:val="004E0F9A"/>
    <w:rsid w:val="004E11D7"/>
    <w:rsid w:val="004E50D6"/>
    <w:rsid w:val="004F053A"/>
    <w:rsid w:val="004F1255"/>
    <w:rsid w:val="004F1BB1"/>
    <w:rsid w:val="004F429E"/>
    <w:rsid w:val="004F5262"/>
    <w:rsid w:val="004F5CE0"/>
    <w:rsid w:val="004F6AAF"/>
    <w:rsid w:val="004F7BD8"/>
    <w:rsid w:val="00501AF9"/>
    <w:rsid w:val="00504D86"/>
    <w:rsid w:val="0050549B"/>
    <w:rsid w:val="00505FC4"/>
    <w:rsid w:val="00514DF5"/>
    <w:rsid w:val="00516549"/>
    <w:rsid w:val="00517150"/>
    <w:rsid w:val="005204C2"/>
    <w:rsid w:val="00531FBE"/>
    <w:rsid w:val="00532BB0"/>
    <w:rsid w:val="0053602A"/>
    <w:rsid w:val="005362E0"/>
    <w:rsid w:val="00544D50"/>
    <w:rsid w:val="00550297"/>
    <w:rsid w:val="0055163A"/>
    <w:rsid w:val="00552B03"/>
    <w:rsid w:val="00554619"/>
    <w:rsid w:val="00555960"/>
    <w:rsid w:val="00563D50"/>
    <w:rsid w:val="00565F03"/>
    <w:rsid w:val="005765C3"/>
    <w:rsid w:val="00576EE9"/>
    <w:rsid w:val="0057735F"/>
    <w:rsid w:val="0058358B"/>
    <w:rsid w:val="00584675"/>
    <w:rsid w:val="00585648"/>
    <w:rsid w:val="00586503"/>
    <w:rsid w:val="00590F82"/>
    <w:rsid w:val="005934FB"/>
    <w:rsid w:val="005A0FA4"/>
    <w:rsid w:val="005A778E"/>
    <w:rsid w:val="005B63C1"/>
    <w:rsid w:val="005C5922"/>
    <w:rsid w:val="005C7583"/>
    <w:rsid w:val="005D1456"/>
    <w:rsid w:val="005D1638"/>
    <w:rsid w:val="005D2A9F"/>
    <w:rsid w:val="005D60DD"/>
    <w:rsid w:val="005D75EE"/>
    <w:rsid w:val="005E2F82"/>
    <w:rsid w:val="005E53F7"/>
    <w:rsid w:val="005F11E0"/>
    <w:rsid w:val="005F1349"/>
    <w:rsid w:val="005F148C"/>
    <w:rsid w:val="005F4B45"/>
    <w:rsid w:val="005F4B55"/>
    <w:rsid w:val="00601A1B"/>
    <w:rsid w:val="00615431"/>
    <w:rsid w:val="0062037B"/>
    <w:rsid w:val="00621ACC"/>
    <w:rsid w:val="00630726"/>
    <w:rsid w:val="00647AEE"/>
    <w:rsid w:val="00651449"/>
    <w:rsid w:val="006603F9"/>
    <w:rsid w:val="006616F6"/>
    <w:rsid w:val="0066418F"/>
    <w:rsid w:val="00666E5D"/>
    <w:rsid w:val="006704E4"/>
    <w:rsid w:val="00680A82"/>
    <w:rsid w:val="006859F9"/>
    <w:rsid w:val="0069382D"/>
    <w:rsid w:val="00694105"/>
    <w:rsid w:val="00696F0F"/>
    <w:rsid w:val="006A008D"/>
    <w:rsid w:val="006A1077"/>
    <w:rsid w:val="006A5F94"/>
    <w:rsid w:val="006C1B05"/>
    <w:rsid w:val="006C282F"/>
    <w:rsid w:val="006C2D3B"/>
    <w:rsid w:val="006C39B2"/>
    <w:rsid w:val="006D0029"/>
    <w:rsid w:val="006D33B8"/>
    <w:rsid w:val="006D4722"/>
    <w:rsid w:val="006D484E"/>
    <w:rsid w:val="006E1CEB"/>
    <w:rsid w:val="006E3440"/>
    <w:rsid w:val="006E6272"/>
    <w:rsid w:val="006E7155"/>
    <w:rsid w:val="006F1AD3"/>
    <w:rsid w:val="006F404F"/>
    <w:rsid w:val="0070531E"/>
    <w:rsid w:val="0070702B"/>
    <w:rsid w:val="007224F7"/>
    <w:rsid w:val="00724EAD"/>
    <w:rsid w:val="007300F4"/>
    <w:rsid w:val="007308D3"/>
    <w:rsid w:val="00732DCE"/>
    <w:rsid w:val="0073373B"/>
    <w:rsid w:val="00734447"/>
    <w:rsid w:val="00736579"/>
    <w:rsid w:val="00737BB1"/>
    <w:rsid w:val="007427CE"/>
    <w:rsid w:val="00742D07"/>
    <w:rsid w:val="00744237"/>
    <w:rsid w:val="007474DB"/>
    <w:rsid w:val="00753557"/>
    <w:rsid w:val="00757FB9"/>
    <w:rsid w:val="007607C3"/>
    <w:rsid w:val="00761BD3"/>
    <w:rsid w:val="007632DA"/>
    <w:rsid w:val="00764E6A"/>
    <w:rsid w:val="0076572B"/>
    <w:rsid w:val="00766790"/>
    <w:rsid w:val="00767808"/>
    <w:rsid w:val="00770F3C"/>
    <w:rsid w:val="00775EFE"/>
    <w:rsid w:val="0077768C"/>
    <w:rsid w:val="00782489"/>
    <w:rsid w:val="00783FDB"/>
    <w:rsid w:val="00784262"/>
    <w:rsid w:val="007934DC"/>
    <w:rsid w:val="00793F6A"/>
    <w:rsid w:val="0079416E"/>
    <w:rsid w:val="007A00E6"/>
    <w:rsid w:val="007A1D6A"/>
    <w:rsid w:val="007A3C6A"/>
    <w:rsid w:val="007B307A"/>
    <w:rsid w:val="007B35D4"/>
    <w:rsid w:val="007B42E7"/>
    <w:rsid w:val="007B49C6"/>
    <w:rsid w:val="007B49ED"/>
    <w:rsid w:val="007B617A"/>
    <w:rsid w:val="007C032D"/>
    <w:rsid w:val="007C2FC5"/>
    <w:rsid w:val="007C3730"/>
    <w:rsid w:val="007D353F"/>
    <w:rsid w:val="007D4065"/>
    <w:rsid w:val="007E0BA1"/>
    <w:rsid w:val="007F4240"/>
    <w:rsid w:val="00804FBA"/>
    <w:rsid w:val="00807D21"/>
    <w:rsid w:val="00813F42"/>
    <w:rsid w:val="00814D84"/>
    <w:rsid w:val="00820600"/>
    <w:rsid w:val="00830CDD"/>
    <w:rsid w:val="00834DFE"/>
    <w:rsid w:val="0083501C"/>
    <w:rsid w:val="00835AC8"/>
    <w:rsid w:val="00835D6A"/>
    <w:rsid w:val="00842606"/>
    <w:rsid w:val="008479C7"/>
    <w:rsid w:val="00851608"/>
    <w:rsid w:val="00864800"/>
    <w:rsid w:val="00865B73"/>
    <w:rsid w:val="00873527"/>
    <w:rsid w:val="0087685C"/>
    <w:rsid w:val="008806F2"/>
    <w:rsid w:val="008872DD"/>
    <w:rsid w:val="00892A1F"/>
    <w:rsid w:val="008930FB"/>
    <w:rsid w:val="00893DF4"/>
    <w:rsid w:val="008952D5"/>
    <w:rsid w:val="00895FF5"/>
    <w:rsid w:val="008A03CD"/>
    <w:rsid w:val="008A0611"/>
    <w:rsid w:val="008A0B4B"/>
    <w:rsid w:val="008A1DAB"/>
    <w:rsid w:val="008A5BD8"/>
    <w:rsid w:val="008A67AB"/>
    <w:rsid w:val="008B40D1"/>
    <w:rsid w:val="008B4C54"/>
    <w:rsid w:val="008C7D4A"/>
    <w:rsid w:val="008D0547"/>
    <w:rsid w:val="008D5A92"/>
    <w:rsid w:val="008D7B08"/>
    <w:rsid w:val="008E2507"/>
    <w:rsid w:val="008E648A"/>
    <w:rsid w:val="008E6CD3"/>
    <w:rsid w:val="008F02BA"/>
    <w:rsid w:val="008F4552"/>
    <w:rsid w:val="008F5F85"/>
    <w:rsid w:val="00900610"/>
    <w:rsid w:val="00902518"/>
    <w:rsid w:val="00912FEF"/>
    <w:rsid w:val="009144B3"/>
    <w:rsid w:val="009145AA"/>
    <w:rsid w:val="00916C04"/>
    <w:rsid w:val="00921DFA"/>
    <w:rsid w:val="0092266A"/>
    <w:rsid w:val="00926F92"/>
    <w:rsid w:val="00934888"/>
    <w:rsid w:val="0094049B"/>
    <w:rsid w:val="00943560"/>
    <w:rsid w:val="00946A3D"/>
    <w:rsid w:val="009511AC"/>
    <w:rsid w:val="00951FF5"/>
    <w:rsid w:val="009525BB"/>
    <w:rsid w:val="009560CE"/>
    <w:rsid w:val="00970FF2"/>
    <w:rsid w:val="00971CC3"/>
    <w:rsid w:val="00972C37"/>
    <w:rsid w:val="009767BB"/>
    <w:rsid w:val="00977F56"/>
    <w:rsid w:val="009800DC"/>
    <w:rsid w:val="00980E6B"/>
    <w:rsid w:val="00981056"/>
    <w:rsid w:val="00982A42"/>
    <w:rsid w:val="00994438"/>
    <w:rsid w:val="009A2FEB"/>
    <w:rsid w:val="009A4863"/>
    <w:rsid w:val="009A7580"/>
    <w:rsid w:val="009B3934"/>
    <w:rsid w:val="009C28AE"/>
    <w:rsid w:val="009C4A1C"/>
    <w:rsid w:val="009D011D"/>
    <w:rsid w:val="009D0698"/>
    <w:rsid w:val="009D1A13"/>
    <w:rsid w:val="009D381D"/>
    <w:rsid w:val="009D4CAF"/>
    <w:rsid w:val="009D586E"/>
    <w:rsid w:val="009E0703"/>
    <w:rsid w:val="009E0BD4"/>
    <w:rsid w:val="009E0D72"/>
    <w:rsid w:val="009E119B"/>
    <w:rsid w:val="009E254D"/>
    <w:rsid w:val="009E3C7C"/>
    <w:rsid w:val="009F7BC5"/>
    <w:rsid w:val="00A02198"/>
    <w:rsid w:val="00A02723"/>
    <w:rsid w:val="00A13B6C"/>
    <w:rsid w:val="00A13C14"/>
    <w:rsid w:val="00A14315"/>
    <w:rsid w:val="00A223FC"/>
    <w:rsid w:val="00A22F39"/>
    <w:rsid w:val="00A23AD8"/>
    <w:rsid w:val="00A26DFC"/>
    <w:rsid w:val="00A272A6"/>
    <w:rsid w:val="00A3131A"/>
    <w:rsid w:val="00A344AD"/>
    <w:rsid w:val="00A502FB"/>
    <w:rsid w:val="00A50DFC"/>
    <w:rsid w:val="00A51630"/>
    <w:rsid w:val="00A56557"/>
    <w:rsid w:val="00A60552"/>
    <w:rsid w:val="00A66785"/>
    <w:rsid w:val="00A71BF9"/>
    <w:rsid w:val="00A73933"/>
    <w:rsid w:val="00A77240"/>
    <w:rsid w:val="00A80BAD"/>
    <w:rsid w:val="00A8424C"/>
    <w:rsid w:val="00A8699E"/>
    <w:rsid w:val="00AB03AA"/>
    <w:rsid w:val="00AB0546"/>
    <w:rsid w:val="00AB2F8F"/>
    <w:rsid w:val="00AB563B"/>
    <w:rsid w:val="00AC1795"/>
    <w:rsid w:val="00AC4C0C"/>
    <w:rsid w:val="00AC55A3"/>
    <w:rsid w:val="00AC68FA"/>
    <w:rsid w:val="00AC7D5A"/>
    <w:rsid w:val="00AE1616"/>
    <w:rsid w:val="00AE1A9B"/>
    <w:rsid w:val="00AE33DC"/>
    <w:rsid w:val="00AE376F"/>
    <w:rsid w:val="00AE40BA"/>
    <w:rsid w:val="00AF70E1"/>
    <w:rsid w:val="00B04114"/>
    <w:rsid w:val="00B04263"/>
    <w:rsid w:val="00B1395E"/>
    <w:rsid w:val="00B1534E"/>
    <w:rsid w:val="00B201F4"/>
    <w:rsid w:val="00B2063E"/>
    <w:rsid w:val="00B23BB8"/>
    <w:rsid w:val="00B26691"/>
    <w:rsid w:val="00B3067C"/>
    <w:rsid w:val="00B35D43"/>
    <w:rsid w:val="00B3610C"/>
    <w:rsid w:val="00B37946"/>
    <w:rsid w:val="00B37CC6"/>
    <w:rsid w:val="00B4610E"/>
    <w:rsid w:val="00B5031E"/>
    <w:rsid w:val="00B60E25"/>
    <w:rsid w:val="00B73E8E"/>
    <w:rsid w:val="00B773DA"/>
    <w:rsid w:val="00B82571"/>
    <w:rsid w:val="00B8325E"/>
    <w:rsid w:val="00B84F66"/>
    <w:rsid w:val="00B8602A"/>
    <w:rsid w:val="00B920E6"/>
    <w:rsid w:val="00B96DD8"/>
    <w:rsid w:val="00BA2001"/>
    <w:rsid w:val="00BA23BD"/>
    <w:rsid w:val="00BA2C8E"/>
    <w:rsid w:val="00BA6133"/>
    <w:rsid w:val="00BB6919"/>
    <w:rsid w:val="00BC46B9"/>
    <w:rsid w:val="00BC5D74"/>
    <w:rsid w:val="00BC6134"/>
    <w:rsid w:val="00BC633A"/>
    <w:rsid w:val="00BD063F"/>
    <w:rsid w:val="00BD0726"/>
    <w:rsid w:val="00BD1B3E"/>
    <w:rsid w:val="00BD1CC0"/>
    <w:rsid w:val="00BD5FD0"/>
    <w:rsid w:val="00BD6B49"/>
    <w:rsid w:val="00BE2224"/>
    <w:rsid w:val="00BE23A8"/>
    <w:rsid w:val="00BF1D90"/>
    <w:rsid w:val="00BF63A2"/>
    <w:rsid w:val="00C04895"/>
    <w:rsid w:val="00C069D2"/>
    <w:rsid w:val="00C1111D"/>
    <w:rsid w:val="00C11655"/>
    <w:rsid w:val="00C12D0E"/>
    <w:rsid w:val="00C13666"/>
    <w:rsid w:val="00C14B18"/>
    <w:rsid w:val="00C1521C"/>
    <w:rsid w:val="00C17927"/>
    <w:rsid w:val="00C21994"/>
    <w:rsid w:val="00C26F0A"/>
    <w:rsid w:val="00C44E30"/>
    <w:rsid w:val="00C4515B"/>
    <w:rsid w:val="00C56902"/>
    <w:rsid w:val="00C61136"/>
    <w:rsid w:val="00C65A42"/>
    <w:rsid w:val="00C77BFD"/>
    <w:rsid w:val="00C82615"/>
    <w:rsid w:val="00C840C3"/>
    <w:rsid w:val="00C85630"/>
    <w:rsid w:val="00C856BF"/>
    <w:rsid w:val="00C87C02"/>
    <w:rsid w:val="00C929DC"/>
    <w:rsid w:val="00C950B9"/>
    <w:rsid w:val="00CA1CAC"/>
    <w:rsid w:val="00CA4FD6"/>
    <w:rsid w:val="00CA5213"/>
    <w:rsid w:val="00CA72E7"/>
    <w:rsid w:val="00CA771E"/>
    <w:rsid w:val="00CA7EDF"/>
    <w:rsid w:val="00CB0E23"/>
    <w:rsid w:val="00CB22D1"/>
    <w:rsid w:val="00CB451A"/>
    <w:rsid w:val="00CB6045"/>
    <w:rsid w:val="00CB7C37"/>
    <w:rsid w:val="00CC0341"/>
    <w:rsid w:val="00CC424F"/>
    <w:rsid w:val="00CC4875"/>
    <w:rsid w:val="00CD1BD2"/>
    <w:rsid w:val="00CD1E24"/>
    <w:rsid w:val="00CD67EE"/>
    <w:rsid w:val="00CE1096"/>
    <w:rsid w:val="00CF3742"/>
    <w:rsid w:val="00D01C80"/>
    <w:rsid w:val="00D01DEB"/>
    <w:rsid w:val="00D033C7"/>
    <w:rsid w:val="00D04736"/>
    <w:rsid w:val="00D128FF"/>
    <w:rsid w:val="00D13EF4"/>
    <w:rsid w:val="00D15C1E"/>
    <w:rsid w:val="00D173E4"/>
    <w:rsid w:val="00D2281E"/>
    <w:rsid w:val="00D24314"/>
    <w:rsid w:val="00D30412"/>
    <w:rsid w:val="00D34187"/>
    <w:rsid w:val="00D41556"/>
    <w:rsid w:val="00D4302F"/>
    <w:rsid w:val="00D560EA"/>
    <w:rsid w:val="00D56839"/>
    <w:rsid w:val="00D606F1"/>
    <w:rsid w:val="00D74B2C"/>
    <w:rsid w:val="00D77A2E"/>
    <w:rsid w:val="00D823F3"/>
    <w:rsid w:val="00D867D1"/>
    <w:rsid w:val="00D86E87"/>
    <w:rsid w:val="00D9006E"/>
    <w:rsid w:val="00D90CD8"/>
    <w:rsid w:val="00D90E75"/>
    <w:rsid w:val="00D91B7B"/>
    <w:rsid w:val="00D91CBB"/>
    <w:rsid w:val="00DB07A4"/>
    <w:rsid w:val="00DB4439"/>
    <w:rsid w:val="00DB698A"/>
    <w:rsid w:val="00DC1FEA"/>
    <w:rsid w:val="00DC5429"/>
    <w:rsid w:val="00DC5B68"/>
    <w:rsid w:val="00DD4751"/>
    <w:rsid w:val="00DD4D32"/>
    <w:rsid w:val="00DD6A4F"/>
    <w:rsid w:val="00DE3277"/>
    <w:rsid w:val="00DE7AB0"/>
    <w:rsid w:val="00DF1A3C"/>
    <w:rsid w:val="00DF7CE6"/>
    <w:rsid w:val="00E10B1F"/>
    <w:rsid w:val="00E124A4"/>
    <w:rsid w:val="00E16535"/>
    <w:rsid w:val="00E16AB6"/>
    <w:rsid w:val="00E23F75"/>
    <w:rsid w:val="00E25357"/>
    <w:rsid w:val="00E33E30"/>
    <w:rsid w:val="00E40C79"/>
    <w:rsid w:val="00E55FC2"/>
    <w:rsid w:val="00E635A2"/>
    <w:rsid w:val="00E63FEA"/>
    <w:rsid w:val="00E66CE2"/>
    <w:rsid w:val="00E7594F"/>
    <w:rsid w:val="00E77C5B"/>
    <w:rsid w:val="00E908BC"/>
    <w:rsid w:val="00E943A4"/>
    <w:rsid w:val="00E95E58"/>
    <w:rsid w:val="00EA292A"/>
    <w:rsid w:val="00EB23A4"/>
    <w:rsid w:val="00EB5D8D"/>
    <w:rsid w:val="00EB69AF"/>
    <w:rsid w:val="00EC4F40"/>
    <w:rsid w:val="00EC7C08"/>
    <w:rsid w:val="00ED174B"/>
    <w:rsid w:val="00ED2407"/>
    <w:rsid w:val="00ED5EF5"/>
    <w:rsid w:val="00EE2D5E"/>
    <w:rsid w:val="00EE3D96"/>
    <w:rsid w:val="00EF44CF"/>
    <w:rsid w:val="00EF4FF0"/>
    <w:rsid w:val="00EF55F4"/>
    <w:rsid w:val="00EF586D"/>
    <w:rsid w:val="00EF6791"/>
    <w:rsid w:val="00EF6A30"/>
    <w:rsid w:val="00EF6B06"/>
    <w:rsid w:val="00EF7849"/>
    <w:rsid w:val="00F029DD"/>
    <w:rsid w:val="00F02C8A"/>
    <w:rsid w:val="00F1075C"/>
    <w:rsid w:val="00F12C4D"/>
    <w:rsid w:val="00F13A98"/>
    <w:rsid w:val="00F15FBA"/>
    <w:rsid w:val="00F16269"/>
    <w:rsid w:val="00F202DC"/>
    <w:rsid w:val="00F23311"/>
    <w:rsid w:val="00F37A9F"/>
    <w:rsid w:val="00F40D88"/>
    <w:rsid w:val="00F42DC6"/>
    <w:rsid w:val="00F43144"/>
    <w:rsid w:val="00F465F7"/>
    <w:rsid w:val="00F46AC0"/>
    <w:rsid w:val="00F61799"/>
    <w:rsid w:val="00F639A9"/>
    <w:rsid w:val="00F64614"/>
    <w:rsid w:val="00F71D17"/>
    <w:rsid w:val="00F72C1D"/>
    <w:rsid w:val="00F74CF0"/>
    <w:rsid w:val="00F76161"/>
    <w:rsid w:val="00F7780F"/>
    <w:rsid w:val="00F839AB"/>
    <w:rsid w:val="00F84148"/>
    <w:rsid w:val="00F842A1"/>
    <w:rsid w:val="00F84CB7"/>
    <w:rsid w:val="00F855C0"/>
    <w:rsid w:val="00F87AC1"/>
    <w:rsid w:val="00F93CB8"/>
    <w:rsid w:val="00F97A17"/>
    <w:rsid w:val="00FA1403"/>
    <w:rsid w:val="00FA1A28"/>
    <w:rsid w:val="00FA1EA2"/>
    <w:rsid w:val="00FA3CBA"/>
    <w:rsid w:val="00FA5D1D"/>
    <w:rsid w:val="00FA6F2A"/>
    <w:rsid w:val="00FB255F"/>
    <w:rsid w:val="00FB3BEB"/>
    <w:rsid w:val="00FC44EE"/>
    <w:rsid w:val="00FC7048"/>
    <w:rsid w:val="00FD0C28"/>
    <w:rsid w:val="00FD36AB"/>
    <w:rsid w:val="00FD3A6A"/>
    <w:rsid w:val="00FD4913"/>
    <w:rsid w:val="00FE53F0"/>
    <w:rsid w:val="00FE7AA7"/>
    <w:rsid w:val="00FF1388"/>
    <w:rsid w:val="00FF2213"/>
    <w:rsid w:val="00FF2485"/>
    <w:rsid w:val="0E13586D"/>
    <w:rsid w:val="1164D530"/>
    <w:rsid w:val="294CEB59"/>
    <w:rsid w:val="2B903596"/>
    <w:rsid w:val="2D1E0D8E"/>
    <w:rsid w:val="326ACA78"/>
    <w:rsid w:val="363B9580"/>
    <w:rsid w:val="3FB0B843"/>
    <w:rsid w:val="532F5119"/>
    <w:rsid w:val="5849962A"/>
    <w:rsid w:val="59133562"/>
    <w:rsid w:val="67F556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docId w15:val="{F8D4227F-2C2D-4E49-B9B3-BCEF63DFA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 w:type="character" w:styleId="tabchar" w:customStyle="1">
    <w:name w:val="tabchar"/>
    <w:basedOn w:val="Fuentedeprrafopredeter"/>
    <w:rsid w:val="006F1A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58097316">
      <w:bodyDiv w:val="1"/>
      <w:marLeft w:val="0"/>
      <w:marRight w:val="0"/>
      <w:marTop w:val="0"/>
      <w:marBottom w:val="0"/>
      <w:divBdr>
        <w:top w:val="none" w:sz="0" w:space="0" w:color="auto"/>
        <w:left w:val="none" w:sz="0" w:space="0" w:color="auto"/>
        <w:bottom w:val="none" w:sz="0" w:space="0" w:color="auto"/>
        <w:right w:val="none" w:sz="0" w:space="0" w:color="auto"/>
      </w:divBdr>
    </w:div>
    <w:div w:id="60174252">
      <w:bodyDiv w:val="1"/>
      <w:marLeft w:val="0"/>
      <w:marRight w:val="0"/>
      <w:marTop w:val="0"/>
      <w:marBottom w:val="0"/>
      <w:divBdr>
        <w:top w:val="none" w:sz="0" w:space="0" w:color="auto"/>
        <w:left w:val="none" w:sz="0" w:space="0" w:color="auto"/>
        <w:bottom w:val="none" w:sz="0" w:space="0" w:color="auto"/>
        <w:right w:val="none" w:sz="0" w:space="0" w:color="auto"/>
      </w:divBdr>
    </w:div>
    <w:div w:id="117724718">
      <w:bodyDiv w:val="1"/>
      <w:marLeft w:val="0"/>
      <w:marRight w:val="0"/>
      <w:marTop w:val="0"/>
      <w:marBottom w:val="0"/>
      <w:divBdr>
        <w:top w:val="none" w:sz="0" w:space="0" w:color="auto"/>
        <w:left w:val="none" w:sz="0" w:space="0" w:color="auto"/>
        <w:bottom w:val="none" w:sz="0" w:space="0" w:color="auto"/>
        <w:right w:val="none" w:sz="0" w:space="0" w:color="auto"/>
      </w:divBdr>
    </w:div>
    <w:div w:id="117992614">
      <w:bodyDiv w:val="1"/>
      <w:marLeft w:val="0"/>
      <w:marRight w:val="0"/>
      <w:marTop w:val="0"/>
      <w:marBottom w:val="0"/>
      <w:divBdr>
        <w:top w:val="none" w:sz="0" w:space="0" w:color="auto"/>
        <w:left w:val="none" w:sz="0" w:space="0" w:color="auto"/>
        <w:bottom w:val="none" w:sz="0" w:space="0" w:color="auto"/>
        <w:right w:val="none" w:sz="0" w:space="0" w:color="auto"/>
      </w:divBdr>
    </w:div>
    <w:div w:id="122425818">
      <w:bodyDiv w:val="1"/>
      <w:marLeft w:val="0"/>
      <w:marRight w:val="0"/>
      <w:marTop w:val="0"/>
      <w:marBottom w:val="0"/>
      <w:divBdr>
        <w:top w:val="none" w:sz="0" w:space="0" w:color="auto"/>
        <w:left w:val="none" w:sz="0" w:space="0" w:color="auto"/>
        <w:bottom w:val="none" w:sz="0" w:space="0" w:color="auto"/>
        <w:right w:val="none" w:sz="0" w:space="0" w:color="auto"/>
      </w:divBdr>
    </w:div>
    <w:div w:id="136529081">
      <w:bodyDiv w:val="1"/>
      <w:marLeft w:val="0"/>
      <w:marRight w:val="0"/>
      <w:marTop w:val="0"/>
      <w:marBottom w:val="0"/>
      <w:divBdr>
        <w:top w:val="none" w:sz="0" w:space="0" w:color="auto"/>
        <w:left w:val="none" w:sz="0" w:space="0" w:color="auto"/>
        <w:bottom w:val="none" w:sz="0" w:space="0" w:color="auto"/>
        <w:right w:val="none" w:sz="0" w:space="0" w:color="auto"/>
      </w:divBdr>
    </w:div>
    <w:div w:id="137576411">
      <w:bodyDiv w:val="1"/>
      <w:marLeft w:val="0"/>
      <w:marRight w:val="0"/>
      <w:marTop w:val="0"/>
      <w:marBottom w:val="0"/>
      <w:divBdr>
        <w:top w:val="none" w:sz="0" w:space="0" w:color="auto"/>
        <w:left w:val="none" w:sz="0" w:space="0" w:color="auto"/>
        <w:bottom w:val="none" w:sz="0" w:space="0" w:color="auto"/>
        <w:right w:val="none" w:sz="0" w:space="0" w:color="auto"/>
      </w:divBdr>
    </w:div>
    <w:div w:id="141586882">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161823406">
      <w:bodyDiv w:val="1"/>
      <w:marLeft w:val="0"/>
      <w:marRight w:val="0"/>
      <w:marTop w:val="0"/>
      <w:marBottom w:val="0"/>
      <w:divBdr>
        <w:top w:val="none" w:sz="0" w:space="0" w:color="auto"/>
        <w:left w:val="none" w:sz="0" w:space="0" w:color="auto"/>
        <w:bottom w:val="none" w:sz="0" w:space="0" w:color="auto"/>
        <w:right w:val="none" w:sz="0" w:space="0" w:color="auto"/>
      </w:divBdr>
    </w:div>
    <w:div w:id="171409072">
      <w:bodyDiv w:val="1"/>
      <w:marLeft w:val="0"/>
      <w:marRight w:val="0"/>
      <w:marTop w:val="0"/>
      <w:marBottom w:val="0"/>
      <w:divBdr>
        <w:top w:val="none" w:sz="0" w:space="0" w:color="auto"/>
        <w:left w:val="none" w:sz="0" w:space="0" w:color="auto"/>
        <w:bottom w:val="none" w:sz="0" w:space="0" w:color="auto"/>
        <w:right w:val="none" w:sz="0" w:space="0" w:color="auto"/>
      </w:divBdr>
    </w:div>
    <w:div w:id="183204891">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252051674">
      <w:bodyDiv w:val="1"/>
      <w:marLeft w:val="0"/>
      <w:marRight w:val="0"/>
      <w:marTop w:val="0"/>
      <w:marBottom w:val="0"/>
      <w:divBdr>
        <w:top w:val="none" w:sz="0" w:space="0" w:color="auto"/>
        <w:left w:val="none" w:sz="0" w:space="0" w:color="auto"/>
        <w:bottom w:val="none" w:sz="0" w:space="0" w:color="auto"/>
        <w:right w:val="none" w:sz="0" w:space="0" w:color="auto"/>
      </w:divBdr>
    </w:div>
    <w:div w:id="293221021">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123486">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58626014">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0035241">
      <w:bodyDiv w:val="1"/>
      <w:marLeft w:val="0"/>
      <w:marRight w:val="0"/>
      <w:marTop w:val="0"/>
      <w:marBottom w:val="0"/>
      <w:divBdr>
        <w:top w:val="none" w:sz="0" w:space="0" w:color="auto"/>
        <w:left w:val="none" w:sz="0" w:space="0" w:color="auto"/>
        <w:bottom w:val="none" w:sz="0" w:space="0" w:color="auto"/>
        <w:right w:val="none" w:sz="0" w:space="0" w:color="auto"/>
      </w:divBdr>
    </w:div>
    <w:div w:id="371930388">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404959583">
      <w:bodyDiv w:val="1"/>
      <w:marLeft w:val="0"/>
      <w:marRight w:val="0"/>
      <w:marTop w:val="0"/>
      <w:marBottom w:val="0"/>
      <w:divBdr>
        <w:top w:val="none" w:sz="0" w:space="0" w:color="auto"/>
        <w:left w:val="none" w:sz="0" w:space="0" w:color="auto"/>
        <w:bottom w:val="none" w:sz="0" w:space="0" w:color="auto"/>
        <w:right w:val="none" w:sz="0" w:space="0" w:color="auto"/>
      </w:divBdr>
    </w:div>
    <w:div w:id="411782037">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57726549">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484473410">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34777152">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586841191">
      <w:bodyDiv w:val="1"/>
      <w:marLeft w:val="0"/>
      <w:marRight w:val="0"/>
      <w:marTop w:val="0"/>
      <w:marBottom w:val="0"/>
      <w:divBdr>
        <w:top w:val="none" w:sz="0" w:space="0" w:color="auto"/>
        <w:left w:val="none" w:sz="0" w:space="0" w:color="auto"/>
        <w:bottom w:val="none" w:sz="0" w:space="0" w:color="auto"/>
        <w:right w:val="none" w:sz="0" w:space="0" w:color="auto"/>
      </w:divBdr>
    </w:div>
    <w:div w:id="649597375">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55128740">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24202046">
      <w:bodyDiv w:val="1"/>
      <w:marLeft w:val="0"/>
      <w:marRight w:val="0"/>
      <w:marTop w:val="0"/>
      <w:marBottom w:val="0"/>
      <w:divBdr>
        <w:top w:val="none" w:sz="0" w:space="0" w:color="auto"/>
        <w:left w:val="none" w:sz="0" w:space="0" w:color="auto"/>
        <w:bottom w:val="none" w:sz="0" w:space="0" w:color="auto"/>
        <w:right w:val="none" w:sz="0" w:space="0" w:color="auto"/>
      </w:divBdr>
    </w:div>
    <w:div w:id="855078626">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900483848">
      <w:bodyDiv w:val="1"/>
      <w:marLeft w:val="0"/>
      <w:marRight w:val="0"/>
      <w:marTop w:val="0"/>
      <w:marBottom w:val="0"/>
      <w:divBdr>
        <w:top w:val="none" w:sz="0" w:space="0" w:color="auto"/>
        <w:left w:val="none" w:sz="0" w:space="0" w:color="auto"/>
        <w:bottom w:val="none" w:sz="0" w:space="0" w:color="auto"/>
        <w:right w:val="none" w:sz="0" w:space="0" w:color="auto"/>
      </w:divBdr>
    </w:div>
    <w:div w:id="906691839">
      <w:bodyDiv w:val="1"/>
      <w:marLeft w:val="0"/>
      <w:marRight w:val="0"/>
      <w:marTop w:val="0"/>
      <w:marBottom w:val="0"/>
      <w:divBdr>
        <w:top w:val="none" w:sz="0" w:space="0" w:color="auto"/>
        <w:left w:val="none" w:sz="0" w:space="0" w:color="auto"/>
        <w:bottom w:val="none" w:sz="0" w:space="0" w:color="auto"/>
        <w:right w:val="none" w:sz="0" w:space="0" w:color="auto"/>
      </w:divBdr>
    </w:div>
    <w:div w:id="930041145">
      <w:bodyDiv w:val="1"/>
      <w:marLeft w:val="0"/>
      <w:marRight w:val="0"/>
      <w:marTop w:val="0"/>
      <w:marBottom w:val="0"/>
      <w:divBdr>
        <w:top w:val="none" w:sz="0" w:space="0" w:color="auto"/>
        <w:left w:val="none" w:sz="0" w:space="0" w:color="auto"/>
        <w:bottom w:val="none" w:sz="0" w:space="0" w:color="auto"/>
        <w:right w:val="none" w:sz="0" w:space="0" w:color="auto"/>
      </w:divBdr>
    </w:div>
    <w:div w:id="931862237">
      <w:bodyDiv w:val="1"/>
      <w:marLeft w:val="0"/>
      <w:marRight w:val="0"/>
      <w:marTop w:val="0"/>
      <w:marBottom w:val="0"/>
      <w:divBdr>
        <w:top w:val="none" w:sz="0" w:space="0" w:color="auto"/>
        <w:left w:val="none" w:sz="0" w:space="0" w:color="auto"/>
        <w:bottom w:val="none" w:sz="0" w:space="0" w:color="auto"/>
        <w:right w:val="none" w:sz="0" w:space="0" w:color="auto"/>
      </w:divBdr>
    </w:div>
    <w:div w:id="932395476">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51591740">
      <w:bodyDiv w:val="1"/>
      <w:marLeft w:val="0"/>
      <w:marRight w:val="0"/>
      <w:marTop w:val="0"/>
      <w:marBottom w:val="0"/>
      <w:divBdr>
        <w:top w:val="none" w:sz="0" w:space="0" w:color="auto"/>
        <w:left w:val="none" w:sz="0" w:space="0" w:color="auto"/>
        <w:bottom w:val="none" w:sz="0" w:space="0" w:color="auto"/>
        <w:right w:val="none" w:sz="0" w:space="0" w:color="auto"/>
      </w:divBdr>
    </w:div>
    <w:div w:id="965312103">
      <w:bodyDiv w:val="1"/>
      <w:marLeft w:val="0"/>
      <w:marRight w:val="0"/>
      <w:marTop w:val="0"/>
      <w:marBottom w:val="0"/>
      <w:divBdr>
        <w:top w:val="none" w:sz="0" w:space="0" w:color="auto"/>
        <w:left w:val="none" w:sz="0" w:space="0" w:color="auto"/>
        <w:bottom w:val="none" w:sz="0" w:space="0" w:color="auto"/>
        <w:right w:val="none" w:sz="0" w:space="0" w:color="auto"/>
      </w:divBdr>
    </w:div>
    <w:div w:id="981301969">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17076504">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50302519">
      <w:bodyDiv w:val="1"/>
      <w:marLeft w:val="0"/>
      <w:marRight w:val="0"/>
      <w:marTop w:val="0"/>
      <w:marBottom w:val="0"/>
      <w:divBdr>
        <w:top w:val="none" w:sz="0" w:space="0" w:color="auto"/>
        <w:left w:val="none" w:sz="0" w:space="0" w:color="auto"/>
        <w:bottom w:val="none" w:sz="0" w:space="0" w:color="auto"/>
        <w:right w:val="none" w:sz="0" w:space="0" w:color="auto"/>
      </w:divBdr>
    </w:div>
    <w:div w:id="1062099929">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111826692">
      <w:bodyDiv w:val="1"/>
      <w:marLeft w:val="0"/>
      <w:marRight w:val="0"/>
      <w:marTop w:val="0"/>
      <w:marBottom w:val="0"/>
      <w:divBdr>
        <w:top w:val="none" w:sz="0" w:space="0" w:color="auto"/>
        <w:left w:val="none" w:sz="0" w:space="0" w:color="auto"/>
        <w:bottom w:val="none" w:sz="0" w:space="0" w:color="auto"/>
        <w:right w:val="none" w:sz="0" w:space="0" w:color="auto"/>
      </w:divBdr>
    </w:div>
    <w:div w:id="1133791837">
      <w:bodyDiv w:val="1"/>
      <w:marLeft w:val="0"/>
      <w:marRight w:val="0"/>
      <w:marTop w:val="0"/>
      <w:marBottom w:val="0"/>
      <w:divBdr>
        <w:top w:val="none" w:sz="0" w:space="0" w:color="auto"/>
        <w:left w:val="none" w:sz="0" w:space="0" w:color="auto"/>
        <w:bottom w:val="none" w:sz="0" w:space="0" w:color="auto"/>
        <w:right w:val="none" w:sz="0" w:space="0" w:color="auto"/>
      </w:divBdr>
    </w:div>
    <w:div w:id="1151411360">
      <w:bodyDiv w:val="1"/>
      <w:marLeft w:val="0"/>
      <w:marRight w:val="0"/>
      <w:marTop w:val="0"/>
      <w:marBottom w:val="0"/>
      <w:divBdr>
        <w:top w:val="none" w:sz="0" w:space="0" w:color="auto"/>
        <w:left w:val="none" w:sz="0" w:space="0" w:color="auto"/>
        <w:bottom w:val="none" w:sz="0" w:space="0" w:color="auto"/>
        <w:right w:val="none" w:sz="0" w:space="0" w:color="auto"/>
      </w:divBdr>
    </w:div>
    <w:div w:id="1205872669">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52589868">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285843545">
      <w:bodyDiv w:val="1"/>
      <w:marLeft w:val="0"/>
      <w:marRight w:val="0"/>
      <w:marTop w:val="0"/>
      <w:marBottom w:val="0"/>
      <w:divBdr>
        <w:top w:val="none" w:sz="0" w:space="0" w:color="auto"/>
        <w:left w:val="none" w:sz="0" w:space="0" w:color="auto"/>
        <w:bottom w:val="none" w:sz="0" w:space="0" w:color="auto"/>
        <w:right w:val="none" w:sz="0" w:space="0" w:color="auto"/>
      </w:divBdr>
    </w:div>
    <w:div w:id="1296443710">
      <w:bodyDiv w:val="1"/>
      <w:marLeft w:val="0"/>
      <w:marRight w:val="0"/>
      <w:marTop w:val="0"/>
      <w:marBottom w:val="0"/>
      <w:divBdr>
        <w:top w:val="none" w:sz="0" w:space="0" w:color="auto"/>
        <w:left w:val="none" w:sz="0" w:space="0" w:color="auto"/>
        <w:bottom w:val="none" w:sz="0" w:space="0" w:color="auto"/>
        <w:right w:val="none" w:sz="0" w:space="0" w:color="auto"/>
      </w:divBdr>
    </w:div>
    <w:div w:id="1325007270">
      <w:bodyDiv w:val="1"/>
      <w:marLeft w:val="0"/>
      <w:marRight w:val="0"/>
      <w:marTop w:val="0"/>
      <w:marBottom w:val="0"/>
      <w:divBdr>
        <w:top w:val="none" w:sz="0" w:space="0" w:color="auto"/>
        <w:left w:val="none" w:sz="0" w:space="0" w:color="auto"/>
        <w:bottom w:val="none" w:sz="0" w:space="0" w:color="auto"/>
        <w:right w:val="none" w:sz="0" w:space="0" w:color="auto"/>
      </w:divBdr>
    </w:div>
    <w:div w:id="1327704940">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41811124">
      <w:bodyDiv w:val="1"/>
      <w:marLeft w:val="0"/>
      <w:marRight w:val="0"/>
      <w:marTop w:val="0"/>
      <w:marBottom w:val="0"/>
      <w:divBdr>
        <w:top w:val="none" w:sz="0" w:space="0" w:color="auto"/>
        <w:left w:val="none" w:sz="0" w:space="0" w:color="auto"/>
        <w:bottom w:val="none" w:sz="0" w:space="0" w:color="auto"/>
        <w:right w:val="none" w:sz="0" w:space="0" w:color="auto"/>
      </w:divBdr>
    </w:div>
    <w:div w:id="1365054411">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416973460">
      <w:bodyDiv w:val="1"/>
      <w:marLeft w:val="0"/>
      <w:marRight w:val="0"/>
      <w:marTop w:val="0"/>
      <w:marBottom w:val="0"/>
      <w:divBdr>
        <w:top w:val="none" w:sz="0" w:space="0" w:color="auto"/>
        <w:left w:val="none" w:sz="0" w:space="0" w:color="auto"/>
        <w:bottom w:val="none" w:sz="0" w:space="0" w:color="auto"/>
        <w:right w:val="none" w:sz="0" w:space="0" w:color="auto"/>
      </w:divBdr>
    </w:div>
    <w:div w:id="1419786821">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490554663">
      <w:bodyDiv w:val="1"/>
      <w:marLeft w:val="0"/>
      <w:marRight w:val="0"/>
      <w:marTop w:val="0"/>
      <w:marBottom w:val="0"/>
      <w:divBdr>
        <w:top w:val="none" w:sz="0" w:space="0" w:color="auto"/>
        <w:left w:val="none" w:sz="0" w:space="0" w:color="auto"/>
        <w:bottom w:val="none" w:sz="0" w:space="0" w:color="auto"/>
        <w:right w:val="none" w:sz="0" w:space="0" w:color="auto"/>
      </w:divBdr>
    </w:div>
    <w:div w:id="1501239221">
      <w:bodyDiv w:val="1"/>
      <w:marLeft w:val="0"/>
      <w:marRight w:val="0"/>
      <w:marTop w:val="0"/>
      <w:marBottom w:val="0"/>
      <w:divBdr>
        <w:top w:val="none" w:sz="0" w:space="0" w:color="auto"/>
        <w:left w:val="none" w:sz="0" w:space="0" w:color="auto"/>
        <w:bottom w:val="none" w:sz="0" w:space="0" w:color="auto"/>
        <w:right w:val="none" w:sz="0" w:space="0" w:color="auto"/>
      </w:divBdr>
    </w:div>
    <w:div w:id="1509757499">
      <w:bodyDiv w:val="1"/>
      <w:marLeft w:val="0"/>
      <w:marRight w:val="0"/>
      <w:marTop w:val="0"/>
      <w:marBottom w:val="0"/>
      <w:divBdr>
        <w:top w:val="none" w:sz="0" w:space="0" w:color="auto"/>
        <w:left w:val="none" w:sz="0" w:space="0" w:color="auto"/>
        <w:bottom w:val="none" w:sz="0" w:space="0" w:color="auto"/>
        <w:right w:val="none" w:sz="0" w:space="0" w:color="auto"/>
      </w:divBdr>
    </w:div>
    <w:div w:id="1541169985">
      <w:bodyDiv w:val="1"/>
      <w:marLeft w:val="0"/>
      <w:marRight w:val="0"/>
      <w:marTop w:val="0"/>
      <w:marBottom w:val="0"/>
      <w:divBdr>
        <w:top w:val="none" w:sz="0" w:space="0" w:color="auto"/>
        <w:left w:val="none" w:sz="0" w:space="0" w:color="auto"/>
        <w:bottom w:val="none" w:sz="0" w:space="0" w:color="auto"/>
        <w:right w:val="none" w:sz="0" w:space="0" w:color="auto"/>
      </w:divBdr>
    </w:div>
    <w:div w:id="1551065552">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600217069">
      <w:bodyDiv w:val="1"/>
      <w:marLeft w:val="0"/>
      <w:marRight w:val="0"/>
      <w:marTop w:val="0"/>
      <w:marBottom w:val="0"/>
      <w:divBdr>
        <w:top w:val="none" w:sz="0" w:space="0" w:color="auto"/>
        <w:left w:val="none" w:sz="0" w:space="0" w:color="auto"/>
        <w:bottom w:val="none" w:sz="0" w:space="0" w:color="auto"/>
        <w:right w:val="none" w:sz="0" w:space="0" w:color="auto"/>
      </w:divBdr>
    </w:div>
    <w:div w:id="1619800607">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684045635">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711609076">
      <w:bodyDiv w:val="1"/>
      <w:marLeft w:val="0"/>
      <w:marRight w:val="0"/>
      <w:marTop w:val="0"/>
      <w:marBottom w:val="0"/>
      <w:divBdr>
        <w:top w:val="none" w:sz="0" w:space="0" w:color="auto"/>
        <w:left w:val="none" w:sz="0" w:space="0" w:color="auto"/>
        <w:bottom w:val="none" w:sz="0" w:space="0" w:color="auto"/>
        <w:right w:val="none" w:sz="0" w:space="0" w:color="auto"/>
      </w:divBdr>
    </w:div>
    <w:div w:id="1721202686">
      <w:bodyDiv w:val="1"/>
      <w:marLeft w:val="0"/>
      <w:marRight w:val="0"/>
      <w:marTop w:val="0"/>
      <w:marBottom w:val="0"/>
      <w:divBdr>
        <w:top w:val="none" w:sz="0" w:space="0" w:color="auto"/>
        <w:left w:val="none" w:sz="0" w:space="0" w:color="auto"/>
        <w:bottom w:val="none" w:sz="0" w:space="0" w:color="auto"/>
        <w:right w:val="none" w:sz="0" w:space="0" w:color="auto"/>
      </w:divBdr>
    </w:div>
    <w:div w:id="1797523695">
      <w:bodyDiv w:val="1"/>
      <w:marLeft w:val="0"/>
      <w:marRight w:val="0"/>
      <w:marTop w:val="0"/>
      <w:marBottom w:val="0"/>
      <w:divBdr>
        <w:top w:val="none" w:sz="0" w:space="0" w:color="auto"/>
        <w:left w:val="none" w:sz="0" w:space="0" w:color="auto"/>
        <w:bottom w:val="none" w:sz="0" w:space="0" w:color="auto"/>
        <w:right w:val="none" w:sz="0" w:space="0" w:color="auto"/>
      </w:divBdr>
    </w:div>
    <w:div w:id="1873377892">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893760600">
      <w:bodyDiv w:val="1"/>
      <w:marLeft w:val="0"/>
      <w:marRight w:val="0"/>
      <w:marTop w:val="0"/>
      <w:marBottom w:val="0"/>
      <w:divBdr>
        <w:top w:val="none" w:sz="0" w:space="0" w:color="auto"/>
        <w:left w:val="none" w:sz="0" w:space="0" w:color="auto"/>
        <w:bottom w:val="none" w:sz="0" w:space="0" w:color="auto"/>
        <w:right w:val="none" w:sz="0" w:space="0" w:color="auto"/>
      </w:divBdr>
    </w:div>
    <w:div w:id="1923491059">
      <w:bodyDiv w:val="1"/>
      <w:marLeft w:val="0"/>
      <w:marRight w:val="0"/>
      <w:marTop w:val="0"/>
      <w:marBottom w:val="0"/>
      <w:divBdr>
        <w:top w:val="none" w:sz="0" w:space="0" w:color="auto"/>
        <w:left w:val="none" w:sz="0" w:space="0" w:color="auto"/>
        <w:bottom w:val="none" w:sz="0" w:space="0" w:color="auto"/>
        <w:right w:val="none" w:sz="0" w:space="0" w:color="auto"/>
      </w:divBdr>
    </w:div>
    <w:div w:id="1952282415">
      <w:bodyDiv w:val="1"/>
      <w:marLeft w:val="0"/>
      <w:marRight w:val="0"/>
      <w:marTop w:val="0"/>
      <w:marBottom w:val="0"/>
      <w:divBdr>
        <w:top w:val="none" w:sz="0" w:space="0" w:color="auto"/>
        <w:left w:val="none" w:sz="0" w:space="0" w:color="auto"/>
        <w:bottom w:val="none" w:sz="0" w:space="0" w:color="auto"/>
        <w:right w:val="none" w:sz="0" w:space="0" w:color="auto"/>
      </w:divBdr>
    </w:div>
    <w:div w:id="1971668834">
      <w:bodyDiv w:val="1"/>
      <w:marLeft w:val="0"/>
      <w:marRight w:val="0"/>
      <w:marTop w:val="0"/>
      <w:marBottom w:val="0"/>
      <w:divBdr>
        <w:top w:val="none" w:sz="0" w:space="0" w:color="auto"/>
        <w:left w:val="none" w:sz="0" w:space="0" w:color="auto"/>
        <w:bottom w:val="none" w:sz="0" w:space="0" w:color="auto"/>
        <w:right w:val="none" w:sz="0" w:space="0" w:color="auto"/>
      </w:divBdr>
    </w:div>
    <w:div w:id="1987856371">
      <w:bodyDiv w:val="1"/>
      <w:marLeft w:val="0"/>
      <w:marRight w:val="0"/>
      <w:marTop w:val="0"/>
      <w:marBottom w:val="0"/>
      <w:divBdr>
        <w:top w:val="none" w:sz="0" w:space="0" w:color="auto"/>
        <w:left w:val="none" w:sz="0" w:space="0" w:color="auto"/>
        <w:bottom w:val="none" w:sz="0" w:space="0" w:color="auto"/>
        <w:right w:val="none" w:sz="0" w:space="0" w:color="auto"/>
      </w:divBdr>
    </w:div>
    <w:div w:id="1991321011">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27125622">
      <w:bodyDiv w:val="1"/>
      <w:marLeft w:val="0"/>
      <w:marRight w:val="0"/>
      <w:marTop w:val="0"/>
      <w:marBottom w:val="0"/>
      <w:divBdr>
        <w:top w:val="none" w:sz="0" w:space="0" w:color="auto"/>
        <w:left w:val="none" w:sz="0" w:space="0" w:color="auto"/>
        <w:bottom w:val="none" w:sz="0" w:space="0" w:color="auto"/>
        <w:right w:val="none" w:sz="0" w:space="0" w:color="auto"/>
      </w:divBdr>
    </w:div>
    <w:div w:id="2031686253">
      <w:bodyDiv w:val="1"/>
      <w:marLeft w:val="0"/>
      <w:marRight w:val="0"/>
      <w:marTop w:val="0"/>
      <w:marBottom w:val="0"/>
      <w:divBdr>
        <w:top w:val="none" w:sz="0" w:space="0" w:color="auto"/>
        <w:left w:val="none" w:sz="0" w:space="0" w:color="auto"/>
        <w:bottom w:val="none" w:sz="0" w:space="0" w:color="auto"/>
        <w:right w:val="none" w:sz="0" w:space="0" w:color="auto"/>
      </w:divBdr>
    </w:div>
    <w:div w:id="2053967000">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61248695">
      <w:bodyDiv w:val="1"/>
      <w:marLeft w:val="0"/>
      <w:marRight w:val="0"/>
      <w:marTop w:val="0"/>
      <w:marBottom w:val="0"/>
      <w:divBdr>
        <w:top w:val="none" w:sz="0" w:space="0" w:color="auto"/>
        <w:left w:val="none" w:sz="0" w:space="0" w:color="auto"/>
        <w:bottom w:val="none" w:sz="0" w:space="0" w:color="auto"/>
        <w:right w:val="none" w:sz="0" w:space="0" w:color="auto"/>
      </w:divBdr>
    </w:div>
    <w:div w:id="2069108099">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5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E5039443-3113-40E4-B7D8-E695260CE36F}"/>
</file>

<file path=customXml/itemProps3.xml><?xml version="1.0" encoding="utf-8"?>
<ds:datastoreItem xmlns:ds="http://schemas.openxmlformats.org/officeDocument/2006/customXml" ds:itemID="{0CFE3522-51AD-474C-AF10-2BB5E51EF921}"/>
</file>

<file path=customXml/itemProps4.xml><?xml version="1.0" encoding="utf-8"?>
<ds:datastoreItem xmlns:ds="http://schemas.openxmlformats.org/officeDocument/2006/customXml" ds:itemID="{F14A520C-669D-44FB-BD36-14545BCC0E1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247</cp:revision>
  <cp:lastPrinted>2025-04-15T17:18:00Z</cp:lastPrinted>
  <dcterms:created xsi:type="dcterms:W3CDTF">2023-06-22T13:57:00Z</dcterms:created>
  <dcterms:modified xsi:type="dcterms:W3CDTF">2026-03-18T15:25:09Z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