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349FF" w:rsidR="005F56B2" w:rsidP="00E80FEB" w:rsidRDefault="00F15FBA" w14:paraId="765BEF57" w14:textId="53721F6D">
      <w:pPr>
        <w:pStyle w:val="Ttulo"/>
        <w:outlineLvl w:val="0"/>
        <w:rPr>
          <w:lang w:val="es-PE"/>
        </w:rPr>
      </w:pPr>
      <w:r w:rsidRPr="00F349FF">
        <w:rPr>
          <w:lang w:val="es-PE"/>
        </w:rPr>
        <w:t>RESOLUCIÓN N</w:t>
      </w:r>
      <w:r w:rsidRPr="00F349FF" w:rsidR="001631D6">
        <w:rPr>
          <w:lang w:val="es-PE"/>
        </w:rPr>
        <w:t xml:space="preserve">° </w:t>
      </w:r>
      <w:r w:rsidRPr="00F349FF" w:rsidR="00015A30">
        <w:rPr>
          <w:lang w:val="es-PE"/>
        </w:rPr>
        <w:t>0</w:t>
      </w:r>
      <w:r w:rsidRPr="00F349FF" w:rsidR="001819BA">
        <w:rPr>
          <w:lang w:val="es-PE"/>
        </w:rPr>
        <w:t>6</w:t>
      </w:r>
      <w:r w:rsidRPr="00F349FF" w:rsidR="001E06DF">
        <w:rPr>
          <w:lang w:val="es-PE"/>
        </w:rPr>
        <w:t>9</w:t>
      </w:r>
      <w:r w:rsidRPr="00F349FF" w:rsidR="001631D6">
        <w:rPr>
          <w:lang w:val="es-PE"/>
        </w:rPr>
        <w:t>/2</w:t>
      </w:r>
      <w:r w:rsidRPr="00F349FF" w:rsidR="0073373B">
        <w:rPr>
          <w:lang w:val="es-PE"/>
        </w:rPr>
        <w:t>5</w:t>
      </w:r>
    </w:p>
    <w:p w:rsidRPr="00F349FF" w:rsidR="00CC5FE6" w:rsidP="00CC5FE6" w:rsidRDefault="00CC5FE6" w14:paraId="68B3B44F" w14:textId="77777777">
      <w:pPr>
        <w:jc w:val="both"/>
        <w:outlineLvl w:val="0"/>
        <w:rPr>
          <w:lang w:val="es-PE"/>
        </w:rPr>
      </w:pPr>
    </w:p>
    <w:p w:rsidR="00BB4CEC" w:rsidP="00BB4CEC" w:rsidRDefault="00BB4CEC" w14:paraId="46BF1EDD" w14:textId="77777777">
      <w:pPr>
        <w:rPr>
          <w:b/>
        </w:rPr>
      </w:pPr>
      <w:r w:rsidRPr="00F349FF">
        <w:rPr>
          <w:b/>
        </w:rPr>
        <w:t>VISTOS:</w:t>
      </w:r>
    </w:p>
    <w:p w:rsidRPr="00F349FF" w:rsidR="00F349FF" w:rsidP="00BB4CEC" w:rsidRDefault="00F349FF" w14:paraId="0E6087B8" w14:textId="77777777">
      <w:pPr>
        <w:rPr>
          <w:b/>
        </w:rPr>
      </w:pPr>
    </w:p>
    <w:p w:rsidR="00BB4CEC" w:rsidP="6E7514F9" w:rsidRDefault="00BB4CEC" w14:paraId="2D0FEC49" w14:textId="6B2A2A28">
      <w:pPr>
        <w:jc w:val="both"/>
        <w:rPr>
          <w:b w:val="1"/>
          <w:bCs w:val="1"/>
        </w:rPr>
      </w:pPr>
      <w:r w:rsidR="00BB4CEC">
        <w:rPr/>
        <w:t xml:space="preserve">Que, </w:t>
      </w:r>
      <w:bookmarkStart w:name="_Hlk185247457" w:id="0"/>
      <w:bookmarkStart w:name="_Hlk107662905" w:id="1"/>
      <w:r w:rsidRPr="6E7514F9" w:rsidR="3D2ED170">
        <w:rPr>
          <w:b w:val="1"/>
          <w:bCs w:val="1"/>
          <w:lang w:val="es-MX"/>
        </w:rPr>
        <w:t>...............................................................................</w:t>
      </w:r>
      <w:bookmarkEnd w:id="1"/>
      <w:r w:rsidRPr="6E7514F9" w:rsidR="00BB4CEC">
        <w:rPr>
          <w:b w:val="1"/>
          <w:bCs w:val="1"/>
          <w:lang w:val="es-MX"/>
        </w:rPr>
        <w:t xml:space="preserve">  </w:t>
      </w:r>
      <w:bookmarkEnd w:id="0"/>
      <w:r w:rsidRPr="6E7514F9" w:rsidR="00BB4CEC">
        <w:rPr>
          <w:lang w:val="es-MX"/>
        </w:rPr>
        <w:t>interpone</w:t>
      </w:r>
      <w:r w:rsidRPr="6E7514F9" w:rsidR="00BB4CEC">
        <w:rPr>
          <w:lang w:val="es-MX"/>
        </w:rPr>
        <w:t xml:space="preserve"> </w:t>
      </w:r>
      <w:r w:rsidR="00BB4CEC">
        <w:rPr/>
        <w:t xml:space="preserve">reclamación ante esta Defensoría del Asegurado (DEFASEG) contra </w:t>
      </w:r>
      <w:r w:rsidRPr="6E7514F9" w:rsidR="5A7B6570">
        <w:rPr>
          <w:b w:val="1"/>
          <w:bCs w:val="1"/>
        </w:rPr>
        <w:t>.......................................</w:t>
      </w:r>
      <w:r w:rsidRPr="6E7514F9" w:rsidR="00BB4CEC">
        <w:rPr>
          <w:lang w:val="es-MX"/>
        </w:rPr>
        <w:t>, solicitando se le</w:t>
      </w:r>
      <w:r w:rsidR="00BB4CEC">
        <w:rPr/>
        <w:t xml:space="preserve"> otorgue la cobertura de “</w:t>
      </w:r>
      <w:r w:rsidRPr="6E7514F9" w:rsidR="00BB4CEC">
        <w:rPr>
          <w:color w:val="000000" w:themeColor="text1" w:themeTint="FF" w:themeShade="FF"/>
          <w:lang w:eastAsia="es-PE"/>
        </w:rPr>
        <w:t>compras no reconocidas por internet”</w:t>
      </w:r>
      <w:r w:rsidR="00BB4CEC">
        <w:rPr/>
        <w:t xml:space="preserve"> del</w:t>
      </w:r>
      <w:r w:rsidRPr="6E7514F9" w:rsidR="00BB4CEC">
        <w:rPr>
          <w:b w:val="1"/>
          <w:bCs w:val="1"/>
          <w:lang w:val="es-MX"/>
        </w:rPr>
        <w:t xml:space="preserve"> SEGURO DE PROTECCIÓN DE TARJETA</w:t>
      </w:r>
      <w:bookmarkStart w:name="OLE_LINK2" w:id="2"/>
      <w:r w:rsidRPr="6E7514F9" w:rsidR="00BB4CEC">
        <w:rPr>
          <w:b w:val="1"/>
          <w:bCs w:val="1"/>
          <w:lang w:val="es-MX"/>
        </w:rPr>
        <w:t xml:space="preserve"> – Póliza No </w:t>
      </w:r>
      <w:r w:rsidRPr="6E7514F9" w:rsidR="2278FA98">
        <w:rPr>
          <w:b w:val="1"/>
          <w:bCs w:val="1"/>
        </w:rPr>
        <w:t>.........................</w:t>
      </w:r>
      <w:r w:rsidRPr="6E7514F9" w:rsidR="00BB4CEC">
        <w:rPr>
          <w:b w:val="1"/>
          <w:bCs w:val="1"/>
        </w:rPr>
        <w:t xml:space="preserve"> / </w:t>
      </w:r>
      <w:r w:rsidRPr="6E7514F9" w:rsidR="5EF1B1D3">
        <w:rPr>
          <w:b w:val="1"/>
          <w:bCs w:val="1"/>
        </w:rPr>
        <w:t>.........................</w:t>
      </w:r>
    </w:p>
    <w:p w:rsidRPr="00F349FF" w:rsidR="00FB5C9C" w:rsidP="00BB4CEC" w:rsidRDefault="00FB5C9C" w14:paraId="4F3167CD" w14:textId="77777777">
      <w:pPr>
        <w:jc w:val="both"/>
      </w:pPr>
    </w:p>
    <w:bookmarkEnd w:id="2"/>
    <w:p w:rsidRPr="00F349FF" w:rsidR="00BB4CEC" w:rsidP="00BB4CEC" w:rsidRDefault="00BB4CEC" w14:paraId="56E88ADA" w14:textId="77777777">
      <w:pPr>
        <w:jc w:val="both"/>
        <w:rPr>
          <w:rFonts w:eastAsia="Arial Unicode MS"/>
        </w:rPr>
      </w:pPr>
      <w:r w:rsidRPr="00F349FF">
        <w:rPr>
          <w:rFonts w:eastAsia="Arial Unicode MS"/>
        </w:rPr>
        <w:t>Que, la señalada reclamación cumple con los requisitos de materia, cuantía y oportunidad establecidos en el Reglamento de la DEFASEG (http://www.defaseg.com.pe/reglamento).</w:t>
      </w:r>
    </w:p>
    <w:p w:rsidRPr="00F349FF" w:rsidR="00BB4CEC" w:rsidP="00BB4CEC" w:rsidRDefault="00BB4CEC" w14:paraId="3223C156" w14:textId="77777777">
      <w:pPr>
        <w:tabs>
          <w:tab w:val="left" w:pos="2160"/>
        </w:tabs>
        <w:jc w:val="both"/>
      </w:pPr>
    </w:p>
    <w:p w:rsidRPr="00F349FF" w:rsidR="00BB4CEC" w:rsidP="00BB4CEC" w:rsidRDefault="00BB4CEC" w14:paraId="20BCC88D" w14:textId="77777777">
      <w:pPr>
        <w:tabs>
          <w:tab w:val="num" w:pos="720"/>
        </w:tabs>
        <w:jc w:val="both"/>
      </w:pPr>
      <w:r w:rsidRPr="00F349FF">
        <w:t xml:space="preserve">Que, habiéndosele corrido traslado de la respectiva reclamación, la aseguradora presentó sus descargos. </w:t>
      </w:r>
    </w:p>
    <w:p w:rsidRPr="00F349FF" w:rsidR="00BB4CEC" w:rsidP="00BB4CEC" w:rsidRDefault="00BB4CEC" w14:paraId="05668791" w14:textId="77777777">
      <w:pPr>
        <w:tabs>
          <w:tab w:val="num" w:pos="720"/>
        </w:tabs>
        <w:jc w:val="both"/>
      </w:pPr>
    </w:p>
    <w:p w:rsidRPr="00F349FF" w:rsidR="00BB4CEC" w:rsidP="00BB4CEC" w:rsidRDefault="00BB4CEC" w14:paraId="496B7DF2" w14:textId="77777777">
      <w:pPr>
        <w:tabs>
          <w:tab w:val="num" w:pos="720"/>
        </w:tabs>
        <w:jc w:val="both"/>
      </w:pPr>
      <w:r w:rsidRPr="00F349FF">
        <w:t xml:space="preserve">Que, el 17 de marzo de 2025 se realizó la audiencia de vista en la plataforma virtual de la Defensoría, con la participación de ambas partes, quienes sustentaron su posición y absolvieron las preguntas formuladas, conforme consta </w:t>
      </w:r>
      <w:r w:rsidRPr="00F349FF">
        <w:rPr>
          <w:lang w:val="es-419"/>
        </w:rPr>
        <w:t>en</w:t>
      </w:r>
      <w:r w:rsidRPr="00F349FF">
        <w:t xml:space="preserve"> la correspondiente acta</w:t>
      </w:r>
      <w:r w:rsidRPr="00F349FF">
        <w:rPr>
          <w:lang w:val="es-419"/>
        </w:rPr>
        <w:t>;</w:t>
      </w:r>
      <w:r w:rsidRPr="00F349FF">
        <w:t xml:space="preserve"> </w:t>
      </w:r>
    </w:p>
    <w:p w:rsidRPr="00F349FF" w:rsidR="00BB4CEC" w:rsidP="00BB4CEC" w:rsidRDefault="00BB4CEC" w14:paraId="3BCB9690" w14:textId="77777777">
      <w:pPr>
        <w:jc w:val="both"/>
      </w:pPr>
    </w:p>
    <w:p w:rsidR="00BB4CEC" w:rsidP="00BB4CEC" w:rsidRDefault="00BB4CEC" w14:paraId="0C5BF080" w14:textId="77777777">
      <w:pPr>
        <w:autoSpaceDE w:val="0"/>
        <w:autoSpaceDN w:val="0"/>
        <w:adjustRightInd w:val="0"/>
        <w:jc w:val="both"/>
        <w:rPr>
          <w:color w:val="000000"/>
          <w:lang w:eastAsia="es-PE"/>
        </w:rPr>
      </w:pPr>
      <w:r w:rsidRPr="00F349FF">
        <w:t>Que, en síntesis, la posición del reclamante es la siguiente: (1)</w:t>
      </w:r>
      <w:bookmarkStart w:name="_Hlk26782453" w:id="3"/>
      <w:r w:rsidRPr="00F349FF">
        <w:t xml:space="preserve"> </w:t>
      </w:r>
      <w:bookmarkStart w:name="_Hlk185247602" w:id="4"/>
      <w:r w:rsidRPr="00F349FF">
        <w:rPr>
          <w:color w:val="000000"/>
          <w:lang w:eastAsia="es-PE"/>
        </w:rPr>
        <w:t xml:space="preserve">fue víctima de robo en diferentes entidades bancarias, entre ellas el BCP, como consecuencia de un secuestro; (2) el 20 de noviembre de 2024, la aseguradora le remite un recibo por indemnización por el reclamo de robo, liquidando la suma de solo S/ 158; (3) la aseguradora considera que hubo un incidente previo referido a compras por internet o similares a este y que por esta razón la mayor parte del robo que sucedió por el secuestro fue por compras en internet o similares; (4) si bien se hicieron compras por internet, no las hizo el asegurado, sino que se usó el celular abajo amenazas y apuntándole con un arma, por lo que estuvo retenido y usaron cualquier método posible para sacar la cantidad de dinero de sus tarjetas; (5) en el caso del BCP, fue un robo de más de 20,000.00 soles; (6) el robo no puede ser considerado como robo cibernético, porque no clonaron su tarjeta, no clonaron sus datos, ni todo lo que contempla un robo cibernético; (7) según el Código Penal Peruano, el robo cibernético se encuentra regulado en el Título XIII, Capítulo II, relacionado con los delitos informáticos, artículo 207-A, 207-B, 207-C; (8) el robo cibernético en Perú se considera un delito contra la propiedad y se tipifica cuando se cumplen los siguientes requisitos: i. Acceso indebido a un sistema informático, base de datos o redes de comunicación, </w:t>
      </w:r>
      <w:proofErr w:type="spellStart"/>
      <w:r w:rsidRPr="00F349FF">
        <w:rPr>
          <w:color w:val="000000"/>
          <w:lang w:eastAsia="es-PE"/>
        </w:rPr>
        <w:t>ii</w:t>
      </w:r>
      <w:proofErr w:type="spellEnd"/>
      <w:r w:rsidRPr="00F349FF">
        <w:rPr>
          <w:color w:val="000000"/>
          <w:lang w:eastAsia="es-PE"/>
        </w:rPr>
        <w:t xml:space="preserve">. Apoderamiento de datos, información o bienes virtuales y </w:t>
      </w:r>
      <w:proofErr w:type="spellStart"/>
      <w:r w:rsidRPr="00F349FF">
        <w:rPr>
          <w:color w:val="000000"/>
          <w:lang w:eastAsia="es-PE"/>
        </w:rPr>
        <w:t>iii</w:t>
      </w:r>
      <w:proofErr w:type="spellEnd"/>
      <w:r w:rsidRPr="00F349FF">
        <w:rPr>
          <w:color w:val="000000"/>
          <w:lang w:eastAsia="es-PE"/>
        </w:rPr>
        <w:t>. Intención de obtener beneficio económico o causar daño; (9)  en su caso, se presentó un uso forzado de tarjetas digitales por secuestro, es decir, delito que se tipifica como una usurpación de tarjetas de crédito, débito o similares mediante violencia, intimidación o secuestro; (10) existen diferencias entre uno y otro delito: (i) por el Medio empleado: el Robo cibernético implica acceso indebido a sistemas informáticos, mientras que uso forzado de tarjetas digitales por secuestro implica usurpación física de tarjetas; (</w:t>
      </w:r>
      <w:proofErr w:type="spellStart"/>
      <w:r w:rsidRPr="00F349FF">
        <w:rPr>
          <w:color w:val="000000"/>
          <w:lang w:eastAsia="es-PE"/>
        </w:rPr>
        <w:t>ii</w:t>
      </w:r>
      <w:proofErr w:type="spellEnd"/>
      <w:r w:rsidRPr="00F349FF">
        <w:rPr>
          <w:color w:val="000000"/>
          <w:lang w:eastAsia="es-PE"/>
        </w:rPr>
        <w:t>) por el Método: el Robo cibernético puede realizarse mediante phishing, malware, etc., mientras que uso forzado de tarjetas digitales por secuestro implica violencia, intimidación o secuestro; y, (</w:t>
      </w:r>
      <w:proofErr w:type="spellStart"/>
      <w:r w:rsidRPr="00F349FF">
        <w:rPr>
          <w:color w:val="000000"/>
          <w:lang w:eastAsia="es-PE"/>
        </w:rPr>
        <w:t>iii</w:t>
      </w:r>
      <w:proofErr w:type="spellEnd"/>
      <w:r w:rsidRPr="00F349FF">
        <w:rPr>
          <w:color w:val="000000"/>
          <w:lang w:eastAsia="es-PE"/>
        </w:rPr>
        <w:t xml:space="preserve">) por la Pena: Uso forzado de tarjetas digitales por secuestro tiene una pena más severa debido a la violencia o intimidación involucrada. </w:t>
      </w:r>
    </w:p>
    <w:p w:rsidRPr="00F349FF" w:rsidR="00FB5C9C" w:rsidP="00BB4CEC" w:rsidRDefault="00FB5C9C" w14:paraId="21B6F96B" w14:textId="77777777">
      <w:pPr>
        <w:autoSpaceDE w:val="0"/>
        <w:autoSpaceDN w:val="0"/>
        <w:adjustRightInd w:val="0"/>
        <w:jc w:val="both"/>
        <w:rPr>
          <w:color w:val="000000"/>
          <w:lang w:eastAsia="es-PE"/>
        </w:rPr>
      </w:pPr>
    </w:p>
    <w:bookmarkEnd w:id="3"/>
    <w:bookmarkEnd w:id="4"/>
    <w:p w:rsidR="00BB4CEC" w:rsidP="00BB4CEC" w:rsidRDefault="00BB4CEC" w14:paraId="3E261E57" w14:textId="77777777">
      <w:pPr>
        <w:autoSpaceDE w:val="0"/>
        <w:autoSpaceDN w:val="0"/>
        <w:adjustRightInd w:val="0"/>
        <w:jc w:val="both"/>
        <w:rPr>
          <w:color w:val="000000"/>
          <w:lang w:eastAsia="es-PE"/>
        </w:rPr>
      </w:pPr>
      <w:r w:rsidRPr="00F349FF">
        <w:lastRenderedPageBreak/>
        <w:t>Que, por su parte y en resumen la compañía de seguros sostiene que: (1)</w:t>
      </w:r>
      <w:r w:rsidRPr="00F349FF">
        <w:rPr>
          <w:color w:val="000000"/>
          <w:lang w:eastAsia="es-PE"/>
        </w:rPr>
        <w:t xml:space="preserve"> el asegurado tuvo un primer siniestro con fecha 7 de septiembre de 2024 en el cual solicitó la activación de la cobertura de "compras no reconocidas por internet</w:t>
      </w:r>
      <w:r w:rsidRPr="00F349FF">
        <w:rPr>
          <w:b/>
          <w:bCs/>
          <w:color w:val="000000"/>
          <w:lang w:eastAsia="es-PE"/>
        </w:rPr>
        <w:t xml:space="preserve">", </w:t>
      </w:r>
      <w:r w:rsidRPr="00F349FF">
        <w:rPr>
          <w:color w:val="000000"/>
          <w:lang w:eastAsia="es-PE"/>
        </w:rPr>
        <w:t>con el uso de su tarjeta de BCP; (2) se procedió a aprobar la cobertura reclamada y efectuar el pago de la indemnización al asegurado por un total de S/ 1,679.00; (3) pocos días después, con fecha 17 de septiembre de 2024 el asegurado tuvo un segundo siniestro, en el que señala que fue víctima de secuestro y que los sujetos que intervinieron realizaron diversos consumos no reconocidos en sus cuentas bancarias, por una suma total de S/ 25,456.00, por lo que procedió a solicitar nuevamente la activación de las coberturas de su seguro; (4) en este segundo siniestro el asegurado solicitó la activación de las siguientes coberturas de su seguro: (i) Compras no reconocidas en locales comerciales, y, (</w:t>
      </w:r>
      <w:proofErr w:type="spellStart"/>
      <w:r w:rsidRPr="00F349FF">
        <w:rPr>
          <w:color w:val="000000"/>
          <w:lang w:eastAsia="es-PE"/>
        </w:rPr>
        <w:t>ii</w:t>
      </w:r>
      <w:proofErr w:type="spellEnd"/>
      <w:r w:rsidRPr="00F349FF">
        <w:rPr>
          <w:color w:val="000000"/>
          <w:lang w:eastAsia="es-PE"/>
        </w:rPr>
        <w:t xml:space="preserve">) Compras no reconocidas por internet; (5) sobre ese segundo siniestro, la cobertura fue aprobada parcialmente, solo en lo relacionado con las “compras no reconocidas en locales comerciales" por la suma de S/ 158.00, rechazando la cobertura de "compras no reconocidas por internet" al estar limitada a un siniestro por año de acuerdo con las condiciones de la póliza; (6) las coberturas contratadas por el asegurado son las siguientes: i. Compras no reconocidas por el asegurado en locales comerciales utilizando sus tarjetas de crédito y/o débito; </w:t>
      </w:r>
      <w:proofErr w:type="spellStart"/>
      <w:r w:rsidRPr="00F349FF">
        <w:rPr>
          <w:color w:val="000000"/>
          <w:lang w:eastAsia="es-PE"/>
        </w:rPr>
        <w:t>ii</w:t>
      </w:r>
      <w:proofErr w:type="spellEnd"/>
      <w:r w:rsidRPr="00F349FF">
        <w:rPr>
          <w:color w:val="000000"/>
          <w:lang w:eastAsia="es-PE"/>
        </w:rPr>
        <w:t xml:space="preserve">. Compras no reconocidas por el asegurado por internet utilizando sus tarjetas de crédito y/o débito; </w:t>
      </w:r>
      <w:proofErr w:type="spellStart"/>
      <w:r w:rsidRPr="00F349FF">
        <w:rPr>
          <w:color w:val="000000"/>
          <w:lang w:eastAsia="es-PE"/>
        </w:rPr>
        <w:t>iii</w:t>
      </w:r>
      <w:proofErr w:type="spellEnd"/>
      <w:r w:rsidRPr="00F349FF">
        <w:rPr>
          <w:color w:val="000000"/>
          <w:lang w:eastAsia="es-PE"/>
        </w:rPr>
        <w:t xml:space="preserve">. Transferencias no reconocidas por el asegurado a través de canales virtuales; </w:t>
      </w:r>
      <w:proofErr w:type="spellStart"/>
      <w:r w:rsidRPr="00F349FF">
        <w:rPr>
          <w:color w:val="000000"/>
          <w:lang w:eastAsia="es-PE"/>
        </w:rPr>
        <w:t>iv</w:t>
      </w:r>
      <w:proofErr w:type="spellEnd"/>
      <w:r w:rsidRPr="00F349FF">
        <w:rPr>
          <w:color w:val="000000"/>
          <w:lang w:eastAsia="es-PE"/>
        </w:rPr>
        <w:t xml:space="preserve">. Retiros de dinero no reconocidos por el asegurado en cajeros automáticos; y v. Robo de dinero retirado de cajeros automáticos o agente; (7) el primer siniestro del día 7 de septiembre del 2024 afectó la cobertura de "compras no reconocidas por internet" (cobertura </w:t>
      </w:r>
      <w:proofErr w:type="spellStart"/>
      <w:r w:rsidRPr="00F349FF">
        <w:rPr>
          <w:color w:val="000000"/>
          <w:lang w:eastAsia="es-PE"/>
        </w:rPr>
        <w:t>ii</w:t>
      </w:r>
      <w:proofErr w:type="spellEnd"/>
      <w:r w:rsidRPr="00F349FF">
        <w:rPr>
          <w:color w:val="000000"/>
          <w:lang w:eastAsia="es-PE"/>
        </w:rPr>
        <w:t xml:space="preserve">.) y por el cual fue indemnizado con la suma de S/ 1,679.00; (8) el seguro contratado establecía una clara y concisa limitación a las coberturas estipuladas, esto es, que cada una se encontraba limitada a un solo evento por año; es decir, no procede una cobertura que ya haya sido activada en el mismo periodo anual; (9) el asegurado reclama la activación por un segundo siniestro, siendo que casi todos los consumos indebidos (a excepción de uno) fueron realizados por internet; es decir, entran en la cobertura </w:t>
      </w:r>
      <w:proofErr w:type="spellStart"/>
      <w:r w:rsidRPr="00F349FF">
        <w:rPr>
          <w:color w:val="000000"/>
          <w:lang w:eastAsia="es-PE"/>
        </w:rPr>
        <w:t>ii</w:t>
      </w:r>
      <w:proofErr w:type="spellEnd"/>
      <w:r w:rsidRPr="00F349FF">
        <w:rPr>
          <w:color w:val="000000"/>
          <w:lang w:eastAsia="es-PE"/>
        </w:rPr>
        <w:t>. sobre "compras no reconocidas por internet"; (10) solo uno de los consumos indebidos fue realizado de manera presencial en un establecimiento comercial, entrando en la cobertura i. de "compras no reconocidas en locales comerciales"; (11) teniendo en cuenta la condición contractual antes mencionada que limita las coberturas a solo un siniestro por año, se procedió a aprobar únicamente la cobertura i. de "compras no reconocidas en locales comerciales por el monto de S/158.</w:t>
      </w:r>
    </w:p>
    <w:p w:rsidRPr="00F349FF" w:rsidR="00FB5C9C" w:rsidP="00BB4CEC" w:rsidRDefault="00FB5C9C" w14:paraId="6B85B372" w14:textId="77777777">
      <w:pPr>
        <w:autoSpaceDE w:val="0"/>
        <w:autoSpaceDN w:val="0"/>
        <w:adjustRightInd w:val="0"/>
        <w:jc w:val="both"/>
        <w:rPr>
          <w:color w:val="000000"/>
          <w:lang w:eastAsia="es-PE"/>
        </w:rPr>
      </w:pPr>
    </w:p>
    <w:p w:rsidR="00BB4CEC" w:rsidP="00BB4CEC" w:rsidRDefault="00BB4CEC" w14:paraId="5766C027" w14:textId="77777777">
      <w:pPr>
        <w:jc w:val="both"/>
        <w:rPr>
          <w:b/>
        </w:rPr>
      </w:pPr>
      <w:r w:rsidRPr="00F349FF">
        <w:rPr>
          <w:b/>
        </w:rPr>
        <w:t xml:space="preserve">CONSIDERANDO: </w:t>
      </w:r>
    </w:p>
    <w:p w:rsidRPr="00F349FF" w:rsidR="00FB5C9C" w:rsidP="00BB4CEC" w:rsidRDefault="00FB5C9C" w14:paraId="21113DC3" w14:textId="77777777">
      <w:pPr>
        <w:jc w:val="both"/>
        <w:rPr>
          <w:b/>
        </w:rPr>
      </w:pPr>
    </w:p>
    <w:p w:rsidR="00BB4CEC" w:rsidP="00BB4CEC" w:rsidRDefault="00BB4CEC" w14:paraId="1BE67C20" w14:textId="77777777">
      <w:pPr>
        <w:jc w:val="both"/>
        <w:rPr>
          <w:rStyle w:val="Textoennegrita"/>
          <w:b w:val="0"/>
        </w:rPr>
      </w:pPr>
      <w:r w:rsidRPr="00F349FF">
        <w:rPr>
          <w:b/>
          <w:u w:val="single"/>
        </w:rPr>
        <w:t>PRIMERO</w:t>
      </w:r>
      <w:r w:rsidRPr="00F349FF">
        <w:t xml:space="preserve">: Conforme al Reglamento de la Defensoría del Asegurado, </w:t>
      </w:r>
      <w:r w:rsidRPr="00F349FF">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349FF" w:rsidR="00FB5C9C" w:rsidP="00BB4CEC" w:rsidRDefault="00FB5C9C" w14:paraId="671888A5" w14:textId="77777777">
      <w:pPr>
        <w:jc w:val="both"/>
        <w:rPr>
          <w:rStyle w:val="Textoennegrita"/>
          <w:b w:val="0"/>
        </w:rPr>
      </w:pPr>
    </w:p>
    <w:p w:rsidR="00BB4CEC" w:rsidP="00BB4CEC" w:rsidRDefault="00BB4CEC" w14:paraId="743496F0" w14:textId="77777777">
      <w:pPr>
        <w:jc w:val="both"/>
        <w:rPr>
          <w:rStyle w:val="Textoennegrita"/>
          <w:b w:val="0"/>
        </w:rPr>
      </w:pPr>
      <w:r w:rsidRPr="00F349FF">
        <w:rPr>
          <w:rStyle w:val="Textoennegrita"/>
          <w:u w:val="single"/>
        </w:rPr>
        <w:t>SEGUNDO</w:t>
      </w:r>
      <w:r w:rsidRPr="00F349FF">
        <w:rPr>
          <w:rStyle w:val="Textoennegrita"/>
        </w:rPr>
        <w:t>:</w:t>
      </w:r>
      <w:r w:rsidRPr="00F349FF">
        <w:rPr>
          <w:rStyle w:val="Textoennegrita"/>
          <w:b w:val="0"/>
        </w:rPr>
        <w:t xml:space="preserve"> </w:t>
      </w:r>
      <w:r w:rsidRPr="00F349FF">
        <w:t xml:space="preserve">Asimismo, de acuerdo a </w:t>
      </w:r>
      <w:r w:rsidRPr="00F349FF">
        <w:rPr>
          <w:rStyle w:val="Textoennegrita"/>
          <w:b w:val="0"/>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w:t>
      </w:r>
      <w:r w:rsidRPr="00F349FF">
        <w:rPr>
          <w:rStyle w:val="Textoennegrita"/>
          <w:b w:val="0"/>
        </w:rPr>
        <w:lastRenderedPageBreak/>
        <w:t>manera que las reclamaciones por materias distintas al otorgamiento de cobertura, como pueden las pretensiones indemnizatorias por daños y perjuicios, por reembolso de gastos, o idoneidad de servicios, son ajenas a la competencia funcional de esta Defensoría.</w:t>
      </w:r>
    </w:p>
    <w:p w:rsidRPr="00F349FF" w:rsidR="00FB5C9C" w:rsidP="00BB4CEC" w:rsidRDefault="00FB5C9C" w14:paraId="16FF8346" w14:textId="77777777">
      <w:pPr>
        <w:jc w:val="both"/>
        <w:rPr>
          <w:rStyle w:val="Textoennegrita"/>
          <w:b w:val="0"/>
        </w:rPr>
      </w:pPr>
    </w:p>
    <w:p w:rsidRPr="00F349FF" w:rsidR="00BB4CEC" w:rsidP="00BB4CEC" w:rsidRDefault="00BB4CEC" w14:paraId="208F61B0" w14:textId="77777777">
      <w:pPr>
        <w:jc w:val="both"/>
      </w:pPr>
      <w:r w:rsidRPr="00F349FF">
        <w:rPr>
          <w:rStyle w:val="Textoennegrita"/>
          <w:u w:val="single"/>
        </w:rPr>
        <w:t>TERCERO</w:t>
      </w:r>
      <w:r w:rsidRPr="00F349FF">
        <w:rPr>
          <w:rStyle w:val="Textoennegrita"/>
        </w:rPr>
        <w:t>:</w:t>
      </w:r>
      <w:r w:rsidRPr="00F349FF">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349FF" w:rsidR="00BB4CEC" w:rsidP="00BB4CEC" w:rsidRDefault="00BB4CEC" w14:paraId="37A35103" w14:textId="77777777">
      <w:pPr>
        <w:jc w:val="both"/>
      </w:pPr>
    </w:p>
    <w:p w:rsidRPr="00F349FF" w:rsidR="00BB4CEC" w:rsidP="00BB4CEC" w:rsidRDefault="00BB4CEC" w14:paraId="0F67C326" w14:textId="77777777">
      <w:pPr>
        <w:contextualSpacing/>
        <w:jc w:val="both"/>
      </w:pPr>
      <w:r w:rsidRPr="00F349FF">
        <w:rPr>
          <w:b/>
          <w:u w:val="single"/>
        </w:rPr>
        <w:t>CUARTO</w:t>
      </w:r>
      <w:r w:rsidRPr="00F349FF">
        <w:rPr>
          <w:b/>
        </w:rPr>
        <w:t>:</w:t>
      </w:r>
      <w:r w:rsidRPr="00F349FF">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349FF" w:rsidR="00BB4CEC" w:rsidP="00BB4CEC" w:rsidRDefault="00BB4CEC" w14:paraId="1AB6413A" w14:textId="77777777">
      <w:pPr>
        <w:jc w:val="both"/>
        <w:rPr>
          <w:rStyle w:val="Textoennegrita"/>
          <w:u w:val="single"/>
        </w:rPr>
      </w:pPr>
    </w:p>
    <w:p w:rsidRPr="00F349FF" w:rsidR="00BB4CEC" w:rsidP="00BB4CEC" w:rsidRDefault="00BB4CEC" w14:paraId="5CF11F4B" w14:textId="77777777">
      <w:pPr>
        <w:jc w:val="both"/>
        <w:rPr>
          <w:bCs/>
        </w:rPr>
      </w:pPr>
      <w:r w:rsidRPr="00F349FF">
        <w:rPr>
          <w:rStyle w:val="Textoennegrita"/>
          <w:u w:val="single"/>
        </w:rPr>
        <w:t>QUINTO</w:t>
      </w:r>
      <w:r w:rsidRPr="00F349FF">
        <w:rPr>
          <w:rStyle w:val="Textoennegrita"/>
        </w:rPr>
        <w:t>:</w:t>
      </w:r>
      <w:r w:rsidRPr="00F349FF">
        <w:rPr>
          <w:rStyle w:val="Textoennegrita"/>
          <w:b w:val="0"/>
        </w:rPr>
        <w:t xml:space="preserve"> En materia procesal</w:t>
      </w:r>
      <w:r w:rsidRPr="00F349FF">
        <w:t>, corresponde a quien invoca hechos probar su existencia, carga procesal a la que refiere el artículo 196 del Código Procesal Civil, salvo que se acoja a alguna presunción legal de carácter relativo o absoluto.</w:t>
      </w:r>
    </w:p>
    <w:p w:rsidRPr="00F349FF" w:rsidR="00BB4CEC" w:rsidP="00BB4CEC" w:rsidRDefault="00BB4CEC" w14:paraId="294A5631" w14:textId="77777777">
      <w:pPr>
        <w:jc w:val="both"/>
        <w:rPr>
          <w:b/>
          <w:u w:val="single"/>
        </w:rPr>
      </w:pPr>
    </w:p>
    <w:p w:rsidRPr="00F349FF" w:rsidR="00BB4CEC" w:rsidP="00BB4CEC" w:rsidRDefault="00BB4CEC" w14:paraId="23D95664" w14:textId="77777777">
      <w:pPr>
        <w:jc w:val="both"/>
      </w:pPr>
      <w:r w:rsidRPr="00F349FF">
        <w:rPr>
          <w:b/>
          <w:u w:val="single"/>
        </w:rPr>
        <w:t>SEXTO</w:t>
      </w:r>
      <w:r w:rsidRPr="00F349FF">
        <w:rPr>
          <w:b/>
        </w:rPr>
        <w:t>:</w:t>
      </w:r>
      <w:r w:rsidRPr="00F349FF">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a un segundo evento anual y si excede el límite de cobertura del seguro contratado.</w:t>
      </w:r>
    </w:p>
    <w:p w:rsidRPr="00F349FF" w:rsidR="00BB4CEC" w:rsidP="00BB4CEC" w:rsidRDefault="00BB4CEC" w14:paraId="63D403D5" w14:textId="77777777">
      <w:pPr>
        <w:jc w:val="both"/>
      </w:pPr>
    </w:p>
    <w:p w:rsidRPr="00F349FF" w:rsidR="00BB4CEC" w:rsidP="00BB4CEC" w:rsidRDefault="00BB4CEC" w14:paraId="57A3E37C" w14:textId="77777777">
      <w:pPr>
        <w:jc w:val="both"/>
      </w:pPr>
      <w:r w:rsidRPr="00F349FF">
        <w:rPr>
          <w:b/>
          <w:u w:val="single"/>
        </w:rPr>
        <w:t>SÉPTIMO</w:t>
      </w:r>
      <w:r w:rsidRPr="00F349FF">
        <w:rPr>
          <w:b/>
        </w:rPr>
        <w:t>:</w:t>
      </w:r>
      <w:r w:rsidRPr="00F349FF">
        <w:t xml:space="preserve"> En el certificado del Seguro de Protección de Tarjeta PLUS BCP se detallan las coberturas contratadas, así como las condiciones y límites a los cuales estas se sujetan. </w:t>
      </w:r>
    </w:p>
    <w:p w:rsidRPr="00F349FF" w:rsidR="00BB4CEC" w:rsidP="00BB4CEC" w:rsidRDefault="00BB4CEC" w14:paraId="455AF579" w14:textId="77777777">
      <w:pPr>
        <w:jc w:val="both"/>
      </w:pPr>
    </w:p>
    <w:p w:rsidRPr="00F349FF" w:rsidR="00BB4CEC" w:rsidP="00BB4CEC" w:rsidRDefault="00BB4CEC" w14:paraId="4D87EC3D" w14:textId="63C988A9">
      <w:pPr>
        <w:jc w:val="both"/>
      </w:pPr>
      <w:r w:rsidR="00BB4CEC">
        <w:rPr/>
        <w:t>Dicho certificado fue enviado al asegurado al correo</w:t>
      </w:r>
      <w:r w:rsidR="17DD4FFA">
        <w:rPr/>
        <w:t>...............................................................</w:t>
      </w:r>
      <w:r w:rsidR="00BB4CEC">
        <w:rPr/>
        <w:t xml:space="preserve">, conforme se acredita mediante el Informe de Auditoría de la firma </w:t>
      </w:r>
      <w:r w:rsidR="00BB4CEC">
        <w:rPr/>
        <w:t>DANAConnect</w:t>
      </w:r>
      <w:r w:rsidR="00BB4CEC">
        <w:rPr/>
        <w:t xml:space="preserve"> que obra en autos.</w:t>
      </w:r>
    </w:p>
    <w:p w:rsidRPr="00F349FF" w:rsidR="00BB4CEC" w:rsidP="00BB4CEC" w:rsidRDefault="00BB4CEC" w14:paraId="727EAC5C" w14:textId="77777777">
      <w:pPr>
        <w:jc w:val="both"/>
      </w:pPr>
    </w:p>
    <w:p w:rsidRPr="00F349FF" w:rsidR="00BB4CEC" w:rsidP="00BB4CEC" w:rsidRDefault="00BB4CEC" w14:paraId="00A73B37" w14:textId="77777777">
      <w:pPr>
        <w:jc w:val="both"/>
      </w:pPr>
      <w:r w:rsidRPr="00F349FF">
        <w:t>De acuerdo con los términos contratados, las coberturas son las siguientes:</w:t>
      </w:r>
    </w:p>
    <w:p w:rsidRPr="00F349FF" w:rsidR="00BB4CEC" w:rsidP="00BB4CEC" w:rsidRDefault="00BB4CEC" w14:paraId="2A974EC6" w14:textId="5891D64D">
      <w:pPr>
        <w:jc w:val="both"/>
      </w:pPr>
      <w:r w:rsidRPr="00F349FF">
        <w:rPr>
          <w:noProof/>
        </w:rPr>
        <w:lastRenderedPageBreak/>
        <w:drawing>
          <wp:inline distT="0" distB="0" distL="0" distR="0" wp14:anchorId="7E36AC7A" wp14:editId="2E7B2F54">
            <wp:extent cx="5580380" cy="3162300"/>
            <wp:effectExtent l="0" t="0" r="0" b="0"/>
            <wp:docPr id="1541310998" name="Imagen 4"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10998" name="Imagen 4" descr="Tabla&#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3162300"/>
                    </a:xfrm>
                    <a:prstGeom prst="rect">
                      <a:avLst/>
                    </a:prstGeom>
                    <a:noFill/>
                    <a:ln>
                      <a:noFill/>
                    </a:ln>
                  </pic:spPr>
                </pic:pic>
              </a:graphicData>
            </a:graphic>
          </wp:inline>
        </w:drawing>
      </w:r>
    </w:p>
    <w:p w:rsidRPr="00F349FF" w:rsidR="00BB4CEC" w:rsidP="00BB4CEC" w:rsidRDefault="00BB4CEC" w14:paraId="09B5D8B4" w14:textId="77777777">
      <w:pPr>
        <w:jc w:val="both"/>
        <w:rPr>
          <w:lang w:val="es-MX"/>
        </w:rPr>
      </w:pPr>
    </w:p>
    <w:p w:rsidRPr="00F349FF" w:rsidR="00BB4CEC" w:rsidP="00BB4CEC" w:rsidRDefault="00BB4CEC" w14:paraId="2047170B" w14:textId="77777777">
      <w:pPr>
        <w:jc w:val="both"/>
        <w:rPr>
          <w:lang w:val="es-MX"/>
        </w:rPr>
      </w:pPr>
      <w:r w:rsidRPr="00F349FF">
        <w:rPr>
          <w:lang w:val="es-MX"/>
        </w:rPr>
        <w:t xml:space="preserve">Como puede advertirse, la delimitación de la cobertura alcanza cinco tipos de eventos o siniestros: </w:t>
      </w:r>
    </w:p>
    <w:p w:rsidRPr="00F349FF" w:rsidR="00BB4CEC" w:rsidP="00BB4CEC" w:rsidRDefault="00BB4CEC" w14:paraId="624BD22E" w14:textId="77777777">
      <w:pPr>
        <w:jc w:val="both"/>
        <w:rPr>
          <w:lang w:val="es-MX"/>
        </w:rPr>
      </w:pPr>
    </w:p>
    <w:p w:rsidRPr="00F349FF" w:rsidR="00BB4CEC" w:rsidP="00BB4CEC" w:rsidRDefault="00BB4CEC" w14:paraId="11CB145B" w14:textId="77777777">
      <w:pPr>
        <w:numPr>
          <w:ilvl w:val="0"/>
          <w:numId w:val="41"/>
        </w:numPr>
        <w:jc w:val="both"/>
        <w:rPr>
          <w:lang w:val="es-MX"/>
        </w:rPr>
      </w:pPr>
      <w:r w:rsidRPr="00F349FF">
        <w:rPr>
          <w:lang w:val="es-MX"/>
        </w:rPr>
        <w:t>Compras no reconocidas en locales comerciales.</w:t>
      </w:r>
    </w:p>
    <w:p w:rsidRPr="00F349FF" w:rsidR="00BB4CEC" w:rsidP="00BB4CEC" w:rsidRDefault="00BB4CEC" w14:paraId="36D89690" w14:textId="77777777">
      <w:pPr>
        <w:numPr>
          <w:ilvl w:val="0"/>
          <w:numId w:val="41"/>
        </w:numPr>
        <w:jc w:val="both"/>
        <w:rPr>
          <w:lang w:val="es-MX"/>
        </w:rPr>
      </w:pPr>
      <w:r w:rsidRPr="00F349FF">
        <w:rPr>
          <w:lang w:val="es-MX"/>
        </w:rPr>
        <w:t>Compras no reconocidas por internet.</w:t>
      </w:r>
    </w:p>
    <w:p w:rsidRPr="00F349FF" w:rsidR="00BB4CEC" w:rsidP="00BB4CEC" w:rsidRDefault="00BB4CEC" w14:paraId="2E14F24C" w14:textId="77777777">
      <w:pPr>
        <w:numPr>
          <w:ilvl w:val="0"/>
          <w:numId w:val="41"/>
        </w:numPr>
        <w:jc w:val="both"/>
        <w:rPr>
          <w:lang w:val="es-MX"/>
        </w:rPr>
      </w:pPr>
      <w:r w:rsidRPr="00F349FF">
        <w:rPr>
          <w:lang w:val="es-MX"/>
        </w:rPr>
        <w:t>Transferencias no reconocidas.</w:t>
      </w:r>
    </w:p>
    <w:p w:rsidRPr="00F349FF" w:rsidR="00BB4CEC" w:rsidP="00BB4CEC" w:rsidRDefault="00BB4CEC" w14:paraId="74A01B3B" w14:textId="77777777">
      <w:pPr>
        <w:numPr>
          <w:ilvl w:val="0"/>
          <w:numId w:val="41"/>
        </w:numPr>
        <w:jc w:val="both"/>
        <w:rPr>
          <w:lang w:val="es-MX"/>
        </w:rPr>
      </w:pPr>
      <w:r w:rsidRPr="00F349FF">
        <w:rPr>
          <w:lang w:val="es-MX"/>
        </w:rPr>
        <w:t>Retiros de dinero en cajeros automáticos.</w:t>
      </w:r>
    </w:p>
    <w:p w:rsidRPr="00F349FF" w:rsidR="00BB4CEC" w:rsidP="00BB4CEC" w:rsidRDefault="00BB4CEC" w14:paraId="3D41AD88" w14:textId="77777777">
      <w:pPr>
        <w:numPr>
          <w:ilvl w:val="0"/>
          <w:numId w:val="41"/>
        </w:numPr>
        <w:jc w:val="both"/>
        <w:rPr>
          <w:lang w:val="es-MX"/>
        </w:rPr>
      </w:pPr>
      <w:r w:rsidRPr="00F349FF">
        <w:rPr>
          <w:lang w:val="es-MX"/>
        </w:rPr>
        <w:t>Robo de dinero retirado en cajeros automáticos o agente.</w:t>
      </w:r>
    </w:p>
    <w:p w:rsidRPr="00F349FF" w:rsidR="00BB4CEC" w:rsidP="00BB4CEC" w:rsidRDefault="00BB4CEC" w14:paraId="1BAB0111" w14:textId="77777777">
      <w:pPr>
        <w:jc w:val="both"/>
        <w:rPr>
          <w:lang w:val="es-MX"/>
        </w:rPr>
      </w:pPr>
    </w:p>
    <w:p w:rsidRPr="00F349FF" w:rsidR="00BB4CEC" w:rsidP="00BB4CEC" w:rsidRDefault="00BB4CEC" w14:paraId="0A54A7AB" w14:textId="77777777">
      <w:pPr>
        <w:jc w:val="both"/>
        <w:rPr>
          <w:lang w:val="es-MX"/>
        </w:rPr>
      </w:pPr>
      <w:r w:rsidRPr="00F349FF">
        <w:rPr>
          <w:lang w:val="es-MX"/>
        </w:rPr>
        <w:t>Tales coberturas están expresamente limitadas a un evento por año, por lo que, respecto de esas cinco coberturas, la aseguradora sólo está obligada a cubrir un siniestro anual por cada una de ellas:</w:t>
      </w:r>
    </w:p>
    <w:p w:rsidRPr="00F349FF" w:rsidR="00BB4CEC" w:rsidP="00BB4CEC" w:rsidRDefault="00BB4CEC" w14:paraId="6CB11154" w14:textId="77777777">
      <w:pPr>
        <w:jc w:val="both"/>
        <w:rPr>
          <w:lang w:val="es-MX"/>
        </w:rPr>
      </w:pPr>
    </w:p>
    <w:p w:rsidRPr="00F349FF" w:rsidR="00BB4CEC" w:rsidP="00BB4CEC" w:rsidRDefault="00BB4CEC" w14:paraId="5FF2A4EC" w14:textId="7DE9A8F7">
      <w:pPr>
        <w:jc w:val="both"/>
      </w:pPr>
      <w:r w:rsidR="5E2B322F">
        <w:rPr/>
        <w:t>...............................................................................................................................................</w:t>
      </w:r>
    </w:p>
    <w:p w:rsidRPr="00F349FF" w:rsidR="00BB4CEC" w:rsidP="00BB4CEC" w:rsidRDefault="00BB4CEC" w14:paraId="7AADD0AA" w14:textId="77777777">
      <w:pPr>
        <w:jc w:val="both"/>
        <w:rPr>
          <w:noProof/>
          <w:lang w:val="es-MX"/>
        </w:rPr>
      </w:pPr>
    </w:p>
    <w:p w:rsidRPr="00F349FF" w:rsidR="00BB4CEC" w:rsidP="00BB4CEC" w:rsidRDefault="00BB4CEC" w14:paraId="792B0F47" w14:textId="77777777">
      <w:pPr>
        <w:jc w:val="both"/>
        <w:rPr>
          <w:lang w:val="es-MX"/>
        </w:rPr>
      </w:pPr>
      <w:r w:rsidRPr="00F349FF">
        <w:rPr>
          <w:noProof/>
          <w:lang w:val="es-MX"/>
        </w:rPr>
        <w:t>De manera que si en el año se indeniza al asegurado por una cobertura, esta ya no puede activarse nuevamente hasta que transcurra un período de doce meses.</w:t>
      </w:r>
    </w:p>
    <w:p w:rsidRPr="00F349FF" w:rsidR="00BB4CEC" w:rsidP="00BB4CEC" w:rsidRDefault="00BB4CEC" w14:paraId="03F60B03" w14:textId="77777777">
      <w:pPr>
        <w:jc w:val="both"/>
        <w:rPr>
          <w:lang w:val="es-MX"/>
        </w:rPr>
      </w:pPr>
    </w:p>
    <w:p w:rsidRPr="00F349FF" w:rsidR="00BB4CEC" w:rsidP="00BB4CEC" w:rsidRDefault="00BB4CEC" w14:paraId="11111B14" w14:textId="77777777">
      <w:pPr>
        <w:jc w:val="both"/>
        <w:rPr>
          <w:bCs/>
        </w:rPr>
      </w:pPr>
      <w:r w:rsidRPr="00F349FF">
        <w:rPr>
          <w:b/>
          <w:u w:val="single"/>
        </w:rPr>
        <w:lastRenderedPageBreak/>
        <w:t>OCTAVO</w:t>
      </w:r>
      <w:r w:rsidRPr="00F349FF">
        <w:rPr>
          <w:b/>
        </w:rPr>
        <w:t xml:space="preserve">: </w:t>
      </w:r>
      <w:r w:rsidRPr="00F349FF">
        <w:rPr>
          <w:bCs/>
        </w:rPr>
        <w:t>Es un hecho no controvertido que, el 7 de septiembre de 2024 el asegurado tuvo un siniestro que fue atendido bajo la activación de la cobertura de “compras no reconocidas por internet”, por la suma de S/1,679.</w:t>
      </w:r>
    </w:p>
    <w:p w:rsidRPr="00F349FF" w:rsidR="00BB4CEC" w:rsidP="00BB4CEC" w:rsidRDefault="00BB4CEC" w14:paraId="58488F74" w14:textId="77777777">
      <w:pPr>
        <w:jc w:val="both"/>
        <w:rPr>
          <w:bCs/>
        </w:rPr>
      </w:pPr>
    </w:p>
    <w:p w:rsidRPr="00F349FF" w:rsidR="00BB4CEC" w:rsidP="00BB4CEC" w:rsidRDefault="00BB4CEC" w14:paraId="72B43007" w14:textId="77777777">
      <w:pPr>
        <w:jc w:val="both"/>
        <w:rPr>
          <w:lang w:val="es-MX"/>
        </w:rPr>
      </w:pPr>
      <w:r w:rsidRPr="00F349FF">
        <w:rPr>
          <w:bCs/>
        </w:rPr>
        <w:t>De acuerdo con dicho antecedente, en aplicación de la citada limitación anual de cada cobertura, la cobertura de “compras no reconocidas por internet”</w:t>
      </w:r>
      <w:r w:rsidRPr="00F349FF">
        <w:rPr>
          <w:noProof/>
          <w:lang w:val="es-MX"/>
        </w:rPr>
        <w:t xml:space="preserve"> no puede activarse nuevamente hasta que transcurra un período de doce meses.</w:t>
      </w:r>
    </w:p>
    <w:p w:rsidRPr="00F349FF" w:rsidR="00BB4CEC" w:rsidP="00BB4CEC" w:rsidRDefault="00BB4CEC" w14:paraId="05A3630C" w14:textId="77777777">
      <w:pPr>
        <w:jc w:val="both"/>
        <w:rPr>
          <w:bCs/>
        </w:rPr>
      </w:pPr>
    </w:p>
    <w:p w:rsidRPr="00F349FF" w:rsidR="00BB4CEC" w:rsidP="00BB4CEC" w:rsidRDefault="00BB4CEC" w14:paraId="681B896A" w14:textId="77777777">
      <w:pPr>
        <w:jc w:val="both"/>
        <w:rPr>
          <w:bCs/>
        </w:rPr>
      </w:pPr>
      <w:r w:rsidRPr="00F349FF">
        <w:rPr>
          <w:bCs/>
        </w:rPr>
        <w:t>En el presente caso, se discute la atención del siniestro ocurrido el 17 de septiembre de 2024, que conforme a la información proporcionada por la aseguradora consistió en las siguientes operaciones no reconocidas:</w:t>
      </w:r>
    </w:p>
    <w:p w:rsidRPr="00F349FF" w:rsidR="00BB4CEC" w:rsidP="00BB4CEC" w:rsidRDefault="00BB4CEC" w14:paraId="0373A158" w14:textId="77777777">
      <w:pPr>
        <w:jc w:val="both"/>
        <w:rPr>
          <w:bCs/>
        </w:rPr>
      </w:pPr>
    </w:p>
    <w:p w:rsidRPr="00F349FF" w:rsidR="00BB4CEC" w:rsidP="00BB4CEC" w:rsidRDefault="00BB4CEC" w14:paraId="06016DC9" w14:textId="0CB544B1">
      <w:pPr>
        <w:jc w:val="both"/>
      </w:pPr>
      <w:r w:rsidR="4E8B0D85">
        <w:rPr/>
        <w:t>.............................................................................................................................................</w:t>
      </w:r>
    </w:p>
    <w:p w:rsidRPr="00F349FF" w:rsidR="00BB4CEC" w:rsidP="00BB4CEC" w:rsidRDefault="00BB4CEC" w14:paraId="7FDD7010" w14:textId="77777777">
      <w:pPr>
        <w:jc w:val="both"/>
        <w:rPr>
          <w:bCs/>
        </w:rPr>
      </w:pPr>
    </w:p>
    <w:p w:rsidRPr="00F349FF" w:rsidR="00BB4CEC" w:rsidP="00BB4CEC" w:rsidRDefault="00BB4CEC" w14:paraId="6D2110EB" w14:textId="77777777">
      <w:pPr>
        <w:jc w:val="both"/>
        <w:rPr>
          <w:bCs/>
          <w:lang w:val="es-MX"/>
        </w:rPr>
      </w:pPr>
      <w:r w:rsidRPr="00F349FF">
        <w:rPr>
          <w:bCs/>
          <w:lang w:val="es-MX"/>
        </w:rPr>
        <w:t>De acuerdo con esa información, se aprecia que no todas las operaciones no reconocidas corresponden a “compras por internet”.</w:t>
      </w:r>
    </w:p>
    <w:p w:rsidRPr="00F349FF" w:rsidR="00BB4CEC" w:rsidP="00BB4CEC" w:rsidRDefault="00BB4CEC" w14:paraId="2892F1FF" w14:textId="77777777">
      <w:pPr>
        <w:jc w:val="both"/>
        <w:rPr>
          <w:bCs/>
          <w:lang w:val="es-MX"/>
        </w:rPr>
      </w:pPr>
    </w:p>
    <w:p w:rsidRPr="00F349FF" w:rsidR="00BB4CEC" w:rsidP="00BB4CEC" w:rsidRDefault="00BB4CEC" w14:paraId="285A8966" w14:textId="77777777">
      <w:pPr>
        <w:jc w:val="both"/>
        <w:rPr>
          <w:bCs/>
          <w:lang w:val="es-MX"/>
        </w:rPr>
      </w:pPr>
      <w:r w:rsidRPr="00F349FF">
        <w:rPr>
          <w:bCs/>
          <w:lang w:val="es-MX"/>
        </w:rPr>
        <w:t>Se verifica que existen una serie de operaciones consistentes en transferencias dinerarias a través de la Banca Móvil.</w:t>
      </w:r>
    </w:p>
    <w:p w:rsidRPr="00F349FF" w:rsidR="00BB4CEC" w:rsidP="00BB4CEC" w:rsidRDefault="00BB4CEC" w14:paraId="3455C5A7" w14:textId="77777777">
      <w:pPr>
        <w:jc w:val="both"/>
        <w:rPr>
          <w:bCs/>
          <w:lang w:val="es-MX"/>
        </w:rPr>
      </w:pPr>
    </w:p>
    <w:p w:rsidRPr="00F349FF" w:rsidR="00BB4CEC" w:rsidP="6E7514F9" w:rsidRDefault="00BB4CEC" w14:paraId="598C68F7" w14:textId="7294133A">
      <w:pPr>
        <w:jc w:val="both"/>
        <w:rPr>
          <w:lang w:val="es-MX"/>
        </w:rPr>
      </w:pPr>
      <w:r w:rsidRPr="6E7514F9" w:rsidR="00BB4CEC">
        <w:rPr>
          <w:lang w:val="es-MX"/>
        </w:rPr>
        <w:t>En efecto, hay operaciones con la glosa “</w:t>
      </w:r>
      <w:r w:rsidRPr="6E7514F9" w:rsidR="2B76B182">
        <w:rPr>
          <w:lang w:val="es-MX"/>
        </w:rPr>
        <w:t>............</w:t>
      </w:r>
      <w:r w:rsidRPr="6E7514F9" w:rsidR="00BB4CEC">
        <w:rPr>
          <w:lang w:val="es-MX"/>
        </w:rPr>
        <w:t xml:space="preserve">” es el nombre de un servicio de envío de dinero, así como operaciones con la glosa “TRAN.CTAS.TERC.HK”. </w:t>
      </w:r>
    </w:p>
    <w:p w:rsidRPr="00F349FF" w:rsidR="00BB4CEC" w:rsidP="00BB4CEC" w:rsidRDefault="00BB4CEC" w14:paraId="7AA3A8A3" w14:textId="77777777">
      <w:pPr>
        <w:jc w:val="both"/>
        <w:rPr>
          <w:bCs/>
        </w:rPr>
      </w:pPr>
    </w:p>
    <w:p w:rsidRPr="00F349FF" w:rsidR="00BB4CEC" w:rsidP="00BB4CEC" w:rsidRDefault="00BB4CEC" w14:paraId="73897E68" w14:textId="77777777">
      <w:pPr>
        <w:jc w:val="both"/>
        <w:rPr>
          <w:bCs/>
        </w:rPr>
      </w:pPr>
      <w:r w:rsidRPr="00F349FF">
        <w:rPr>
          <w:bCs/>
        </w:rPr>
        <w:t>De acuerdo con los términos de las coberturas contratadas, las operaciones consistentes en transferencias a través de la Banca Móvil no pueden calificarse bajo la cobertura de “compras no reconocidas por internet”.</w:t>
      </w:r>
    </w:p>
    <w:p w:rsidRPr="00F349FF" w:rsidR="00BB4CEC" w:rsidP="00BB4CEC" w:rsidRDefault="00BB4CEC" w14:paraId="7CC34C18" w14:textId="77777777">
      <w:pPr>
        <w:jc w:val="both"/>
        <w:rPr>
          <w:bCs/>
        </w:rPr>
      </w:pPr>
      <w:r w:rsidRPr="00F349FF">
        <w:rPr>
          <w:bCs/>
        </w:rPr>
        <w:t>Tales operaciones configuran riesgos amparados bajo la cobertura de “transferencias no reconocidas a través de canales virtuales incluidas las aplicaciones de teléfono celulares válidos”</w:t>
      </w:r>
    </w:p>
    <w:p w:rsidRPr="00F349FF" w:rsidR="00BB4CEC" w:rsidP="00BB4CEC" w:rsidRDefault="00BB4CEC" w14:paraId="6B4B3FB5" w14:textId="77777777">
      <w:pPr>
        <w:jc w:val="both"/>
        <w:rPr>
          <w:bCs/>
        </w:rPr>
      </w:pPr>
    </w:p>
    <w:p w:rsidRPr="00F349FF" w:rsidR="00BB4CEC" w:rsidP="00BB4CEC" w:rsidRDefault="00BB4CEC" w14:paraId="40D800DC" w14:textId="30A961C0">
      <w:pPr>
        <w:jc w:val="both"/>
      </w:pPr>
      <w:r w:rsidR="20426A4C">
        <w:rPr/>
        <w:t>-----------------------------------------------------------------------------------------------------------</w:t>
      </w:r>
    </w:p>
    <w:p w:rsidRPr="00F349FF" w:rsidR="00BB4CEC" w:rsidP="00BB4CEC" w:rsidRDefault="00BB4CEC" w14:paraId="39A5C65F" w14:textId="77777777">
      <w:pPr>
        <w:jc w:val="both"/>
        <w:rPr>
          <w:lang w:val="es-MX"/>
        </w:rPr>
      </w:pPr>
    </w:p>
    <w:p w:rsidRPr="00F349FF" w:rsidR="00BB4CEC" w:rsidP="00BB4CEC" w:rsidRDefault="00BB4CEC" w14:paraId="27B80B2C" w14:textId="77777777">
      <w:pPr>
        <w:jc w:val="both"/>
        <w:rPr>
          <w:lang w:val="es-MX"/>
        </w:rPr>
      </w:pPr>
    </w:p>
    <w:p w:rsidRPr="00F349FF" w:rsidR="00BB4CEC" w:rsidP="00BB4CEC" w:rsidRDefault="00BB4CEC" w14:paraId="5A915699" w14:textId="77777777">
      <w:pPr>
        <w:jc w:val="both"/>
        <w:rPr>
          <w:bCs/>
        </w:rPr>
      </w:pPr>
      <w:r w:rsidRPr="00F349FF">
        <w:rPr>
          <w:lang w:val="es-MX"/>
        </w:rPr>
        <w:t xml:space="preserve">De acuerdo con los hechos del caso, a los términos contractuales pactados y a las pruebas que obran en autos, esta Defensoría comprueba que la liquidación parcial de cobertura del siniestro ocurrido el </w:t>
      </w:r>
      <w:r w:rsidRPr="00F349FF">
        <w:rPr>
          <w:bCs/>
        </w:rPr>
        <w:t>17 de septiembre de 2024 ha sido incorrecta.</w:t>
      </w:r>
    </w:p>
    <w:p w:rsidRPr="00F349FF" w:rsidR="00BB4CEC" w:rsidP="00BB4CEC" w:rsidRDefault="00BB4CEC" w14:paraId="14B40D97" w14:textId="77777777">
      <w:pPr>
        <w:jc w:val="both"/>
        <w:rPr>
          <w:bCs/>
        </w:rPr>
      </w:pPr>
    </w:p>
    <w:p w:rsidRPr="00F349FF" w:rsidR="00BB4CEC" w:rsidP="00BB4CEC" w:rsidRDefault="00BB4CEC" w14:paraId="5A7A23CF" w14:textId="77777777">
      <w:pPr>
        <w:jc w:val="both"/>
        <w:rPr>
          <w:rStyle w:val="Textoennegrita"/>
          <w:b w:val="0"/>
        </w:rPr>
      </w:pPr>
      <w:r w:rsidRPr="00F349FF">
        <w:rPr>
          <w:lang w:val="es-MX"/>
        </w:rPr>
        <w:t xml:space="preserve">En tal sentido, para esta Defensoría </w:t>
      </w:r>
      <w:r w:rsidRPr="00F349FF">
        <w:rPr>
          <w:rStyle w:val="Textoennegrita"/>
          <w:b w:val="0"/>
        </w:rPr>
        <w:t xml:space="preserve">se ha demostrado la existencia de un siniestro que deba ser indemnizado bajo el Seguro contratado activándose la cobertura de </w:t>
      </w:r>
      <w:r w:rsidRPr="00F349FF">
        <w:rPr>
          <w:bCs/>
        </w:rPr>
        <w:t>“transferencias no reconocidas a través de canales virtuales incluidas las aplicaciones de teléfono celulares válidos” hasta el límite de la suma asegurada de S/15,000</w:t>
      </w:r>
      <w:r w:rsidRPr="00F349FF">
        <w:rPr>
          <w:rStyle w:val="Textoennegrita"/>
          <w:b w:val="0"/>
        </w:rPr>
        <w:t>.</w:t>
      </w:r>
    </w:p>
    <w:p w:rsidRPr="00F349FF" w:rsidR="00BB4CEC" w:rsidP="00BB4CEC" w:rsidRDefault="00BB4CEC" w14:paraId="1ABCA0C1" w14:textId="77777777">
      <w:pPr>
        <w:jc w:val="both"/>
        <w:rPr>
          <w:rStyle w:val="Textoennegrita"/>
          <w:b w:val="0"/>
        </w:rPr>
      </w:pPr>
    </w:p>
    <w:p w:rsidRPr="00F349FF" w:rsidR="00BB4CEC" w:rsidP="00BB4CEC" w:rsidRDefault="00BB4CEC" w14:paraId="516FDCCF" w14:textId="77777777">
      <w:pPr>
        <w:tabs>
          <w:tab w:val="left" w:pos="2386"/>
        </w:tabs>
        <w:jc w:val="both"/>
        <w:outlineLvl w:val="0"/>
        <w:rPr>
          <w:b/>
        </w:rPr>
      </w:pPr>
      <w:r w:rsidRPr="00F349FF">
        <w:rPr>
          <w:b/>
        </w:rPr>
        <w:t>ATENDIENDO A LO EXPRESADO, ESTE COLEGIADO CONCLUYE SU APRECIACIÓN RAZONADA Y CONJUNTA AL AMPARO DE LO ESTABLECIDO EN EL REGLAMENTO DE LA DEFASEG, POR LO QUE:</w:t>
      </w:r>
    </w:p>
    <w:p w:rsidRPr="00F349FF" w:rsidR="00BB4CEC" w:rsidP="00BB4CEC" w:rsidRDefault="00BB4CEC" w14:paraId="4B76E317" w14:textId="77777777">
      <w:pPr>
        <w:jc w:val="both"/>
        <w:rPr>
          <w:b/>
        </w:rPr>
      </w:pPr>
      <w:r w:rsidRPr="00F349FF">
        <w:rPr>
          <w:b/>
        </w:rPr>
        <w:t>RESUELVE:</w:t>
      </w:r>
    </w:p>
    <w:p w:rsidRPr="00F349FF" w:rsidR="00BB4CEC" w:rsidP="00BB4CEC" w:rsidRDefault="00BB4CEC" w14:paraId="2AF2C6CB" w14:textId="77777777">
      <w:pPr>
        <w:jc w:val="both"/>
      </w:pPr>
    </w:p>
    <w:p w:rsidRPr="00F349FF" w:rsidR="00BB4CEC" w:rsidP="00BB4CEC" w:rsidRDefault="00BB4CEC" w14:paraId="3EC120A1" w14:textId="2CA6E577">
      <w:pPr>
        <w:tabs>
          <w:tab w:val="left" w:pos="0"/>
          <w:tab w:val="left" w:pos="708"/>
          <w:tab w:val="left" w:pos="1416"/>
          <w:tab w:val="left" w:pos="2160"/>
          <w:tab w:val="left" w:pos="3540"/>
          <w:tab w:val="left" w:pos="4248"/>
          <w:tab w:val="left" w:pos="4956"/>
          <w:tab w:val="left" w:pos="5664"/>
          <w:tab w:val="left" w:pos="6372"/>
          <w:tab w:val="left" w:pos="7125"/>
        </w:tabs>
        <w:jc w:val="both"/>
      </w:pPr>
      <w:r w:rsidR="00BB4CEC">
        <w:rPr/>
        <w:t>Declarar</w:t>
      </w:r>
      <w:r w:rsidRPr="6E7514F9" w:rsidR="00BB4CEC">
        <w:rPr>
          <w:b w:val="1"/>
          <w:bCs w:val="1"/>
        </w:rPr>
        <w:t xml:space="preserve"> FUNDADA </w:t>
      </w:r>
      <w:r w:rsidR="00BB4CEC">
        <w:rPr/>
        <w:t>la reclamación</w:t>
      </w:r>
      <w:r w:rsidRPr="6E7514F9" w:rsidR="00BB4CEC">
        <w:rPr>
          <w:b w:val="1"/>
          <w:bCs w:val="1"/>
        </w:rPr>
        <w:t xml:space="preserve"> </w:t>
      </w:r>
      <w:r w:rsidR="00BB4CEC">
        <w:rPr/>
        <w:t>interpuesta</w:t>
      </w:r>
      <w:r w:rsidRPr="6E7514F9" w:rsidR="00BB4CEC">
        <w:rPr>
          <w:lang w:val="es-MX"/>
        </w:rPr>
        <w:t xml:space="preserve"> por</w:t>
      </w:r>
      <w:r w:rsidRPr="6E7514F9" w:rsidR="00BB4CEC">
        <w:rPr>
          <w:b w:val="1"/>
          <w:bCs w:val="1"/>
          <w:lang w:val="es-MX"/>
        </w:rPr>
        <w:t xml:space="preserve"> </w:t>
      </w:r>
      <w:r w:rsidRPr="6E7514F9" w:rsidR="3D2ED170">
        <w:rPr>
          <w:b w:val="1"/>
          <w:bCs w:val="1"/>
          <w:lang w:val="es-MX"/>
        </w:rPr>
        <w:t>...............................................................................</w:t>
      </w:r>
      <w:r w:rsidRPr="6E7514F9" w:rsidR="00BB4CEC">
        <w:rPr>
          <w:b w:val="1"/>
          <w:bCs w:val="1"/>
          <w:lang w:val="es-MX"/>
        </w:rPr>
        <w:t xml:space="preserve"> </w:t>
      </w:r>
      <w:r w:rsidR="00BB4CEC">
        <w:rPr/>
        <w:t xml:space="preserve">contra </w:t>
      </w:r>
      <w:r w:rsidRPr="6E7514F9" w:rsidR="5A7B6570">
        <w:rPr>
          <w:b w:val="1"/>
          <w:bCs w:val="1"/>
        </w:rPr>
        <w:t>.......................................</w:t>
      </w:r>
      <w:r w:rsidRPr="6E7514F9" w:rsidR="00BB4CEC">
        <w:rPr>
          <w:lang w:val="es-MX"/>
        </w:rPr>
        <w:t>, correspondiente al</w:t>
      </w:r>
      <w:r w:rsidRPr="6E7514F9" w:rsidR="00BB4CEC">
        <w:rPr>
          <w:b w:val="1"/>
          <w:bCs w:val="1"/>
          <w:lang w:val="es-MX"/>
        </w:rPr>
        <w:t xml:space="preserve"> SEGURO DE PROTECCIÓN DE TARJETA – Póliza No </w:t>
      </w:r>
      <w:r w:rsidRPr="6E7514F9" w:rsidR="2278FA98">
        <w:rPr>
          <w:b w:val="1"/>
          <w:bCs w:val="1"/>
        </w:rPr>
        <w:t>.........................</w:t>
      </w:r>
      <w:r w:rsidRPr="6E7514F9" w:rsidR="00BB4CEC">
        <w:rPr>
          <w:b w:val="1"/>
          <w:bCs w:val="1"/>
        </w:rPr>
        <w:t xml:space="preserve"> / </w:t>
      </w:r>
      <w:r w:rsidRPr="6E7514F9" w:rsidR="5EF1B1D3">
        <w:rPr>
          <w:b w:val="1"/>
          <w:bCs w:val="1"/>
        </w:rPr>
        <w:t>.........................</w:t>
      </w:r>
      <w:r w:rsidRPr="6E7514F9" w:rsidR="00BB4CEC">
        <w:rPr>
          <w:b w:val="1"/>
          <w:bCs w:val="1"/>
        </w:rPr>
        <w:t xml:space="preserve">, </w:t>
      </w:r>
      <w:r w:rsidR="00BB4CEC">
        <w:rPr/>
        <w:t xml:space="preserve">debiendo indemnizar el siniestro de fecha 17 de septiembre de 2024 conforme a la cobertura </w:t>
      </w:r>
      <w:r w:rsidRPr="6E7514F9" w:rsidR="00BB4CEC">
        <w:rPr>
          <w:rStyle w:val="Textoennegrita"/>
          <w:b w:val="0"/>
          <w:bCs w:val="0"/>
        </w:rPr>
        <w:t xml:space="preserve">de </w:t>
      </w:r>
      <w:r w:rsidR="00BB4CEC">
        <w:rPr/>
        <w:t>“transferencias no reconocidas a través de canales virtuales incluidas las aplicaciones de teléfono celulares válidos” hasta el límite de la suma asegurada de S/15,000</w:t>
      </w:r>
      <w:r w:rsidRPr="6E7514F9" w:rsidR="00BB4CEC">
        <w:rPr>
          <w:rStyle w:val="Textoennegrita"/>
          <w:b w:val="0"/>
          <w:bCs w:val="0"/>
        </w:rPr>
        <w:t>.</w:t>
      </w:r>
    </w:p>
    <w:p w:rsidRPr="00F349FF" w:rsidR="00DA5539" w:rsidP="00C962B1" w:rsidRDefault="00DA5539" w14:paraId="05530938" w14:textId="77777777">
      <w:pPr>
        <w:jc w:val="both"/>
        <w:outlineLvl w:val="0"/>
        <w:rPr>
          <w:lang w:val="es-PE"/>
        </w:rPr>
      </w:pPr>
    </w:p>
    <w:p w:rsidRPr="00F349FF" w:rsidR="00804FBA" w:rsidP="00E06FC0" w:rsidRDefault="00F15FBA" w14:paraId="0B8F9BB3" w14:textId="4725BBD1">
      <w:pPr>
        <w:jc w:val="right"/>
        <w:outlineLvl w:val="0"/>
        <w:rPr>
          <w:lang w:val="es-PE"/>
        </w:rPr>
      </w:pPr>
      <w:r w:rsidRPr="00F349FF">
        <w:rPr>
          <w:lang w:val="es-PE"/>
        </w:rPr>
        <w:t>Lima,</w:t>
      </w:r>
      <w:r w:rsidRPr="00F349FF" w:rsidR="009D4785">
        <w:rPr>
          <w:lang w:val="es-PE"/>
        </w:rPr>
        <w:t xml:space="preserve"> </w:t>
      </w:r>
      <w:r w:rsidRPr="00F349FF" w:rsidR="00BB4CEC">
        <w:rPr>
          <w:lang w:val="es-PE"/>
        </w:rPr>
        <w:t>13</w:t>
      </w:r>
      <w:r w:rsidRPr="00F349FF" w:rsidR="00C70C36">
        <w:rPr>
          <w:lang w:val="es-PE"/>
        </w:rPr>
        <w:t xml:space="preserve"> </w:t>
      </w:r>
      <w:r w:rsidRPr="00F349FF">
        <w:rPr>
          <w:lang w:val="es-PE"/>
        </w:rPr>
        <w:t>de</w:t>
      </w:r>
      <w:r w:rsidRPr="00F349FF" w:rsidR="001631D6">
        <w:rPr>
          <w:lang w:val="es-PE"/>
        </w:rPr>
        <w:t xml:space="preserve"> </w:t>
      </w:r>
      <w:r w:rsidRPr="00F349FF" w:rsidR="00BB4CEC">
        <w:rPr>
          <w:lang w:val="es-PE"/>
        </w:rPr>
        <w:t>mayo</w:t>
      </w:r>
      <w:r w:rsidRPr="00F349FF" w:rsidR="001631D6">
        <w:rPr>
          <w:lang w:val="es-PE"/>
        </w:rPr>
        <w:t xml:space="preserve"> </w:t>
      </w:r>
      <w:r w:rsidRPr="00F349FF">
        <w:rPr>
          <w:lang w:val="es-PE"/>
        </w:rPr>
        <w:t>de 20</w:t>
      </w:r>
      <w:r w:rsidRPr="00F349FF" w:rsidR="001631D6">
        <w:rPr>
          <w:lang w:val="es-PE"/>
        </w:rPr>
        <w:t>2</w:t>
      </w:r>
      <w:r w:rsidRPr="00F349FF" w:rsidR="0073373B">
        <w:rPr>
          <w:lang w:val="es-PE"/>
        </w:rPr>
        <w:t>5</w:t>
      </w:r>
    </w:p>
    <w:p w:rsidRPr="00F349FF" w:rsidR="00804FBA" w:rsidP="00E06FC0" w:rsidRDefault="00804FBA" w14:paraId="2C8A5CBC" w14:textId="77777777">
      <w:pPr>
        <w:jc w:val="both"/>
        <w:rPr>
          <w:b/>
          <w:bCs/>
          <w:i/>
          <w:iCs/>
          <w:lang w:val="es-ES_tradnl"/>
        </w:rPr>
      </w:pPr>
    </w:p>
    <w:p w:rsidRPr="00F349FF" w:rsidR="003F73A8" w:rsidP="00E06FC0" w:rsidRDefault="003F73A8" w14:paraId="00714C2C" w14:textId="77777777">
      <w:pPr>
        <w:jc w:val="both"/>
        <w:rPr>
          <w:b/>
          <w:bCs/>
          <w:i/>
          <w:iCs/>
          <w:lang w:val="es-ES_tradnl"/>
        </w:rPr>
      </w:pPr>
      <w:r w:rsidRPr="00F349FF">
        <w:rPr>
          <w:b/>
          <w:bCs/>
          <w:i/>
          <w:iCs/>
          <w:lang w:val="es-ES_tradnl"/>
        </w:rPr>
        <w:t>La Secretaría Técnica certifica que la presente resolución cuenta con el voto de los vocales cuyos nombres figuran en el presente documento.</w:t>
      </w:r>
    </w:p>
    <w:p w:rsidRPr="00F349FF" w:rsidR="00707C3F" w:rsidP="00707C3F" w:rsidRDefault="00707C3F" w14:paraId="52D37E4A" w14:textId="77777777">
      <w:pPr>
        <w:jc w:val="both"/>
        <w:rPr>
          <w:b/>
          <w:bCs/>
          <w:i/>
          <w:iCs/>
          <w:lang w:val="es-ES_tradnl"/>
        </w:rPr>
      </w:pPr>
    </w:p>
    <w:p w:rsidRPr="00F349FF" w:rsidR="00707C3F" w:rsidP="00707C3F" w:rsidRDefault="00707C3F" w14:paraId="30ED2D98" w14:textId="547A44C6">
      <w:pPr>
        <w:spacing w:line="360" w:lineRule="auto"/>
        <w:jc w:val="center"/>
        <w:rPr>
          <w:b/>
          <w:bCs/>
        </w:rPr>
      </w:pPr>
      <w:r w:rsidRPr="00F349FF">
        <w:rPr>
          <w:b/>
          <w:bCs/>
        </w:rPr>
        <w:t xml:space="preserve">Rolando Eyzaguirre </w:t>
      </w:r>
      <w:proofErr w:type="spellStart"/>
      <w:r w:rsidRPr="00F349FF">
        <w:rPr>
          <w:b/>
          <w:bCs/>
        </w:rPr>
        <w:t>Maccan</w:t>
      </w:r>
      <w:proofErr w:type="spellEnd"/>
      <w:r w:rsidRPr="00F349FF">
        <w:rPr>
          <w:b/>
          <w:bCs/>
        </w:rPr>
        <w:t xml:space="preserve"> – </w:t>
      </w:r>
      <w:proofErr w:type="gramStart"/>
      <w:r w:rsidRPr="00F349FF" w:rsidR="00E4456F">
        <w:rPr>
          <w:b/>
          <w:bCs/>
        </w:rPr>
        <w:t>Presidente</w:t>
      </w:r>
      <w:proofErr w:type="gramEnd"/>
    </w:p>
    <w:p w:rsidRPr="00F349FF" w:rsidR="00BB4CEC" w:rsidP="00BB4CEC" w:rsidRDefault="00BB4CEC" w14:paraId="01720D6D" w14:textId="7AD41673">
      <w:pPr>
        <w:spacing w:line="360" w:lineRule="auto"/>
        <w:jc w:val="center"/>
        <w:rPr>
          <w:b/>
          <w:bCs/>
        </w:rPr>
      </w:pPr>
      <w:r w:rsidRPr="00F349FF">
        <w:rPr>
          <w:b/>
          <w:bCs/>
        </w:rPr>
        <w:t>María Eugenia Valdez Fernández Baca –</w:t>
      </w:r>
      <w:r w:rsidRPr="00F349FF" w:rsidR="00E4456F">
        <w:rPr>
          <w:b/>
          <w:bCs/>
        </w:rPr>
        <w:t xml:space="preserve"> Vocal</w:t>
      </w:r>
      <w:r w:rsidRPr="00F349FF">
        <w:rPr>
          <w:b/>
          <w:bCs/>
        </w:rPr>
        <w:t xml:space="preserve"> </w:t>
      </w:r>
    </w:p>
    <w:p w:rsidRPr="00F349FF" w:rsidR="00707C3F" w:rsidP="00707C3F" w:rsidRDefault="00707C3F" w14:paraId="54726FFF" w14:textId="77777777">
      <w:pPr>
        <w:spacing w:line="360" w:lineRule="auto"/>
        <w:jc w:val="center"/>
        <w:rPr>
          <w:lang w:val="es-MX"/>
        </w:rPr>
      </w:pPr>
      <w:r w:rsidRPr="00F349FF">
        <w:rPr>
          <w:b/>
          <w:bCs/>
        </w:rPr>
        <w:t>Gonzalo Abad del Busto - Vocal</w:t>
      </w:r>
    </w:p>
    <w:p w:rsidRPr="00F349FF" w:rsidR="001631D6" w:rsidP="00F15FBA" w:rsidRDefault="001631D6" w14:paraId="0DA96C46" w14:textId="77777777">
      <w:pPr>
        <w:jc w:val="both"/>
        <w:rPr>
          <w:lang w:val="es-MX"/>
        </w:rPr>
      </w:pPr>
    </w:p>
    <w:p w:rsidRPr="00F349FF"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4822" w:rsidP="005F148C" w:rsidRDefault="007D4822" w14:paraId="1CD76261" w14:textId="77777777">
      <w:r>
        <w:separator/>
      </w:r>
    </w:p>
  </w:endnote>
  <w:endnote w:type="continuationSeparator" w:id="0">
    <w:p w:rsidR="007D4822" w:rsidP="005F148C" w:rsidRDefault="007D4822" w14:paraId="44B0248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4822" w:rsidP="005F148C" w:rsidRDefault="007D4822" w14:paraId="12944825" w14:textId="77777777">
      <w:r>
        <w:separator/>
      </w:r>
    </w:p>
  </w:footnote>
  <w:footnote w:type="continuationSeparator" w:id="0">
    <w:p w:rsidR="007D4822" w:rsidP="005F148C" w:rsidRDefault="007D4822" w14:paraId="6F28A51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9"/>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5"/>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41C35"/>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12DC6771"/>
    <w:rsid w:val="17DD4FFA"/>
    <w:rsid w:val="1FD11CE0"/>
    <w:rsid w:val="20426A4C"/>
    <w:rsid w:val="2278FA98"/>
    <w:rsid w:val="2B76B182"/>
    <w:rsid w:val="3D2ED170"/>
    <w:rsid w:val="4E8B0D85"/>
    <w:rsid w:val="4F8E899B"/>
    <w:rsid w:val="5A7B6570"/>
    <w:rsid w:val="5E2B322F"/>
    <w:rsid w:val="5EF1B1D3"/>
    <w:rsid w:val="612649F3"/>
    <w:rsid w:val="6E7514F9"/>
    <w:rsid w:val="7D61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94C4465-01BA-4BA6-B5D9-544E3E2D6B64}"/>
</file>

<file path=customXml/itemProps3.xml><?xml version="1.0" encoding="utf-8"?>
<ds:datastoreItem xmlns:ds="http://schemas.openxmlformats.org/officeDocument/2006/customXml" ds:itemID="{C116CAF2-4D34-4F2E-BBD6-951F92B6C1C8}"/>
</file>

<file path=customXml/itemProps4.xml><?xml version="1.0" encoding="utf-8"?>
<ds:datastoreItem xmlns:ds="http://schemas.openxmlformats.org/officeDocument/2006/customXml" ds:itemID="{543D5E3A-35EF-464B-BE8F-9B2F544B9C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455</cp:revision>
  <cp:lastPrinted>2025-05-15T15:47:00Z</cp:lastPrinted>
  <dcterms:created xsi:type="dcterms:W3CDTF">2023-06-22T13:57:00Z</dcterms:created>
  <dcterms:modified xsi:type="dcterms:W3CDTF">2026-03-23T20:23:06Z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