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F1DEE" w:rsidR="009207B4" w:rsidP="009207B4" w:rsidRDefault="00F15FBA" w14:paraId="05FD399C" w14:textId="60978192">
      <w:pPr>
        <w:pStyle w:val="Ttulo"/>
        <w:outlineLvl w:val="0"/>
        <w:rPr>
          <w:lang w:val="es-PE"/>
        </w:rPr>
      </w:pPr>
      <w:r w:rsidRPr="004F1DEE">
        <w:rPr>
          <w:lang w:val="es-PE"/>
        </w:rPr>
        <w:t>RESOLUCIÓN N</w:t>
      </w:r>
      <w:r w:rsidRPr="004F1DEE" w:rsidR="001631D6">
        <w:rPr>
          <w:lang w:val="es-PE"/>
        </w:rPr>
        <w:t xml:space="preserve">° </w:t>
      </w:r>
      <w:r w:rsidRPr="004F1DEE" w:rsidR="00015A30">
        <w:rPr>
          <w:lang w:val="es-PE"/>
        </w:rPr>
        <w:t>0</w:t>
      </w:r>
      <w:r w:rsidRPr="004F1DEE" w:rsidR="00B75B4C">
        <w:rPr>
          <w:lang w:val="es-PE"/>
        </w:rPr>
        <w:t>8</w:t>
      </w:r>
      <w:r w:rsidR="003002BF">
        <w:rPr>
          <w:lang w:val="es-PE"/>
        </w:rPr>
        <w:t>3</w:t>
      </w:r>
      <w:r w:rsidRPr="004F1DEE" w:rsidR="001631D6">
        <w:rPr>
          <w:lang w:val="es-PE"/>
        </w:rPr>
        <w:t>/2</w:t>
      </w:r>
      <w:r w:rsidRPr="004F1DEE" w:rsidR="0073373B">
        <w:rPr>
          <w:lang w:val="es-PE"/>
        </w:rPr>
        <w:t>5</w:t>
      </w:r>
    </w:p>
    <w:p w:rsidRPr="004F1DEE" w:rsidR="009207B4" w:rsidP="009207B4" w:rsidRDefault="009207B4" w14:paraId="16A00FE0" w14:textId="77777777">
      <w:pPr>
        <w:pStyle w:val="Ttulo"/>
        <w:outlineLvl w:val="0"/>
        <w:rPr>
          <w:lang w:val="es-PE"/>
        </w:rPr>
      </w:pPr>
    </w:p>
    <w:p w:rsidRPr="00EB7C11" w:rsidR="00EB7C11" w:rsidP="00EB7C11" w:rsidRDefault="00EB7C11" w14:paraId="6FA2D745" w14:textId="77777777">
      <w:pPr>
        <w:jc w:val="both"/>
        <w:outlineLvl w:val="0"/>
      </w:pPr>
      <w:r w:rsidRPr="00EB7C11">
        <w:rPr>
          <w:b/>
          <w:bCs/>
        </w:rPr>
        <w:t>VISTOS:</w:t>
      </w:r>
    </w:p>
    <w:p w:rsidRPr="00EB7C11" w:rsidR="00EB7C11" w:rsidP="00EB7C11" w:rsidRDefault="00EB7C11" w14:paraId="552966E1" w14:textId="77777777">
      <w:pPr>
        <w:jc w:val="both"/>
        <w:outlineLvl w:val="0"/>
        <w:rPr>
          <w:lang w:val="es-PE"/>
        </w:rPr>
      </w:pPr>
    </w:p>
    <w:p w:rsidRPr="00EB7C11" w:rsidR="00EB7C11" w:rsidP="00EB7C11" w:rsidRDefault="00EB7C11" w14:paraId="305CA679" w14:textId="047123A6">
      <w:pPr>
        <w:jc w:val="both"/>
        <w:outlineLvl w:val="0"/>
        <w:rPr>
          <w:lang w:val="es-PE"/>
        </w:rPr>
      </w:pPr>
      <w:r w:rsidRPr="43E93422" w:rsidR="2A9E1BE0">
        <w:rPr>
          <w:lang w:val="es-PE"/>
        </w:rPr>
        <w:t xml:space="preserve">Que, don </w:t>
      </w:r>
      <w:r w:rsidRPr="43E93422" w:rsidR="03A2597A">
        <w:rPr>
          <w:lang w:val="es-PE"/>
        </w:rPr>
        <w:t>.........................................................</w:t>
      </w:r>
      <w:r w:rsidRPr="43E93422" w:rsidR="2A9E1BE0">
        <w:rPr>
          <w:lang w:val="es-PE"/>
        </w:rPr>
        <w:t xml:space="preserve"> interpone reclamación ante esta Defensoría del Asegurado (DEFASEG), solicitando que </w:t>
      </w:r>
      <w:r w:rsidRPr="43E93422" w:rsidR="28A035BB">
        <w:rPr>
          <w:lang w:val="es-PE"/>
        </w:rPr>
        <w:t>...........................................................................................................</w:t>
      </w:r>
      <w:r w:rsidRPr="43E93422" w:rsidR="2A9E1BE0">
        <w:rPr>
          <w:lang w:val="es-PE"/>
        </w:rPr>
        <w:t xml:space="preserve"> (</w:t>
      </w:r>
      <w:r w:rsidRPr="43E93422" w:rsidR="34079D86">
        <w:rPr>
          <w:lang w:val="es-PE"/>
        </w:rPr>
        <w:t>....................</w:t>
      </w:r>
      <w:r w:rsidRPr="43E93422" w:rsidR="2A9E1BE0">
        <w:rPr>
          <w:lang w:val="es-PE"/>
        </w:rPr>
        <w:t>)</w:t>
      </w:r>
      <w:r w:rsidRPr="43E93422" w:rsidR="2A9E1BE0">
        <w:rPr>
          <w:b w:val="1"/>
          <w:bCs w:val="1"/>
          <w:lang w:val="es-PE"/>
        </w:rPr>
        <w:t xml:space="preserve"> </w:t>
      </w:r>
      <w:r w:rsidRPr="43E93422" w:rsidR="2A9E1BE0">
        <w:rPr>
          <w:lang w:val="es-PE"/>
        </w:rPr>
        <w:t>cumpla con indemnizar el siniestro ocurrido por lluvias conforme a la póliza de seguro de inmueble contra todo riesgo adquirida con motivo de un crédito otorgado por el Banco de Crédito.</w:t>
      </w:r>
    </w:p>
    <w:p w:rsidRPr="00EB7C11" w:rsidR="00EB7C11" w:rsidP="00EB7C11" w:rsidRDefault="00EB7C11" w14:paraId="6D6B3689" w14:textId="77777777">
      <w:pPr>
        <w:jc w:val="both"/>
        <w:outlineLvl w:val="0"/>
        <w:rPr>
          <w:lang w:val="es-PE"/>
        </w:rPr>
      </w:pPr>
    </w:p>
    <w:p w:rsidRPr="00EB7C11" w:rsidR="00EB7C11" w:rsidP="00EB7C11" w:rsidRDefault="00EB7C11" w14:paraId="45182A05" w14:textId="77777777">
      <w:pPr>
        <w:jc w:val="both"/>
        <w:outlineLvl w:val="0"/>
        <w:rPr>
          <w:lang w:val="es-PE"/>
        </w:rPr>
      </w:pPr>
      <w:r w:rsidRPr="00EB7C11">
        <w:rPr>
          <w:lang w:val="es-PE"/>
        </w:rPr>
        <w:t>Que, habiéndosele corrido traslado de la respectiva reclamación, la aseguradora presentó sus respectivos descargos y la documentación solicitada;</w:t>
      </w:r>
    </w:p>
    <w:p w:rsidRPr="00EB7C11" w:rsidR="00EB7C11" w:rsidP="00EB7C11" w:rsidRDefault="00EB7C11" w14:paraId="4B10CC38" w14:textId="77777777">
      <w:pPr>
        <w:jc w:val="both"/>
        <w:outlineLvl w:val="0"/>
        <w:rPr>
          <w:lang w:val="es-PE"/>
        </w:rPr>
      </w:pPr>
    </w:p>
    <w:p w:rsidRPr="00EB7C11" w:rsidR="00EB7C11" w:rsidP="00EB7C11" w:rsidRDefault="00EB7C11" w14:paraId="5E776858" w14:textId="77777777">
      <w:pPr>
        <w:jc w:val="both"/>
        <w:outlineLvl w:val="0"/>
        <w:rPr>
          <w:lang w:val="es-PE"/>
        </w:rPr>
      </w:pPr>
      <w:r w:rsidRPr="00EB7C11">
        <w:rPr>
          <w:lang w:val="es-PE"/>
        </w:rPr>
        <w:t>Que, el 17 de marzo de 2025 se realizó la audiencia virtual de vista con la concurrencia de ambas partes, quienes tuvieron oportunidad de exponer sus respectivas posiciones tratándose de la materia reclamada, absolviendo las diversas preguntas que les fueron formuladas;</w:t>
      </w:r>
    </w:p>
    <w:p w:rsidRPr="00EB7C11" w:rsidR="00EB7C11" w:rsidP="00EB7C11" w:rsidRDefault="00EB7C11" w14:paraId="25EAD64E" w14:textId="77777777">
      <w:pPr>
        <w:jc w:val="both"/>
        <w:outlineLvl w:val="0"/>
        <w:rPr>
          <w:lang w:val="es-PE"/>
        </w:rPr>
      </w:pPr>
    </w:p>
    <w:p w:rsidRPr="00EB7C11" w:rsidR="00EB7C11" w:rsidP="00EB7C11" w:rsidRDefault="00EB7C11" w14:paraId="3D2C3C1D" w14:textId="3917FB22">
      <w:pPr>
        <w:jc w:val="both"/>
        <w:outlineLvl w:val="0"/>
      </w:pPr>
      <w:r w:rsidR="2A9E1BE0">
        <w:rPr/>
        <w:t>Que, en síntesis, el reclamante manifiesta lo siguiente: a) suscribió con el Banco de Crédito del Perú un contrato de Ampliación Hipotecaria</w:t>
      </w:r>
      <w:r w:rsidRPr="43E93422" w:rsidR="2A9E1BE0">
        <w:rPr>
          <w:lang w:val="es-PE"/>
        </w:rPr>
        <w:t xml:space="preserve">; b) </w:t>
      </w:r>
      <w:r w:rsidR="2A9E1BE0">
        <w:rPr/>
        <w:t xml:space="preserve">en su propuesta, el Banco nunca mencionó el tipo de seguro, monto de la prima mensual a pagar ni las condiciones de la póliza de seguro; c) </w:t>
      </w:r>
      <w:r w:rsidR="34079D86">
        <w:rPr/>
        <w:t>....................</w:t>
      </w:r>
      <w:r w:rsidR="2A9E1BE0">
        <w:rPr/>
        <w:t xml:space="preserve"> generó un link para la descarga de la póliza, hecho que nunca se pudo descargar según mensaje de error de la página de </w:t>
      </w:r>
      <w:r w:rsidR="34079D86">
        <w:rPr/>
        <w:t>....................</w:t>
      </w:r>
      <w:r w:rsidR="2A9E1BE0">
        <w:rPr/>
        <w:t xml:space="preserve">, por lo que nunca tuvo conocimiento de la póliza que nunca se le entregó; d) presentó el reclamo por el siniestro de lluvias originadas en los meses de enero, febrero y marzo por el fenómeno del niño; e) lejos de recibir comunicación de </w:t>
      </w:r>
      <w:r w:rsidR="34079D86">
        <w:rPr/>
        <w:t>....................</w:t>
      </w:r>
      <w:r w:rsidR="2A9E1BE0">
        <w:rPr/>
        <w:t xml:space="preserve">, una persona en representación de Charles Taylor Ajustadores, requirió el sustento de información el cual fue respondido y sustentado que efectivamente el inmueble tenía daños ocasionados por el fenómeno del niño; f) luego de enviada toda la documentación, el ajustador mencionado comunica las observaciones y liquidación del ajuste con un valor a cancelar por daños de S/. 2,405.08, hecho que no fue aceptado solicitándose la asignación de un nuevo ajustador; g) </w:t>
      </w:r>
      <w:r w:rsidR="34079D86">
        <w:rPr/>
        <w:t>....................</w:t>
      </w:r>
      <w:r w:rsidR="2A9E1BE0">
        <w:rPr/>
        <w:t xml:space="preserve"> teniendo conocimiento del rechazo del ajuste de Charles Taylor, comunica al BCP para que de manera </w:t>
      </w:r>
      <w:r w:rsidR="2A9E1BE0">
        <w:rPr/>
        <w:t>express</w:t>
      </w:r>
      <w:r w:rsidR="2A9E1BE0">
        <w:rPr/>
        <w:t xml:space="preserve"> pague el ajuste no firmado ni convenido con el asegurado; h) luego </w:t>
      </w:r>
      <w:r w:rsidR="34079D86">
        <w:rPr/>
        <w:t>....................</w:t>
      </w:r>
      <w:r w:rsidR="2A9E1BE0">
        <w:rPr/>
        <w:t xml:space="preserve"> emite un email refiriendo a tres nuevos ajustadores para elección del asegurado y de manera autoritaria y sin su consentimiento comunica la elección de </w:t>
      </w:r>
      <w:r w:rsidR="02F05540">
        <w:rPr/>
        <w:t>........</w:t>
      </w:r>
      <w:r w:rsidR="2A9E1BE0">
        <w:rPr/>
        <w:t xml:space="preserve"> Ajustadores; i) </w:t>
      </w:r>
      <w:r w:rsidR="02F05540">
        <w:rPr/>
        <w:t>........</w:t>
      </w:r>
      <w:r w:rsidR="2A9E1BE0">
        <w:rPr/>
        <w:t xml:space="preserve"> Ajustadores emite el proyecto de liquidación determinando un importe de S/. 13,393.20, importe con el que tampoco se estuvo de acuerdo, solicitando un nuevo ajustador; j) que la aseguradora le indicó que al haber sido evaluado por dos ajustadores, recurra al medio de solución de controversias; k) que recurre ante DEFASEG manifestando su disconformidad con la forma como se eligió arbitrariamente al segundo corredor sin su consentimiento; y no </w:t>
      </w:r>
      <w:r w:rsidR="2A9E1BE0">
        <w:rPr/>
        <w:t>esta</w:t>
      </w:r>
      <w:r w:rsidR="2A9E1BE0">
        <w:rPr/>
        <w:t xml:space="preserve"> de acuerdo con las liquidaciones por cuanto desconocen el daño a las puertas, ventanas, entre otros que describe pormenorizadamente en su reclamo; siendo que solicita se le indemnice hasta la suma de daños comprobados por el últimos ajustados por S/194,393.20, por ser de justicia.</w:t>
      </w:r>
    </w:p>
    <w:p w:rsidRPr="00EB7C11" w:rsidR="00EB7C11" w:rsidP="00EB7C11" w:rsidRDefault="00EB7C11" w14:paraId="6F2CD8CE" w14:textId="77777777">
      <w:pPr>
        <w:jc w:val="both"/>
        <w:outlineLvl w:val="0"/>
      </w:pPr>
    </w:p>
    <w:p w:rsidRPr="00EB7C11" w:rsidR="00EB7C11" w:rsidP="00EB7C11" w:rsidRDefault="00EB7C11" w14:paraId="26865BD6" w14:textId="34F15A99">
      <w:pPr>
        <w:jc w:val="both"/>
        <w:outlineLvl w:val="0"/>
      </w:pPr>
      <w:r w:rsidR="2A9E1BE0">
        <w:rPr/>
        <w:t xml:space="preserve">Que, conforme a lo expuesto en sus descargos, en la audiencia de </w:t>
      </w:r>
      <w:r w:rsidR="2A9E1BE0">
        <w:rPr/>
        <w:t>vista  y</w:t>
      </w:r>
      <w:r w:rsidR="2A9E1BE0">
        <w:rPr/>
        <w:t xml:space="preserve"> en los escritos adicionales presentados, la aseguradora sustenta su posición resumidamente en lo siguiente: </w:t>
      </w:r>
      <w:r w:rsidRPr="43E93422" w:rsidR="2A9E1BE0">
        <w:rPr>
          <w:lang w:val="es-PE"/>
        </w:rPr>
        <w:t xml:space="preserve">a) </w:t>
      </w:r>
      <w:r w:rsidR="2A9E1BE0">
        <w:rPr/>
        <w:t>en relación al</w:t>
      </w:r>
      <w:r w:rsidR="2A9E1BE0">
        <w:rPr/>
        <w:t xml:space="preserve"> siniestro, a elección del asegurado se designó a los ajustadores </w:t>
      </w:r>
      <w:r w:rsidR="2A9E1BE0">
        <w:rPr/>
        <w:t xml:space="preserve">Charles Taylor para la evaluación del siniestro, y una vez remitida la documentación solicitada por el ajustador, se procedió a emitir el Informe Final, liquidando el siniestro en la suma de S/. 2,405.08 soles; b) el asegurado se encontró disconforme con el monto antes descrito, motivo por el cual solicitó un segundo ajustador, designando a los señores </w:t>
      </w:r>
      <w:r w:rsidR="02F05540">
        <w:rPr/>
        <w:t>........</w:t>
      </w:r>
      <w:r w:rsidR="2A9E1BE0">
        <w:rPr/>
        <w:t xml:space="preserve"> Ajustadores; c) al analizar la documentación remitida por el asegurado, se emitió el Informe Final por el importe de S/. 13,393.20; d) en principio la aseguradora solicita se declare improcedente el reclamo, ya que el monto reclamado por el asegurado fue cuantificado en S/ 194, 393.20, lo que claramente supera la suma de US$ 50,000 dólares, que resulta de competencia de la DEFASEG; e) el resultado del monto a indemnizar se basó en alguno de los siguientes puntos: (i) en algunos ítems, no se indica monto y no se registra en presupuesto adjunto por asegurado (sin evaluación); (</w:t>
      </w:r>
      <w:r w:rsidR="2A9E1BE0">
        <w:rPr/>
        <w:t>ii</w:t>
      </w:r>
      <w:r w:rsidR="2A9E1BE0">
        <w:rPr/>
        <w:t>) algunos ítems, se debe indicar que según lo señalado por el asegurado estos no estaban inicialmente, que los tuvo que colocar como medida de reparación, lo cual indica una mejora a la materia asegurada; (</w:t>
      </w:r>
      <w:r w:rsidR="2A9E1BE0">
        <w:rPr/>
        <w:t>iii</w:t>
      </w:r>
      <w:r w:rsidR="2A9E1BE0">
        <w:rPr/>
        <w:t>) mejoras: todas las instalaciones adicionales y acabados que forman parte del local ocupado por el asegurado y que no fueron parte del predio al momento de la declaración inicial para el aseguramiento; f) en relación a lo anterior, en algunos puntos no hubo presupuestos adjuntados por el asegurado para que puedan haberse evaluado el monto a indemnizar; en adición, existieron exclusiones referentes a gastos realizados por mejoras, así como bienes no cubiertos debido a que no eran materia de tasación.</w:t>
      </w:r>
    </w:p>
    <w:p w:rsidRPr="00EB7C11" w:rsidR="00EB7C11" w:rsidP="00EB7C11" w:rsidRDefault="00EB7C11" w14:paraId="0B7DE41B" w14:textId="77777777">
      <w:pPr>
        <w:jc w:val="both"/>
        <w:outlineLvl w:val="0"/>
      </w:pPr>
    </w:p>
    <w:p w:rsidRPr="00EB7C11" w:rsidR="00EB7C11" w:rsidP="00EB7C11" w:rsidRDefault="00EB7C11" w14:paraId="77A49E98" w14:textId="77777777">
      <w:pPr>
        <w:jc w:val="both"/>
        <w:outlineLvl w:val="0"/>
      </w:pPr>
      <w:r w:rsidRPr="00EB7C11">
        <w:t xml:space="preserve">Que, en respuesta a la incompetencia de la DEFASEG, el reclamante señaló que debe considerarse que hay un deducible y que descontado este del monto solicitado, el importe que </w:t>
      </w:r>
      <w:proofErr w:type="gramStart"/>
      <w:r w:rsidRPr="00EB7C11">
        <w:t>reclama,</w:t>
      </w:r>
      <w:proofErr w:type="gramEnd"/>
      <w:r w:rsidRPr="00EB7C11">
        <w:t xml:space="preserve"> sí estaría dentro de la competencia de la DEFASEG.</w:t>
      </w:r>
    </w:p>
    <w:p w:rsidRPr="00EB7C11" w:rsidR="00EB7C11" w:rsidP="00EB7C11" w:rsidRDefault="00EB7C11" w14:paraId="016535AB" w14:textId="77777777">
      <w:pPr>
        <w:jc w:val="both"/>
        <w:outlineLvl w:val="0"/>
      </w:pPr>
    </w:p>
    <w:p w:rsidRPr="00EB7C11" w:rsidR="00EB7C11" w:rsidP="00EB7C11" w:rsidRDefault="00EB7C11" w14:paraId="22C88BC2" w14:textId="77777777">
      <w:pPr>
        <w:jc w:val="both"/>
        <w:outlineLvl w:val="0"/>
        <w:rPr>
          <w:lang w:val="es-PE"/>
        </w:rPr>
      </w:pPr>
      <w:r w:rsidRPr="00EB7C11">
        <w:t>Que, en la audiencia de vista se solicitó a la aseguradora presentar: (i) e</w:t>
      </w:r>
      <w:r w:rsidRPr="00EB7C11">
        <w:rPr>
          <w:lang w:val="es-PE"/>
        </w:rPr>
        <w:t>l cargo de entrega de la póliza; (</w:t>
      </w:r>
      <w:proofErr w:type="spellStart"/>
      <w:r w:rsidRPr="00EB7C11">
        <w:rPr>
          <w:lang w:val="es-PE"/>
        </w:rPr>
        <w:t>ii</w:t>
      </w:r>
      <w:proofErr w:type="spellEnd"/>
      <w:r w:rsidRPr="00EB7C11">
        <w:rPr>
          <w:lang w:val="es-PE"/>
        </w:rPr>
        <w:t>) el documento donde se propone una terna de ajuste y este es elegido por el asegurado; (</w:t>
      </w:r>
      <w:proofErr w:type="spellStart"/>
      <w:r w:rsidRPr="00EB7C11">
        <w:rPr>
          <w:lang w:val="es-PE"/>
        </w:rPr>
        <w:t>iii</w:t>
      </w:r>
      <w:proofErr w:type="spellEnd"/>
      <w:r w:rsidRPr="00EB7C11">
        <w:rPr>
          <w:lang w:val="es-PE"/>
        </w:rPr>
        <w:t>) la prueba de que se envió la terna para el segundo ajuste y al vencer el plazo de elección del asegurado, la Compañía tuvo que elegir; e (</w:t>
      </w:r>
      <w:proofErr w:type="spellStart"/>
      <w:r w:rsidRPr="00EB7C11">
        <w:rPr>
          <w:lang w:val="es-PE"/>
        </w:rPr>
        <w:t>iv</w:t>
      </w:r>
      <w:proofErr w:type="spellEnd"/>
      <w:r w:rsidRPr="00EB7C11">
        <w:rPr>
          <w:lang w:val="es-PE"/>
        </w:rPr>
        <w:t>) informe completo del segundo ajuste.</w:t>
      </w:r>
    </w:p>
    <w:p w:rsidRPr="00EB7C11" w:rsidR="00EB7C11" w:rsidP="00EB7C11" w:rsidRDefault="00EB7C11" w14:paraId="02A65285" w14:textId="77777777">
      <w:pPr>
        <w:jc w:val="both"/>
        <w:outlineLvl w:val="0"/>
      </w:pPr>
    </w:p>
    <w:p w:rsidRPr="00EB7C11" w:rsidR="00EB7C11" w:rsidP="00EB7C11" w:rsidRDefault="00EB7C11" w14:paraId="41B86A68" w14:textId="38F0BDE5">
      <w:pPr>
        <w:jc w:val="both"/>
        <w:outlineLvl w:val="0"/>
      </w:pPr>
      <w:r w:rsidR="2A9E1BE0">
        <w:rPr/>
        <w:t>Que luego de presentados los documentos, el asegurado presentó un escrito adicional señalando resumidamente lo siguiente: (i) respecto de la entrega de la póliza: que la información requerida fue presentada luego del plazo otorgado por lo que debe tenerse por no presentada; que el archivo presentado como prueba del envío de la póliza no constituye una prueba válida, pues fue solo un correo de bienvenida que tenía un link que no se podía abrir; por lo que no pudo descargar la póliza, siendo que nunca tuvo a la vista la propuesta ni la póliza de seguro contra todo riesgo y que el número de póliza informado en el contrato de crédito hipotecario difiere del número en el que se basan los ajustadores; (</w:t>
      </w:r>
      <w:r w:rsidR="2A9E1BE0">
        <w:rPr/>
        <w:t>ii</w:t>
      </w:r>
      <w:r w:rsidR="2A9E1BE0">
        <w:rPr/>
        <w:t xml:space="preserve">) respecto de la elección de los ajustadores: que, no es cierto que eligiera al primer ajustador, pues intentó fallidamente comunicarse con la aseguradora e ingresar a la APP, es recién el día 16.07.2024 que logra presentar el reclamo, por lo que resulta materialmente imposible que el día 15.07.2024, haya tomado conocimiento de la existencia de una terna propuesta por </w:t>
      </w:r>
      <w:r w:rsidR="554561F0">
        <w:rPr/>
        <w:t>.................</w:t>
      </w:r>
      <w:r w:rsidR="2A9E1BE0">
        <w:rPr/>
        <w:t xml:space="preserve"> y mucho menos escogido a la ajustadora Charles Taylor; que respecto a la forma de elección del segundo ajustador, considera que la aseguradora no ha acreditado lo requerido por la DEFASEG y que este debió ser designado de común acuerdo por las partes; que la aseguradora no ha probado que ha respetado los 3días hábiles para proponer la terna a que se refiere la ley; habiendo sido su accionar arbitrario en la elección de los ajustadores.</w:t>
      </w:r>
    </w:p>
    <w:p w:rsidRPr="00EB7C11" w:rsidR="00EB7C11" w:rsidP="00EB7C11" w:rsidRDefault="00EB7C11" w14:paraId="5AD6EED0" w14:textId="77777777">
      <w:pPr>
        <w:jc w:val="both"/>
        <w:outlineLvl w:val="0"/>
      </w:pPr>
    </w:p>
    <w:p w:rsidR="00EB7C11" w:rsidP="00EB7C11" w:rsidRDefault="00EB7C11" w14:paraId="6ED13397" w14:textId="73DCB276">
      <w:pPr>
        <w:jc w:val="both"/>
        <w:outlineLvl w:val="0"/>
      </w:pPr>
      <w:r w:rsidRPr="00EB7C11">
        <w:t>Que estando al estado del proceso corresponde que este colegiado expida su pronunciamiento.</w:t>
      </w:r>
    </w:p>
    <w:p w:rsidRPr="00EB7C11" w:rsidR="00EB7C11" w:rsidP="00EB7C11" w:rsidRDefault="00EB7C11" w14:paraId="35268439" w14:textId="77777777">
      <w:pPr>
        <w:jc w:val="both"/>
        <w:outlineLvl w:val="0"/>
      </w:pPr>
    </w:p>
    <w:p w:rsidRPr="00EB7C11" w:rsidR="00EB7C11" w:rsidP="00EB7C11" w:rsidRDefault="00EB7C11" w14:paraId="6AB51B51" w14:textId="77777777">
      <w:pPr>
        <w:jc w:val="both"/>
        <w:outlineLvl w:val="0"/>
      </w:pPr>
      <w:r w:rsidRPr="00EB7C11">
        <w:rPr>
          <w:b/>
          <w:bCs/>
        </w:rPr>
        <w:t>CONSIDERANDO:</w:t>
      </w:r>
    </w:p>
    <w:p w:rsidRPr="00EB7C11" w:rsidR="00EB7C11" w:rsidP="00EB7C11" w:rsidRDefault="00EB7C11" w14:paraId="40E5EF2F" w14:textId="77777777">
      <w:pPr>
        <w:jc w:val="both"/>
        <w:outlineLvl w:val="0"/>
      </w:pPr>
      <w:r w:rsidRPr="00EB7C11">
        <w:t> </w:t>
      </w:r>
    </w:p>
    <w:p w:rsidRPr="00EB7C11" w:rsidR="00EB7C11" w:rsidP="00EB7C11" w:rsidRDefault="00EB7C11" w14:paraId="5015A21C" w14:textId="77777777">
      <w:pPr>
        <w:jc w:val="both"/>
        <w:outlineLvl w:val="0"/>
        <w:rPr>
          <w:lang w:val="es-PE"/>
        </w:rPr>
      </w:pPr>
      <w:r w:rsidRPr="00EB7C11">
        <w:rPr>
          <w:b/>
          <w:u w:val="single"/>
          <w:lang w:val="es-PE"/>
        </w:rPr>
        <w:t>Primero</w:t>
      </w:r>
      <w:r w:rsidRPr="00EB7C11">
        <w:rPr>
          <w:b/>
          <w:lang w:val="es-PE"/>
        </w:rPr>
        <w:t xml:space="preserve">: </w:t>
      </w:r>
      <w:r w:rsidRPr="00EB7C11">
        <w:rPr>
          <w:bCs/>
          <w:lang w:val="es-PE"/>
        </w:rPr>
        <w:t xml:space="preserve">Que, </w:t>
      </w:r>
      <w:r w:rsidRPr="00EB7C11">
        <w:rPr>
          <w:lang w:val="es-PE"/>
        </w:rPr>
        <w:t>conforme a su Reglamento, la</w:t>
      </w:r>
      <w:r w:rsidRPr="00EB7C11">
        <w:rPr>
          <w:b/>
          <w:bCs/>
          <w:lang w:val="es-PE"/>
        </w:rPr>
        <w:t xml:space="preserve"> </w:t>
      </w:r>
      <w:r w:rsidRPr="00EB7C1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B7C11" w:rsidR="00EB7C11" w:rsidP="00EB7C11" w:rsidRDefault="00EB7C11" w14:paraId="68F8E350" w14:textId="77777777">
      <w:pPr>
        <w:jc w:val="both"/>
        <w:outlineLvl w:val="0"/>
        <w:rPr>
          <w:bCs/>
        </w:rPr>
      </w:pPr>
    </w:p>
    <w:p w:rsidRPr="00EB7C11" w:rsidR="00EB7C11" w:rsidP="00EB7C11" w:rsidRDefault="00EB7C11" w14:paraId="2F35576B" w14:textId="77777777">
      <w:pPr>
        <w:jc w:val="both"/>
        <w:outlineLvl w:val="0"/>
        <w:rPr>
          <w:bCs/>
          <w:lang w:val="es-PE"/>
        </w:rPr>
      </w:pPr>
      <w:r w:rsidRPr="00EB7C11">
        <w:rPr>
          <w:b/>
          <w:bCs/>
          <w:u w:val="single"/>
          <w:lang w:val="es-PE"/>
        </w:rPr>
        <w:t>Segundo</w:t>
      </w:r>
      <w:r w:rsidRPr="00EB7C11">
        <w:rPr>
          <w:b/>
          <w:bCs/>
          <w:lang w:val="es-PE"/>
        </w:rPr>
        <w:t>:</w:t>
      </w:r>
      <w:r w:rsidRPr="00EB7C11">
        <w:rPr>
          <w:bCs/>
          <w:lang w:val="es-PE"/>
        </w:rPr>
        <w:t xml:space="preserve"> </w:t>
      </w:r>
      <w:r w:rsidRPr="00EB7C11">
        <w:rPr>
          <w:lang w:val="es-PE"/>
        </w:rPr>
        <w:t xml:space="preserve">Que, asimismo, de acuerdo a </w:t>
      </w:r>
      <w:r w:rsidRPr="00EB7C1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B7C11" w:rsidR="00EB7C11" w:rsidP="00EB7C11" w:rsidRDefault="00EB7C11" w14:paraId="2C67782B" w14:textId="77777777">
      <w:pPr>
        <w:jc w:val="both"/>
        <w:outlineLvl w:val="0"/>
        <w:rPr>
          <w:lang w:val="es-PE"/>
        </w:rPr>
      </w:pPr>
    </w:p>
    <w:p w:rsidRPr="00EB7C11" w:rsidR="00EB7C11" w:rsidP="00EB7C11" w:rsidRDefault="00EB7C11" w14:paraId="1879CA5D" w14:textId="77777777">
      <w:pPr>
        <w:jc w:val="both"/>
        <w:outlineLvl w:val="0"/>
      </w:pPr>
      <w:r w:rsidRPr="00EB7C11">
        <w:rPr>
          <w:b/>
          <w:bCs/>
          <w:u w:val="single"/>
          <w:lang w:val="es-PE"/>
        </w:rPr>
        <w:t>Tercero</w:t>
      </w:r>
      <w:r w:rsidRPr="00EB7C11">
        <w:rPr>
          <w:b/>
          <w:bCs/>
          <w:lang w:val="es-PE"/>
        </w:rPr>
        <w:t>:</w:t>
      </w:r>
      <w:r w:rsidRPr="00EB7C11">
        <w:rPr>
          <w:lang w:val="es-PE"/>
        </w:rPr>
        <w:t xml:space="preserve"> Que, de acuerdo a la Ley Nro. </w:t>
      </w:r>
      <w:r w:rsidRPr="00EB7C11">
        <w:t xml:space="preserve">29946 – Ley del Contrato de Seguro, norma legal vigente con ocasión de la celebración del contrato al cual se contrae el presente caso, </w:t>
      </w:r>
      <w:r w:rsidRPr="00EB7C1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B7C11" w:rsidR="00EB7C11" w:rsidP="00EB7C11" w:rsidRDefault="00EB7C11" w14:paraId="135502DE" w14:textId="77777777">
      <w:pPr>
        <w:jc w:val="both"/>
        <w:outlineLvl w:val="0"/>
        <w:rPr>
          <w:b/>
          <w:u w:val="single"/>
          <w:lang w:val="es-PE"/>
        </w:rPr>
      </w:pPr>
    </w:p>
    <w:p w:rsidRPr="00EB7C11" w:rsidR="00EB7C11" w:rsidP="00EB7C11" w:rsidRDefault="00EB7C11" w14:paraId="3F5BB127" w14:textId="77777777">
      <w:pPr>
        <w:jc w:val="both"/>
        <w:outlineLvl w:val="0"/>
        <w:rPr>
          <w:lang w:val="es-PE"/>
        </w:rPr>
      </w:pPr>
      <w:r w:rsidRPr="00EB7C11">
        <w:rPr>
          <w:b/>
          <w:u w:val="single"/>
          <w:lang w:val="es-PE"/>
        </w:rPr>
        <w:t>Cuarto</w:t>
      </w:r>
      <w:r w:rsidRPr="00EB7C11">
        <w:rPr>
          <w:b/>
          <w:lang w:val="es-PE"/>
        </w:rPr>
        <w:t>:</w:t>
      </w:r>
      <w:r w:rsidRPr="00EB7C1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B7C11" w:rsidR="00EB7C11" w:rsidP="00EB7C11" w:rsidRDefault="00EB7C11" w14:paraId="3BA7E8FB" w14:textId="77777777">
      <w:pPr>
        <w:jc w:val="both"/>
        <w:outlineLvl w:val="0"/>
        <w:rPr>
          <w:bCs/>
        </w:rPr>
      </w:pPr>
    </w:p>
    <w:p w:rsidRPr="00EB7C11" w:rsidR="00EB7C11" w:rsidP="00EB7C11" w:rsidRDefault="00EB7C11" w14:paraId="33A1A76C" w14:textId="77777777">
      <w:pPr>
        <w:jc w:val="both"/>
        <w:outlineLvl w:val="0"/>
      </w:pPr>
      <w:r w:rsidRPr="00EB7C11">
        <w:rPr>
          <w:b/>
          <w:bCs/>
          <w:u w:val="single"/>
          <w:lang w:val="es-PE"/>
        </w:rPr>
        <w:t>Quinto</w:t>
      </w:r>
      <w:r w:rsidRPr="00EB7C11">
        <w:rPr>
          <w:b/>
          <w:bCs/>
          <w:lang w:val="es-PE"/>
        </w:rPr>
        <w:t xml:space="preserve">: </w:t>
      </w:r>
      <w:r w:rsidRPr="00EB7C11">
        <w:rPr>
          <w:lang w:val="es-PE"/>
        </w:rPr>
        <w:t>Que, conforme al</w:t>
      </w:r>
      <w:r w:rsidRPr="00EB7C11">
        <w:rPr>
          <w:b/>
          <w:bCs/>
          <w:lang w:val="es-PE"/>
        </w:rPr>
        <w:t xml:space="preserve"> </w:t>
      </w:r>
      <w:r w:rsidRPr="00EB7C1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B7C11" w:rsidR="00EB7C11" w:rsidP="00EB7C11" w:rsidRDefault="00EB7C11" w14:paraId="5BA0A396" w14:textId="77777777">
      <w:pPr>
        <w:jc w:val="both"/>
        <w:outlineLvl w:val="0"/>
      </w:pPr>
    </w:p>
    <w:p w:rsidRPr="00EB7C11" w:rsidR="00EB7C11" w:rsidP="00EB7C11" w:rsidRDefault="00EB7C11" w14:paraId="3CB0AB07" w14:textId="77777777">
      <w:pPr>
        <w:jc w:val="both"/>
        <w:outlineLvl w:val="0"/>
      </w:pPr>
      <w:r w:rsidRPr="00EB7C11">
        <w:rPr>
          <w:b/>
          <w:bCs/>
          <w:u w:val="single"/>
          <w:lang w:val="es-PE"/>
        </w:rPr>
        <w:t>Sexto</w:t>
      </w:r>
      <w:r w:rsidRPr="00EB7C11">
        <w:rPr>
          <w:b/>
          <w:bCs/>
          <w:lang w:val="es-PE"/>
        </w:rPr>
        <w:t xml:space="preserve">: </w:t>
      </w:r>
      <w:r w:rsidRPr="00EB7C11">
        <w:rPr>
          <w:lang w:val="es-PE"/>
        </w:rPr>
        <w:t>Que, sin perjuicio de lo indicado y el recuento de argumentos de las partes</w:t>
      </w:r>
      <w:r w:rsidRPr="00EB7C11">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EB7C11">
        <w:rPr>
          <w:lang w:val="es-PE"/>
        </w:rPr>
        <w:t>.</w:t>
      </w:r>
    </w:p>
    <w:p w:rsidRPr="00EB7C11" w:rsidR="00EB7C11" w:rsidP="00EB7C11" w:rsidRDefault="00EB7C11" w14:paraId="609DF6D8" w14:textId="77777777">
      <w:pPr>
        <w:jc w:val="both"/>
        <w:outlineLvl w:val="0"/>
      </w:pPr>
    </w:p>
    <w:p w:rsidRPr="00EB7C11" w:rsidR="00EB7C11" w:rsidP="00EB7C11" w:rsidRDefault="00EB7C11" w14:paraId="2713AB5D" w14:textId="77777777">
      <w:pPr>
        <w:jc w:val="both"/>
        <w:outlineLvl w:val="0"/>
      </w:pPr>
      <w:r w:rsidRPr="00EB7C11">
        <w:rPr>
          <w:b/>
          <w:u w:val="single"/>
        </w:rPr>
        <w:t>Sétimo</w:t>
      </w:r>
      <w:r w:rsidRPr="00EB7C11">
        <w:rPr>
          <w:b/>
        </w:rPr>
        <w:t>:</w:t>
      </w:r>
      <w:r w:rsidRPr="00EB7C11">
        <w:rPr>
          <w:b/>
          <w:lang w:val="es-PE"/>
        </w:rPr>
        <w:t xml:space="preserve"> </w:t>
      </w:r>
      <w:r w:rsidRPr="00EB7C11">
        <w:rPr>
          <w:lang w:val="es-PE"/>
        </w:rPr>
        <w:t xml:space="preserve"> </w:t>
      </w:r>
      <w:r w:rsidRPr="00EB7C11">
        <w:t>Que, en el presente caso se debe delimitar la controversia objeto del presente procedimiento.</w:t>
      </w:r>
      <w:r w:rsidRPr="00EB7C11">
        <w:rPr>
          <w:b/>
          <w:bCs/>
        </w:rPr>
        <w:t xml:space="preserve"> </w:t>
      </w:r>
    </w:p>
    <w:p w:rsidRPr="00EB7C11" w:rsidR="00EB7C11" w:rsidP="00EB7C11" w:rsidRDefault="00EB7C11" w14:paraId="38A1E208" w14:textId="77777777">
      <w:pPr>
        <w:jc w:val="both"/>
        <w:outlineLvl w:val="0"/>
      </w:pPr>
    </w:p>
    <w:p w:rsidRPr="00EB7C11" w:rsidR="00EB7C11" w:rsidP="00EB7C11" w:rsidRDefault="00EB7C11" w14:paraId="35691F2E" w14:textId="77777777">
      <w:pPr>
        <w:jc w:val="both"/>
        <w:outlineLvl w:val="0"/>
      </w:pPr>
      <w:r w:rsidRPr="00EB7C11">
        <w:lastRenderedPageBreak/>
        <w:t>En lo que corresponde a la cuantía, nos remitimos a lo solicitado por el reclamante con ocasión de la contestación a los descargos de la aseguradora, donde esta indicaba que el monto reclamado excedía la cuantía de la DEFASEG (correo de fecha 6 de marzo de 2025</w:t>
      </w:r>
      <w:proofErr w:type="gramStart"/>
      <w:r w:rsidRPr="00EB7C11">
        <w:t>)  su</w:t>
      </w:r>
      <w:proofErr w:type="gramEnd"/>
      <w:r w:rsidRPr="00EB7C11">
        <w:t xml:space="preserve"> reclamo ante DEFASEG, a saber: </w:t>
      </w:r>
    </w:p>
    <w:p w:rsidRPr="00EB7C11" w:rsidR="00EB7C11" w:rsidP="00EB7C11" w:rsidRDefault="00EB7C11" w14:paraId="1CDDEC1F" w14:textId="77777777">
      <w:pPr>
        <w:jc w:val="both"/>
        <w:outlineLvl w:val="0"/>
        <w:rPr>
          <w:bCs/>
        </w:rPr>
      </w:pPr>
    </w:p>
    <w:p w:rsidRPr="00EB7C11" w:rsidR="00EB7C11" w:rsidP="00EB7C11" w:rsidRDefault="00EB7C11" w14:paraId="08B834E3" w14:textId="11360179">
      <w:pPr>
        <w:jc w:val="center"/>
        <w:outlineLvl w:val="0"/>
      </w:pPr>
      <w:r w:rsidR="18F0D99E">
        <w:rPr/>
        <w:t>...............................................................................................................................................</w:t>
      </w:r>
    </w:p>
    <w:p w:rsidRPr="00EB7C11" w:rsidR="00EB7C11" w:rsidP="00EB7C11" w:rsidRDefault="00EB7C11" w14:paraId="1DD190DB" w14:textId="77777777">
      <w:pPr>
        <w:jc w:val="both"/>
        <w:outlineLvl w:val="0"/>
      </w:pPr>
    </w:p>
    <w:p w:rsidRPr="00EB7C11" w:rsidR="00EB7C11" w:rsidP="00EB7C11" w:rsidRDefault="00EB7C11" w14:paraId="0BAED15E" w14:textId="77777777">
      <w:pPr>
        <w:jc w:val="both"/>
        <w:outlineLvl w:val="0"/>
      </w:pPr>
      <w:r w:rsidRPr="00EB7C11">
        <w:t>En consecuencia, el monto solicitado por el reclamante de S/174,953.88, se encuentra dentro de la competencia por cuantía establecida por la DEFASEG.</w:t>
      </w:r>
    </w:p>
    <w:p w:rsidRPr="00EB7C11" w:rsidR="00EB7C11" w:rsidP="00EB7C11" w:rsidRDefault="00EB7C11" w14:paraId="4CA2B247" w14:textId="77777777">
      <w:pPr>
        <w:jc w:val="both"/>
        <w:outlineLvl w:val="0"/>
      </w:pPr>
    </w:p>
    <w:p w:rsidRPr="00EB7C11" w:rsidR="00EB7C11" w:rsidP="00EB7C11" w:rsidRDefault="00EB7C11" w14:paraId="189E314D" w14:textId="77777777">
      <w:pPr>
        <w:jc w:val="both"/>
        <w:outlineLvl w:val="0"/>
      </w:pPr>
      <w:r w:rsidRPr="00EB7C11">
        <w:t>En lo que respecta a la incorrecta designación de los ajustadores dicho aspecto, si bien se encuentra ligado a la determinación del monto a liquidar el siniestro, constituye un tema de idoneidad de servicios, aspecto respecto del cual esta Defensoría carece de competencia por materia.</w:t>
      </w:r>
    </w:p>
    <w:p w:rsidRPr="00EB7C11" w:rsidR="00EB7C11" w:rsidP="00EB7C11" w:rsidRDefault="00EB7C11" w14:paraId="07D612D8" w14:textId="77777777">
      <w:pPr>
        <w:jc w:val="both"/>
        <w:outlineLvl w:val="0"/>
      </w:pPr>
    </w:p>
    <w:p w:rsidRPr="00EB7C11" w:rsidR="00EB7C11" w:rsidP="00EB7C11" w:rsidRDefault="00EB7C11" w14:paraId="4C34FBEC" w14:textId="6315AFFA">
      <w:pPr>
        <w:jc w:val="both"/>
        <w:outlineLvl w:val="0"/>
      </w:pPr>
      <w:r w:rsidRPr="00EB7C11" w:rsidR="2A9E1BE0">
        <w:rPr/>
        <w:t xml:space="preserve">A </w:t>
      </w:r>
      <w:r w:rsidRPr="00EB7C11" w:rsidR="2A9E1BE0">
        <w:rPr/>
        <w:t>continuación</w:t>
      </w:r>
      <w:r w:rsidRPr="00EB7C11" w:rsidR="2A9E1BE0">
        <w:rPr/>
        <w:t xml:space="preserve"> transcribimos parte pertinente del Reglamento de DEFASEG</w:t>
      </w:r>
      <w:r w:rsidRPr="00EB7C11">
        <w:rPr>
          <w:vertAlign w:val="superscript"/>
        </w:rPr>
        <w:footnoteReference w:id="1"/>
      </w:r>
      <w:r w:rsidRPr="00EB7C11" w:rsidR="2A9E1BE0">
        <w:rPr/>
        <w:t>, el que dispone lo siguiente:</w:t>
      </w:r>
    </w:p>
    <w:p w:rsidR="43E93422" w:rsidP="43E93422" w:rsidRDefault="43E93422" w14:paraId="29B25D93" w14:textId="3F06487E">
      <w:pPr>
        <w:jc w:val="both"/>
        <w:outlineLvl w:val="0"/>
      </w:pPr>
    </w:p>
    <w:p w:rsidRPr="00EB7C11" w:rsidR="00EB7C11" w:rsidP="00EB7C11" w:rsidRDefault="00EB7C11" w14:paraId="27B15E8F" w14:textId="2876BF61">
      <w:pPr>
        <w:jc w:val="center"/>
        <w:outlineLvl w:val="0"/>
      </w:pPr>
      <w:r w:rsidR="6202B91D">
        <w:rPr/>
        <w:t>.......................................................................................................................................</w:t>
      </w:r>
    </w:p>
    <w:p w:rsidRPr="00EB7C11" w:rsidR="00EB7C11" w:rsidP="00EB7C11" w:rsidRDefault="00EB7C11" w14:paraId="5A8554E9" w14:textId="77777777">
      <w:pPr>
        <w:jc w:val="both"/>
        <w:outlineLvl w:val="0"/>
      </w:pPr>
    </w:p>
    <w:p w:rsidRPr="00EB7C11" w:rsidR="00EB7C11" w:rsidP="00EB7C11" w:rsidRDefault="00EB7C11" w14:paraId="48175AFE" w14:textId="77777777">
      <w:pPr>
        <w:jc w:val="both"/>
        <w:outlineLvl w:val="0"/>
      </w:pPr>
    </w:p>
    <w:p w:rsidRPr="00EB7C11" w:rsidR="00EB7C11" w:rsidP="00EB7C11" w:rsidRDefault="00EB7C11" w14:paraId="430A8EC6" w14:textId="77777777">
      <w:pPr>
        <w:jc w:val="both"/>
        <w:outlineLvl w:val="0"/>
      </w:pPr>
      <w:r w:rsidRPr="00EB7C11">
        <w:t>Como vemos, el Reglamento citado resulta bastante claro en lo que respecta a la competencia de DEFASEG, siendo que esta se limita al rechazo o liquidación de siniestros, con las excepciones contempladas. Asimismo, dicho apartado es claro al afirmar que no existe competencia cuando se solicitan, por ejemplo, “pretensiones indemnizatorias por daños y perjuicios, por reembolso de gastos, o idoneidad de servicios, entre otros”.</w:t>
      </w:r>
    </w:p>
    <w:p w:rsidRPr="00EB7C11" w:rsidR="00EB7C11" w:rsidP="00EB7C11" w:rsidRDefault="00EB7C11" w14:paraId="07142D3B" w14:textId="77777777">
      <w:pPr>
        <w:jc w:val="both"/>
        <w:outlineLvl w:val="0"/>
      </w:pPr>
    </w:p>
    <w:p w:rsidRPr="00EB7C11" w:rsidR="00EB7C11" w:rsidP="00EB7C11" w:rsidRDefault="00EB7C11" w14:paraId="2C17E81B" w14:textId="77777777">
      <w:pPr>
        <w:jc w:val="both"/>
        <w:outlineLvl w:val="0"/>
      </w:pPr>
      <w:r w:rsidRPr="00EB7C11">
        <w:t>Si únicamente estuviéramos discutiendo el monto de la liquidación, el mismo se encontraría dentro de la competencia de esta Defensoría; sin embargo, luego de leer detenidamente los argumentos de la parte reclamante, este colegiado aprecia que el inicio de la controversia no solo radica en que no se le presentó una propuesta, ni se le informaron las condiciones del seguro contratado, sino que además tuvo dificultades para ingresar el siniestro en la app, lo que motivó que la aseguradora considere que él hizo una elección del primer ajustador, lo que el reclamante señala no hizo; y que el reclamante considere que se vulneró su derecho a elegir al ajustador, dentro del plazo de ley, discrepando incluso del contenido de la póliza por cuanto en el contrato de crédito se señala un número que no correspondería al consignado en las liquidaciones de siniestro.</w:t>
      </w:r>
    </w:p>
    <w:p w:rsidRPr="00EB7C11" w:rsidR="00EB7C11" w:rsidP="00EB7C11" w:rsidRDefault="00EB7C11" w14:paraId="2C302C13" w14:textId="77777777">
      <w:pPr>
        <w:jc w:val="both"/>
        <w:outlineLvl w:val="0"/>
      </w:pPr>
    </w:p>
    <w:p w:rsidRPr="00EB7C11" w:rsidR="00EB7C11" w:rsidP="00EB7C11" w:rsidRDefault="00EB7C11" w14:paraId="4F17ADB1" w14:textId="77777777">
      <w:pPr>
        <w:jc w:val="both"/>
        <w:outlineLvl w:val="0"/>
      </w:pPr>
      <w:r w:rsidRPr="00EB7C11">
        <w:t xml:space="preserve">Como ello eventualmente motivaría que se deje sin efecto la designación de los ajustadores y por ende las liquidaciones realizadas por estos, procediendo una nueva elección del ajustador de siniestros, la determinación sobre si ello corresponde o no, es una materia sobre la cual esta Defensoría carece de competencia. </w:t>
      </w:r>
    </w:p>
    <w:p w:rsidRPr="00EB7C11" w:rsidR="00EB7C11" w:rsidP="00EB7C11" w:rsidRDefault="00EB7C11" w14:paraId="5A6F4281" w14:textId="77777777">
      <w:pPr>
        <w:jc w:val="both"/>
        <w:outlineLvl w:val="0"/>
      </w:pPr>
    </w:p>
    <w:p w:rsidRPr="00EB7C11" w:rsidR="00EB7C11" w:rsidP="00EB7C11" w:rsidRDefault="00EB7C11" w14:paraId="79573B95" w14:textId="77777777">
      <w:pPr>
        <w:jc w:val="both"/>
        <w:outlineLvl w:val="0"/>
      </w:pPr>
      <w:r w:rsidRPr="00EB7C11">
        <w:t>Siendo además que luego de dicha eventual nueva designación recién correspondería realizar la liquidación de siniestro, conforme a los términos y condiciones de la póliza entregada al asegurado (lo que también constituye un aspecto controvertido) en cuyo caso solo podrían oponerse aquellas exclusiones que fueron informadas previamente al asegurado; sin perjuicio de lo cual solo se cubrirá aquello que la póliza hubiera considerado como un riesgo asegurado, independientemente de si se entregó o no la póliza. Al respecto, este colegiado tiene a bien precisar que deberá distinguirse entre (i) cuáles son los riesgos asegurados por la póliza, pues a pesar que no se entregue un contrato de seguro, la aseguradora no puede otorgar cobertura más allá de lo que ha decidido asegurar (delimitación positiva de la cobertura, cuya carga de la prueba corresponde al asegurado); y, (</w:t>
      </w:r>
      <w:proofErr w:type="spellStart"/>
      <w:r w:rsidRPr="00EB7C11">
        <w:t>ii</w:t>
      </w:r>
      <w:proofErr w:type="spellEnd"/>
      <w:r w:rsidRPr="00EB7C11">
        <w:t>) qué riesgos decidió la aseguradora excluir de la cobertura otorgada (delimitación negativa de la cobertura de seguro, cuya carga de la prueba corresponde a la aseguradora).</w:t>
      </w:r>
    </w:p>
    <w:p w:rsidRPr="00EB7C11" w:rsidR="00EB7C11" w:rsidP="00EB7C11" w:rsidRDefault="00EB7C11" w14:paraId="2295B279" w14:textId="77777777">
      <w:pPr>
        <w:jc w:val="both"/>
        <w:outlineLvl w:val="0"/>
      </w:pPr>
    </w:p>
    <w:p w:rsidRPr="00EB7C11" w:rsidR="00EB7C11" w:rsidP="00EB7C11" w:rsidRDefault="00EB7C11" w14:paraId="63ECA2CC" w14:textId="77777777">
      <w:pPr>
        <w:jc w:val="both"/>
        <w:outlineLvl w:val="0"/>
      </w:pPr>
      <w:r w:rsidRPr="00EB7C11">
        <w:t xml:space="preserve">En conclusión, el presente procedimiento no se encuentra dentro de los alcances de la competencia de DEFASEG, ya que se refiere a aspectos que van más allá de una simple discrepancia respecto de la liquidación de siniestro. Por lo indicado, el presente Colegiado no es competente para analizar dicha controversia ni, mucho menos, emitir un pronunciamiento al respecto. </w:t>
      </w:r>
    </w:p>
    <w:p w:rsidRPr="00EB7C11" w:rsidR="00EB7C11" w:rsidP="00EB7C11" w:rsidRDefault="00EB7C11" w14:paraId="082E59F5" w14:textId="77777777">
      <w:pPr>
        <w:jc w:val="both"/>
        <w:outlineLvl w:val="0"/>
      </w:pPr>
    </w:p>
    <w:p w:rsidRPr="00EB7C11" w:rsidR="00EB7C11" w:rsidP="00EB7C11" w:rsidRDefault="00EB7C11" w14:paraId="753DCA6B" w14:textId="77777777">
      <w:pPr>
        <w:jc w:val="both"/>
        <w:outlineLvl w:val="0"/>
      </w:pPr>
      <w:r w:rsidRPr="00EB7C11">
        <w:t>Siendo el caso que esta Defensoría no cuenta con competencia para analizar la presente controversia, la presente Resolución no resulta pronunciamiento sobre el fondo de esta. Por lo indicado, es potestad de las partes el llevar la controversia ante las instancias competentes, conforme a ley y las atribuciones de estas.</w:t>
      </w:r>
    </w:p>
    <w:p w:rsidRPr="00EB7C11" w:rsidR="00EB7C11" w:rsidP="00EB7C11" w:rsidRDefault="00EB7C11" w14:paraId="5E8B5079" w14:textId="77777777">
      <w:pPr>
        <w:jc w:val="both"/>
        <w:outlineLvl w:val="0"/>
        <w:rPr>
          <w:bCs/>
        </w:rPr>
      </w:pPr>
    </w:p>
    <w:p w:rsidRPr="00EB7C11" w:rsidR="00EB7C11" w:rsidP="00EB7C11" w:rsidRDefault="00EB7C11" w14:paraId="219B177D" w14:textId="77777777">
      <w:pPr>
        <w:jc w:val="both"/>
        <w:outlineLvl w:val="0"/>
        <w:rPr>
          <w:b/>
          <w:lang w:val="es-PE"/>
        </w:rPr>
      </w:pPr>
      <w:r w:rsidRPr="00EB7C11">
        <w:rPr>
          <w:b/>
          <w:lang w:val="es-PE"/>
        </w:rPr>
        <w:lastRenderedPageBreak/>
        <w:t xml:space="preserve">Atendiendo a lo expresado, este colegiado </w:t>
      </w:r>
      <w:r w:rsidRPr="00EB7C11">
        <w:rPr>
          <w:b/>
        </w:rPr>
        <w:t>concluye su apreciación razonada y conjunta al amparo de lo establecido en su Reglamento, por lo que</w:t>
      </w:r>
      <w:r w:rsidRPr="00EB7C11">
        <w:rPr>
          <w:b/>
          <w:lang w:val="es-PE"/>
        </w:rPr>
        <w:t xml:space="preserve"> resuelve:</w:t>
      </w:r>
    </w:p>
    <w:p w:rsidRPr="00EB7C11" w:rsidR="00EB7C11" w:rsidP="00EB7C11" w:rsidRDefault="00EB7C11" w14:paraId="55E0CE9B" w14:textId="77777777">
      <w:pPr>
        <w:jc w:val="both"/>
        <w:outlineLvl w:val="0"/>
      </w:pPr>
    </w:p>
    <w:p w:rsidRPr="00EB7C11" w:rsidR="00EB7C11" w:rsidP="00EB7C11" w:rsidRDefault="00EB7C11" w14:paraId="2C62F2FE" w14:textId="21D6DEEA">
      <w:pPr>
        <w:jc w:val="both"/>
        <w:outlineLvl w:val="0"/>
        <w:rPr>
          <w:lang w:val="es-PE"/>
        </w:rPr>
      </w:pPr>
      <w:r w:rsidRPr="43E93422" w:rsidR="2A9E1BE0">
        <w:rPr>
          <w:lang w:val="es-PE"/>
        </w:rPr>
        <w:t xml:space="preserve">Declarar </w:t>
      </w:r>
      <w:r w:rsidRPr="43E93422" w:rsidR="2A9E1BE0">
        <w:rPr>
          <w:b w:val="1"/>
          <w:bCs w:val="1"/>
          <w:lang w:val="es-PE"/>
        </w:rPr>
        <w:t>IMPROCEDENTE</w:t>
      </w:r>
      <w:r w:rsidRPr="43E93422" w:rsidR="2A9E1BE0">
        <w:rPr>
          <w:b w:val="1"/>
          <w:bCs w:val="1"/>
          <w:lang w:val="es-PE"/>
        </w:rPr>
        <w:t xml:space="preserve"> </w:t>
      </w:r>
      <w:r w:rsidRPr="43E93422" w:rsidR="2A9E1BE0">
        <w:rPr>
          <w:lang w:val="es-PE"/>
        </w:rPr>
        <w:t xml:space="preserve">la reclamación interpuesta por don </w:t>
      </w:r>
      <w:r w:rsidRPr="43E93422" w:rsidR="06C1F187">
        <w:rPr>
          <w:lang w:val="es-PE"/>
        </w:rPr>
        <w:t>.......................................................................................................................</w:t>
      </w:r>
      <w:r w:rsidRPr="43E93422" w:rsidR="2A9E1BE0">
        <w:rPr>
          <w:b w:val="1"/>
          <w:bCs w:val="1"/>
          <w:lang w:val="es-PE"/>
        </w:rPr>
        <w:t xml:space="preserve"> </w:t>
      </w:r>
      <w:r w:rsidRPr="43E93422" w:rsidR="2A9E1BE0">
        <w:rPr>
          <w:lang w:val="es-PE"/>
        </w:rPr>
        <w:t xml:space="preserve">contra </w:t>
      </w:r>
      <w:r w:rsidRPr="43E93422" w:rsidR="28A035BB">
        <w:rPr>
          <w:lang w:val="es-PE"/>
        </w:rPr>
        <w:t>...........................................................................................................</w:t>
      </w:r>
      <w:r w:rsidRPr="43E93422" w:rsidR="2A9E1BE0">
        <w:rPr>
          <w:lang w:val="es-PE"/>
        </w:rPr>
        <w:t>, dejando a salvo el derecho del reclamante de acudir ante las instancias que estime pertinente.</w:t>
      </w:r>
    </w:p>
    <w:p w:rsidRPr="004F1DEE" w:rsidR="00804FBA" w:rsidP="00E06FC0" w:rsidRDefault="00F15FBA" w14:paraId="0B8F9BB3" w14:textId="22ECCD20">
      <w:pPr>
        <w:jc w:val="right"/>
        <w:outlineLvl w:val="0"/>
        <w:rPr>
          <w:lang w:val="es-PE"/>
        </w:rPr>
      </w:pPr>
      <w:r w:rsidRPr="004F1DEE">
        <w:rPr>
          <w:lang w:val="es-PE"/>
        </w:rPr>
        <w:t>Lima,</w:t>
      </w:r>
      <w:r w:rsidRPr="004F1DEE" w:rsidR="009D4785">
        <w:rPr>
          <w:lang w:val="es-PE"/>
        </w:rPr>
        <w:t xml:space="preserve"> </w:t>
      </w:r>
      <w:r w:rsidRPr="004F1DEE" w:rsidR="005018BF">
        <w:rPr>
          <w:lang w:val="es-PE"/>
        </w:rPr>
        <w:t>0</w:t>
      </w:r>
      <w:r w:rsidRPr="004F1DEE" w:rsidR="003E0B23">
        <w:rPr>
          <w:lang w:val="es-PE"/>
        </w:rPr>
        <w:t>4</w:t>
      </w:r>
      <w:r w:rsidRPr="004F1DEE" w:rsidR="00C70C36">
        <w:rPr>
          <w:lang w:val="es-PE"/>
        </w:rPr>
        <w:t xml:space="preserve"> </w:t>
      </w:r>
      <w:r w:rsidRPr="004F1DEE">
        <w:rPr>
          <w:lang w:val="es-PE"/>
        </w:rPr>
        <w:t>de</w:t>
      </w:r>
      <w:r w:rsidRPr="004F1DEE" w:rsidR="001631D6">
        <w:rPr>
          <w:lang w:val="es-PE"/>
        </w:rPr>
        <w:t xml:space="preserve"> </w:t>
      </w:r>
      <w:r w:rsidRPr="004F1DEE" w:rsidR="005018BF">
        <w:rPr>
          <w:lang w:val="es-PE"/>
        </w:rPr>
        <w:t>junio</w:t>
      </w:r>
      <w:r w:rsidRPr="004F1DEE" w:rsidR="001631D6">
        <w:rPr>
          <w:lang w:val="es-PE"/>
        </w:rPr>
        <w:t xml:space="preserve"> </w:t>
      </w:r>
      <w:r w:rsidRPr="004F1DEE">
        <w:rPr>
          <w:lang w:val="es-PE"/>
        </w:rPr>
        <w:t>de 20</w:t>
      </w:r>
      <w:r w:rsidRPr="004F1DEE" w:rsidR="001631D6">
        <w:rPr>
          <w:lang w:val="es-PE"/>
        </w:rPr>
        <w:t>2</w:t>
      </w:r>
      <w:r w:rsidRPr="004F1DEE" w:rsidR="0073373B">
        <w:rPr>
          <w:lang w:val="es-PE"/>
        </w:rPr>
        <w:t>5</w:t>
      </w:r>
    </w:p>
    <w:p w:rsidRPr="004F1DEE" w:rsidR="00804FBA" w:rsidP="00E06FC0" w:rsidRDefault="00804FBA" w14:paraId="2C8A5CBC" w14:textId="77777777">
      <w:pPr>
        <w:jc w:val="both"/>
        <w:rPr>
          <w:b/>
          <w:bCs/>
          <w:i/>
          <w:iCs/>
          <w:lang w:val="es-ES_tradnl"/>
        </w:rPr>
      </w:pPr>
    </w:p>
    <w:p w:rsidRPr="004F1DEE" w:rsidR="003F73A8" w:rsidP="00E06FC0" w:rsidRDefault="003F73A8" w14:paraId="00714C2C" w14:textId="77777777">
      <w:pPr>
        <w:jc w:val="both"/>
        <w:rPr>
          <w:b/>
          <w:bCs/>
          <w:i/>
          <w:iCs/>
          <w:lang w:val="es-ES_tradnl"/>
        </w:rPr>
      </w:pPr>
      <w:r w:rsidRPr="004F1DEE">
        <w:rPr>
          <w:b/>
          <w:bCs/>
          <w:i/>
          <w:iCs/>
          <w:lang w:val="es-ES_tradnl"/>
        </w:rPr>
        <w:t>La Secretaría Técnica certifica que la presente resolución cuenta con el voto de los vocales cuyos nombres figuran en el presente documento.</w:t>
      </w:r>
    </w:p>
    <w:p w:rsidRPr="004F1DEE" w:rsidR="00707C3F" w:rsidP="00707C3F" w:rsidRDefault="00707C3F" w14:paraId="52D37E4A" w14:textId="77777777">
      <w:pPr>
        <w:jc w:val="both"/>
        <w:rPr>
          <w:b/>
          <w:bCs/>
          <w:i/>
          <w:iCs/>
          <w:lang w:val="es-ES_tradnl"/>
        </w:rPr>
      </w:pPr>
    </w:p>
    <w:p w:rsidRPr="004F1DEE" w:rsidR="00707C3F" w:rsidP="00707C3F" w:rsidRDefault="00707C3F" w14:paraId="30ED2D98" w14:textId="547A44C6">
      <w:pPr>
        <w:spacing w:line="360" w:lineRule="auto"/>
        <w:jc w:val="center"/>
        <w:rPr>
          <w:b/>
          <w:bCs/>
        </w:rPr>
      </w:pPr>
      <w:r w:rsidRPr="004F1DEE">
        <w:rPr>
          <w:b/>
          <w:bCs/>
        </w:rPr>
        <w:t xml:space="preserve">Rolando Eyzaguirre </w:t>
      </w:r>
      <w:proofErr w:type="spellStart"/>
      <w:r w:rsidRPr="004F1DEE">
        <w:rPr>
          <w:b/>
          <w:bCs/>
        </w:rPr>
        <w:t>Maccan</w:t>
      </w:r>
      <w:proofErr w:type="spellEnd"/>
      <w:r w:rsidRPr="004F1DEE">
        <w:rPr>
          <w:b/>
          <w:bCs/>
        </w:rPr>
        <w:t xml:space="preserve"> – </w:t>
      </w:r>
      <w:proofErr w:type="gramStart"/>
      <w:r w:rsidRPr="004F1DEE" w:rsidR="00E4456F">
        <w:rPr>
          <w:b/>
          <w:bCs/>
        </w:rPr>
        <w:t>Presidente</w:t>
      </w:r>
      <w:proofErr w:type="gramEnd"/>
    </w:p>
    <w:p w:rsidRPr="004F1DEE" w:rsidR="00BB4CEC" w:rsidP="00BB4CEC" w:rsidRDefault="00BB4CEC" w14:paraId="01720D6D" w14:textId="7AD41673">
      <w:pPr>
        <w:spacing w:line="360" w:lineRule="auto"/>
        <w:jc w:val="center"/>
        <w:rPr>
          <w:b/>
          <w:bCs/>
        </w:rPr>
      </w:pPr>
      <w:r w:rsidRPr="004F1DEE">
        <w:rPr>
          <w:b/>
          <w:bCs/>
        </w:rPr>
        <w:t>María Eugenia Valdez Fernández Baca –</w:t>
      </w:r>
      <w:r w:rsidRPr="004F1DEE" w:rsidR="00E4456F">
        <w:rPr>
          <w:b/>
          <w:bCs/>
        </w:rPr>
        <w:t xml:space="preserve"> Vocal</w:t>
      </w:r>
      <w:r w:rsidRPr="004F1DEE">
        <w:rPr>
          <w:b/>
          <w:bCs/>
        </w:rPr>
        <w:t xml:space="preserve"> </w:t>
      </w:r>
    </w:p>
    <w:p w:rsidRPr="004F1DEE" w:rsidR="00DD0E29" w:rsidP="00AD20C0" w:rsidRDefault="00AD20C0" w14:paraId="487074CF" w14:textId="11EAC2F0">
      <w:pPr>
        <w:spacing w:line="360" w:lineRule="auto"/>
        <w:jc w:val="center"/>
        <w:rPr>
          <w:b/>
          <w:bCs/>
        </w:rPr>
      </w:pPr>
      <w:r w:rsidRPr="004F1DEE">
        <w:rPr>
          <w:b/>
          <w:bCs/>
        </w:rPr>
        <w:t>Antonio José Rodríguez Lobatón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7248" w:rsidP="005F148C" w:rsidRDefault="00BB7248" w14:paraId="27E4EE24" w14:textId="77777777">
      <w:r>
        <w:separator/>
      </w:r>
    </w:p>
  </w:endnote>
  <w:endnote w:type="continuationSeparator" w:id="0">
    <w:p w:rsidR="00BB7248" w:rsidP="005F148C" w:rsidRDefault="00BB7248" w14:paraId="09F5E1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7248" w:rsidP="005F148C" w:rsidRDefault="00BB7248" w14:paraId="0B865DB8" w14:textId="77777777">
      <w:r>
        <w:separator/>
      </w:r>
    </w:p>
  </w:footnote>
  <w:footnote w:type="continuationSeparator" w:id="0">
    <w:p w:rsidR="00BB7248" w:rsidP="005F148C" w:rsidRDefault="00BB7248" w14:paraId="18432C10" w14:textId="77777777">
      <w:r>
        <w:continuationSeparator/>
      </w:r>
    </w:p>
  </w:footnote>
  <w:footnote w:id="1">
    <w:p w:rsidR="00EB7C11" w:rsidP="00EB7C11" w:rsidRDefault="00EB7C11" w14:paraId="6B10B637" w14:textId="77777777">
      <w:pPr>
        <w:pStyle w:val="Textonotapie"/>
        <w:rPr>
          <w:lang w:val="es-MX"/>
        </w:rPr>
      </w:pPr>
      <w:r>
        <w:rPr>
          <w:rStyle w:val="Refdenotaalpie"/>
        </w:rPr>
        <w:footnoteRef/>
      </w:r>
      <w:r>
        <w:t xml:space="preserve"> </w:t>
      </w:r>
      <w:r>
        <w:rPr>
          <w:lang w:val="es-MX"/>
        </w:rPr>
        <w:t xml:space="preserve">Ver: </w:t>
      </w:r>
      <w:hyperlink w:history="1" r:id="rId1">
        <w:r>
          <w:rPr>
            <w:rStyle w:val="Hipervnculo"/>
            <w:rFonts w:eastAsiaTheme="majorEastAsia"/>
            <w:lang w:val="es-MX"/>
          </w:rPr>
          <w:t>https://www.defaseg.com.pe/reglamento-de-defaseg/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5"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3"/>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4"/>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9"/>
  </w:num>
  <w:num w:numId="39" w16cid:durableId="375400375">
    <w:abstractNumId w:val="0"/>
  </w:num>
  <w:num w:numId="40" w16cid:durableId="1536462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7"/>
  </w:num>
  <w:num w:numId="42" w16cid:durableId="1367632935">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75F4C"/>
    <w:rsid w:val="00280092"/>
    <w:rsid w:val="00281026"/>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2F05540"/>
    <w:rsid w:val="03A2597A"/>
    <w:rsid w:val="06C1F187"/>
    <w:rsid w:val="18F0D99E"/>
    <w:rsid w:val="1B710A4D"/>
    <w:rsid w:val="28A035BB"/>
    <w:rsid w:val="2A5A8A5F"/>
    <w:rsid w:val="2A9E1BE0"/>
    <w:rsid w:val="34079D86"/>
    <w:rsid w:val="3480B901"/>
    <w:rsid w:val="43E93422"/>
    <w:rsid w:val="554561F0"/>
    <w:rsid w:val="5FF92E8A"/>
    <w:rsid w:val="6202B91D"/>
    <w:rsid w:val="66D52670"/>
    <w:rsid w:val="7DB3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www.defaseg.com.pe/reglamento-de-defase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8F7EDBC-91DF-41B9-89AA-73EC4BAC1A6D}"/>
</file>

<file path=customXml/itemProps3.xml><?xml version="1.0" encoding="utf-8"?>
<ds:datastoreItem xmlns:ds="http://schemas.openxmlformats.org/officeDocument/2006/customXml" ds:itemID="{41267102-C5DD-480A-9892-95B19AE6AC26}"/>
</file>

<file path=customXml/itemProps4.xml><?xml version="1.0" encoding="utf-8"?>
<ds:datastoreItem xmlns:ds="http://schemas.openxmlformats.org/officeDocument/2006/customXml" ds:itemID="{02A46999-D3BC-4F7A-815B-67FA2EEABA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515</cp:revision>
  <cp:lastPrinted>2025-06-09T16:02:00Z</cp:lastPrinted>
  <dcterms:created xsi:type="dcterms:W3CDTF">2023-06-22T13:57:00Z</dcterms:created>
  <dcterms:modified xsi:type="dcterms:W3CDTF">2026-03-25T16:32:39Z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