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30D1B" w:rsidR="00ED76D4" w:rsidP="00E30D1B" w:rsidRDefault="00F15FBA" w14:paraId="7D9CB633" w14:textId="341A8EF7">
      <w:pPr>
        <w:pStyle w:val="Ttulo"/>
        <w:outlineLvl w:val="0"/>
        <w:rPr>
          <w:lang w:val="es-PE"/>
        </w:rPr>
      </w:pPr>
      <w:r w:rsidRPr="00E30D1B">
        <w:rPr>
          <w:lang w:val="es-PE"/>
        </w:rPr>
        <w:t>RESOLUCIÓN N</w:t>
      </w:r>
      <w:r w:rsidRPr="00E30D1B" w:rsidR="001631D6">
        <w:rPr>
          <w:lang w:val="es-PE"/>
        </w:rPr>
        <w:t xml:space="preserve">° </w:t>
      </w:r>
      <w:r w:rsidRPr="00E30D1B" w:rsidR="00015A30">
        <w:rPr>
          <w:lang w:val="es-PE"/>
        </w:rPr>
        <w:t>0</w:t>
      </w:r>
      <w:r w:rsidRPr="00E30D1B" w:rsidR="00B75B4C">
        <w:rPr>
          <w:lang w:val="es-PE"/>
        </w:rPr>
        <w:t>8</w:t>
      </w:r>
      <w:r w:rsidRPr="00E30D1B" w:rsidR="00992D67">
        <w:rPr>
          <w:lang w:val="es-PE"/>
        </w:rPr>
        <w:t>5</w:t>
      </w:r>
      <w:r w:rsidRPr="00E30D1B" w:rsidR="001631D6">
        <w:rPr>
          <w:lang w:val="es-PE"/>
        </w:rPr>
        <w:t>/2</w:t>
      </w:r>
      <w:r w:rsidRPr="00E30D1B" w:rsidR="0073373B">
        <w:rPr>
          <w:lang w:val="es-PE"/>
        </w:rPr>
        <w:t>5</w:t>
      </w:r>
    </w:p>
    <w:p w:rsidRPr="00ED76D4" w:rsidR="00E30D1B" w:rsidP="00E30D1B" w:rsidRDefault="00E30D1B" w14:paraId="57E3038A" w14:textId="77777777">
      <w:pPr>
        <w:pStyle w:val="Ttulo"/>
        <w:outlineLvl w:val="0"/>
        <w:rPr>
          <w:lang w:val="es-PE"/>
        </w:rPr>
      </w:pPr>
    </w:p>
    <w:p w:rsidRPr="00ED76D4" w:rsidR="00ED76D4" w:rsidP="00ED76D4" w:rsidRDefault="00ED76D4" w14:paraId="0006B147" w14:textId="77777777">
      <w:pPr>
        <w:jc w:val="both"/>
        <w:outlineLvl w:val="0"/>
        <w:rPr>
          <w:b/>
          <w:bCs/>
          <w:lang w:val="es-PE"/>
        </w:rPr>
      </w:pPr>
      <w:r w:rsidRPr="00ED76D4">
        <w:rPr>
          <w:b/>
          <w:bCs/>
          <w:lang w:val="es-PE"/>
        </w:rPr>
        <w:t>Vistos:</w:t>
      </w:r>
    </w:p>
    <w:p w:rsidRPr="00ED76D4" w:rsidR="00ED76D4" w:rsidP="00ED76D4" w:rsidRDefault="00ED76D4" w14:paraId="1BCB8FE4" w14:textId="77777777">
      <w:pPr>
        <w:jc w:val="both"/>
        <w:outlineLvl w:val="0"/>
        <w:rPr>
          <w:b/>
          <w:bCs/>
          <w:lang w:val="es-PE"/>
        </w:rPr>
      </w:pPr>
    </w:p>
    <w:p w:rsidRPr="00ED76D4" w:rsidR="00ED76D4" w:rsidP="00ED76D4" w:rsidRDefault="00ED76D4" w14:paraId="6B5BDFEA" w14:textId="7BF5AC8D">
      <w:pPr>
        <w:jc w:val="both"/>
        <w:outlineLvl w:val="0"/>
        <w:rPr>
          <w:lang w:val="es-PE"/>
        </w:rPr>
      </w:pPr>
      <w:r w:rsidRPr="5837185C" w:rsidR="00ED76D4">
        <w:rPr>
          <w:lang w:val="es-PE"/>
        </w:rPr>
        <w:t xml:space="preserve">Que, el 29 de enero de 2025 doña </w:t>
      </w:r>
      <w:r w:rsidRPr="5837185C" w:rsidR="623C78E0">
        <w:rPr>
          <w:lang w:val="es-PE"/>
        </w:rPr>
        <w:t>..........................................................................</w:t>
      </w:r>
      <w:r w:rsidRPr="5837185C" w:rsidR="00ED76D4">
        <w:rPr>
          <w:lang w:val="es-PE"/>
        </w:rPr>
        <w:t xml:space="preserve">, interpone reclamación ante esta Defensoría del Asegurado (DEFASEG), solicitando que </w:t>
      </w:r>
      <w:r w:rsidRPr="5837185C" w:rsidR="448EAC14">
        <w:rPr>
          <w:lang w:val="es-PE"/>
        </w:rPr>
        <w:t>......................................................................................</w:t>
      </w:r>
      <w:r w:rsidRPr="5837185C" w:rsidR="00ED76D4">
        <w:rPr>
          <w:lang w:val="es-PE"/>
        </w:rPr>
        <w:t xml:space="preserve"> (</w:t>
      </w:r>
      <w:r w:rsidRPr="5837185C" w:rsidR="54DCA4D2">
        <w:rPr>
          <w:lang w:val="es-PE"/>
        </w:rPr>
        <w:t>..............................</w:t>
      </w:r>
      <w:r w:rsidRPr="5837185C" w:rsidR="00ED76D4">
        <w:rPr>
          <w:lang w:val="es-PE"/>
        </w:rPr>
        <w:t xml:space="preserve">) otorgue cobertura de seguro de desgravamen por su situación de invalidez conforme a la póliza de desgravamen </w:t>
      </w:r>
      <w:r w:rsidRPr="5837185C" w:rsidR="00ED76D4">
        <w:rPr>
          <w:lang w:val="es-PE"/>
        </w:rPr>
        <w:t>N°</w:t>
      </w:r>
      <w:r w:rsidRPr="5837185C" w:rsidR="00ED76D4">
        <w:rPr>
          <w:lang w:val="es-PE"/>
        </w:rPr>
        <w:t xml:space="preserve"> </w:t>
      </w:r>
      <w:r w:rsidRPr="5837185C" w:rsidR="6EB56457">
        <w:rPr>
          <w:lang w:val="es-PE"/>
        </w:rPr>
        <w:t>......................................</w:t>
      </w:r>
      <w:r w:rsidRPr="5837185C" w:rsidR="00ED76D4">
        <w:rPr>
          <w:lang w:val="es-PE"/>
        </w:rPr>
        <w:t xml:space="preserve"> adquirida con motivo del crédito concedido por el Banco Interbank; </w:t>
      </w:r>
    </w:p>
    <w:p w:rsidRPr="00ED76D4" w:rsidR="00ED76D4" w:rsidP="00ED76D4" w:rsidRDefault="00ED76D4" w14:paraId="3EAA036D" w14:textId="77777777">
      <w:pPr>
        <w:jc w:val="both"/>
        <w:outlineLvl w:val="0"/>
        <w:rPr>
          <w:lang w:val="es-PE"/>
        </w:rPr>
      </w:pPr>
    </w:p>
    <w:p w:rsidRPr="00ED76D4" w:rsidR="00ED76D4" w:rsidP="00ED76D4" w:rsidRDefault="00ED76D4" w14:paraId="1B524A56" w14:textId="77777777">
      <w:pPr>
        <w:jc w:val="both"/>
        <w:outlineLvl w:val="0"/>
        <w:rPr>
          <w:lang w:val="es-PE"/>
        </w:rPr>
      </w:pPr>
      <w:r w:rsidRPr="00ED76D4">
        <w:rPr>
          <w:lang w:val="es-PE"/>
        </w:rPr>
        <w:t>Que, la señalada reclamación cumple con los requisitos de materia, cuantía y oportunidad establecidos en el Reglamento de la DEFASEG (http://www.defaseg.com.pe/reglamento);</w:t>
      </w:r>
    </w:p>
    <w:p w:rsidRPr="00ED76D4" w:rsidR="00ED76D4" w:rsidP="00ED76D4" w:rsidRDefault="00ED76D4" w14:paraId="3EFA81A3" w14:textId="77777777">
      <w:pPr>
        <w:jc w:val="both"/>
        <w:outlineLvl w:val="0"/>
        <w:rPr>
          <w:lang w:val="es-PE"/>
        </w:rPr>
      </w:pPr>
    </w:p>
    <w:p w:rsidRPr="00ED76D4" w:rsidR="00ED76D4" w:rsidP="00ED76D4" w:rsidRDefault="00ED76D4" w14:paraId="2B4C0D21" w14:textId="77777777">
      <w:pPr>
        <w:jc w:val="both"/>
        <w:outlineLvl w:val="0"/>
        <w:rPr>
          <w:lang w:val="es-PE"/>
        </w:rPr>
      </w:pPr>
      <w:r w:rsidRPr="00ED76D4">
        <w:rPr>
          <w:lang w:val="es-PE"/>
        </w:rPr>
        <w:t>Que, habiéndose corrido traslado de la respectiva reclamación, la aseguradora presentó sus descargos el 01 de abril de 2025, adjuntando la documentación correspondiente.</w:t>
      </w:r>
    </w:p>
    <w:p w:rsidRPr="00ED76D4" w:rsidR="00ED76D4" w:rsidP="00ED76D4" w:rsidRDefault="00ED76D4" w14:paraId="1FA06655" w14:textId="77777777">
      <w:pPr>
        <w:jc w:val="both"/>
        <w:outlineLvl w:val="0"/>
        <w:rPr>
          <w:lang w:val="es-PE"/>
        </w:rPr>
      </w:pPr>
    </w:p>
    <w:p w:rsidRPr="00ED76D4" w:rsidR="00ED76D4" w:rsidP="00ED76D4" w:rsidRDefault="00ED76D4" w14:paraId="67829F52" w14:textId="60E5E668">
      <w:pPr>
        <w:jc w:val="both"/>
        <w:outlineLvl w:val="0"/>
        <w:rPr>
          <w:lang w:val="es-PE"/>
        </w:rPr>
      </w:pPr>
      <w:r w:rsidRPr="00ED76D4">
        <w:rPr>
          <w:lang w:val="es-PE"/>
        </w:rPr>
        <w:t>Que, el 02 de junio de 2025 se realizó la correspondiente audiencia virtual de vista con la participación de ambas partes a través de la plataforma habilitada para tal efecto, oportunidad en la cual cada una expuso su posición y absolvió las distintas preguntas formuladas, conforme consta de la correspondiente acta.</w:t>
      </w:r>
    </w:p>
    <w:p w:rsidRPr="00ED76D4" w:rsidR="00ED76D4" w:rsidP="00ED76D4" w:rsidRDefault="00ED76D4" w14:paraId="192701D4" w14:textId="77777777">
      <w:pPr>
        <w:jc w:val="both"/>
        <w:outlineLvl w:val="0"/>
        <w:rPr>
          <w:lang w:val="es-PE"/>
        </w:rPr>
      </w:pPr>
    </w:p>
    <w:p w:rsidRPr="00ED76D4" w:rsidR="00ED76D4" w:rsidP="00ED76D4" w:rsidRDefault="00ED76D4" w14:paraId="087DF138" w14:textId="1CC9622A">
      <w:pPr>
        <w:jc w:val="both"/>
        <w:outlineLvl w:val="0"/>
        <w:rPr>
          <w:lang w:val="es-PE"/>
        </w:rPr>
      </w:pPr>
      <w:r w:rsidRPr="5837185C" w:rsidR="00ED76D4">
        <w:rPr>
          <w:lang w:val="es-PE"/>
        </w:rPr>
        <w:t xml:space="preserve">Que, la reclamante sustenta su pedido resumidamente en lo siguiente: a) Solicita que </w:t>
      </w:r>
      <w:r w:rsidRPr="5837185C" w:rsidR="54DCA4D2">
        <w:rPr>
          <w:lang w:val="es-PE"/>
        </w:rPr>
        <w:t>..............................</w:t>
      </w:r>
      <w:r w:rsidRPr="5837185C" w:rsidR="00ED76D4">
        <w:rPr>
          <w:lang w:val="es-PE"/>
        </w:rPr>
        <w:t xml:space="preserve"> active el desgravamen del préstamo efectivo que pagó con INTERBANK debdo a que cuenta con dictamen COMAFP de invalidez total y permanente con menoscabo del 96.50%; b) sustenta su denuncia en que le responden basándose en la preexistencia de la enfermedad y no en el dictamen del 22/02/2024 que indica que presenta glaucoma avanzado; además que no solo refiere al glaucoma sino también a otros trastornos de los discos </w:t>
      </w:r>
      <w:r w:rsidRPr="5837185C" w:rsidR="00ED76D4">
        <w:rPr>
          <w:lang w:val="es-PE"/>
        </w:rPr>
        <w:t>invertebrales</w:t>
      </w:r>
      <w:r w:rsidRPr="5837185C" w:rsidR="00ED76D4">
        <w:rPr>
          <w:lang w:val="es-PE"/>
        </w:rPr>
        <w:t xml:space="preserve">; siendo que no le han solicitado la historia clínica. La reclamante ha presentado asimismo un escrito de desistimiento del reclamo que había presentado ante INDECOPI por la misma materia sometida a esta controversia, </w:t>
      </w:r>
      <w:r w:rsidRPr="5837185C" w:rsidR="00ED76D4">
        <w:rPr>
          <w:lang w:val="es-PE"/>
        </w:rPr>
        <w:t>a fin que</w:t>
      </w:r>
      <w:r w:rsidRPr="5837185C" w:rsidR="00ED76D4">
        <w:rPr>
          <w:lang w:val="es-PE"/>
        </w:rPr>
        <w:t xml:space="preserve"> su caso pueda ser visto por la DEFASEG</w:t>
      </w:r>
    </w:p>
    <w:p w:rsidRPr="00ED76D4" w:rsidR="00ED76D4" w:rsidP="00ED76D4" w:rsidRDefault="00ED76D4" w14:paraId="629BA498" w14:textId="77777777">
      <w:pPr>
        <w:jc w:val="both"/>
        <w:outlineLvl w:val="0"/>
        <w:rPr>
          <w:lang w:val="es-PE"/>
        </w:rPr>
      </w:pPr>
    </w:p>
    <w:p w:rsidRPr="00ED76D4" w:rsidR="00ED76D4" w:rsidP="00ED76D4" w:rsidRDefault="00ED76D4" w14:paraId="08063E5A" w14:textId="125E0ECF">
      <w:pPr>
        <w:jc w:val="both"/>
        <w:outlineLvl w:val="0"/>
        <w:rPr>
          <w:lang w:val="es-PE"/>
        </w:rPr>
      </w:pPr>
      <w:r w:rsidRPr="5837185C" w:rsidR="00ED76D4">
        <w:rPr>
          <w:lang w:val="es-PE"/>
        </w:rPr>
        <w:t xml:space="preserve">Que, por su parte la aseguradora ratifica el rechazo de cobertura, sustentando su posición resumidamente en lo siguiente: a) con fecha 31 de octubre de 2023 la reclamante contrató con </w:t>
      </w:r>
      <w:r w:rsidRPr="5837185C" w:rsidR="54DCA4D2">
        <w:rPr>
          <w:lang w:val="es-PE"/>
        </w:rPr>
        <w:t>..............................</w:t>
      </w:r>
      <w:r w:rsidRPr="5837185C" w:rsidR="00ED76D4">
        <w:rPr>
          <w:lang w:val="es-PE"/>
        </w:rPr>
        <w:t xml:space="preserve"> un seguro de desgravamen individual Póliza  </w:t>
      </w:r>
      <w:r w:rsidRPr="5837185C" w:rsidR="6EB56457">
        <w:rPr>
          <w:lang w:val="es-PE"/>
        </w:rPr>
        <w:t>......................................</w:t>
      </w:r>
      <w:r w:rsidRPr="5837185C" w:rsidR="00ED76D4">
        <w:rPr>
          <w:lang w:val="es-PE"/>
        </w:rPr>
        <w:t>; b) adjuntan el cargo de entrega de la póliza a través de correo electrónico; c) con fecha 09 de abril de 2024, la reclamante solicitó la cobertura de invalidez permanente; d) luego de realizar un análisis de la información presentada, se verificó que la invalidez respecto a la que se solicita cobertura se encontraba diagnosticada con anterioridad a la contratación del seguro, por lo que la causa de la invalidez constituye una enfermedad preexistente a la contratación del seguro; motivo por el cual se rechazó su solicitud toda vez que la preexistencia es una causal de exclusión establecida en el artículo 6 de las Condiciones Generales de la póliza.</w:t>
      </w:r>
    </w:p>
    <w:p w:rsidRPr="00ED76D4" w:rsidR="00ED76D4" w:rsidP="00ED76D4" w:rsidRDefault="00ED76D4" w14:paraId="032C9319" w14:textId="77777777">
      <w:pPr>
        <w:jc w:val="both"/>
        <w:outlineLvl w:val="0"/>
        <w:rPr>
          <w:lang w:val="es-PE"/>
        </w:rPr>
      </w:pPr>
    </w:p>
    <w:p w:rsidRPr="00ED76D4" w:rsidR="00ED76D4" w:rsidP="00ED76D4" w:rsidRDefault="00ED76D4" w14:paraId="6013D61C" w14:textId="77777777">
      <w:pPr>
        <w:jc w:val="both"/>
        <w:outlineLvl w:val="0"/>
        <w:rPr>
          <w:lang w:val="es-PE"/>
        </w:rPr>
      </w:pPr>
      <w:r w:rsidRPr="00ED76D4">
        <w:rPr>
          <w:b/>
          <w:bCs/>
          <w:lang w:val="es-PE"/>
        </w:rPr>
        <w:t>Considerando:</w:t>
      </w:r>
    </w:p>
    <w:p w:rsidRPr="00ED76D4" w:rsidR="00ED76D4" w:rsidP="00ED76D4" w:rsidRDefault="00ED76D4" w14:paraId="7409DA92" w14:textId="77777777">
      <w:pPr>
        <w:jc w:val="both"/>
        <w:outlineLvl w:val="0"/>
        <w:rPr>
          <w:lang w:val="es-PE"/>
        </w:rPr>
      </w:pPr>
    </w:p>
    <w:p w:rsidRPr="00ED76D4" w:rsidR="00ED76D4" w:rsidP="00ED76D4" w:rsidRDefault="00ED76D4" w14:paraId="3913012F" w14:textId="77777777">
      <w:pPr>
        <w:jc w:val="both"/>
        <w:outlineLvl w:val="0"/>
        <w:rPr>
          <w:lang w:val="es-PE"/>
        </w:rPr>
      </w:pPr>
      <w:r w:rsidRPr="00ED76D4">
        <w:rPr>
          <w:b/>
          <w:u w:val="single"/>
          <w:lang w:val="es-PE"/>
        </w:rPr>
        <w:lastRenderedPageBreak/>
        <w:t>Primero</w:t>
      </w:r>
      <w:r w:rsidRPr="00ED76D4">
        <w:rPr>
          <w:b/>
          <w:lang w:val="es-PE"/>
        </w:rPr>
        <w:t xml:space="preserve">: </w:t>
      </w:r>
      <w:r w:rsidRPr="00ED76D4">
        <w:rPr>
          <w:lang w:val="es-PE"/>
        </w:rPr>
        <w:t>Conforme a su Reglamento, la</w:t>
      </w:r>
      <w:r w:rsidRPr="00ED76D4">
        <w:rPr>
          <w:b/>
          <w:bCs/>
          <w:lang w:val="es-PE"/>
        </w:rPr>
        <w:t xml:space="preserve"> </w:t>
      </w:r>
      <w:r w:rsidRPr="00ED76D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D76D4" w:rsidR="00ED76D4" w:rsidP="00ED76D4" w:rsidRDefault="00ED76D4" w14:paraId="29214284" w14:textId="77777777">
      <w:pPr>
        <w:jc w:val="both"/>
        <w:outlineLvl w:val="0"/>
        <w:rPr>
          <w:bCs/>
        </w:rPr>
      </w:pPr>
    </w:p>
    <w:p w:rsidRPr="00ED76D4" w:rsidR="00ED76D4" w:rsidP="00ED76D4" w:rsidRDefault="00ED76D4" w14:paraId="7C017EA4" w14:textId="77777777">
      <w:pPr>
        <w:jc w:val="both"/>
        <w:outlineLvl w:val="0"/>
        <w:rPr>
          <w:bCs/>
          <w:lang w:val="es-PE"/>
        </w:rPr>
      </w:pPr>
      <w:r w:rsidRPr="00ED76D4">
        <w:rPr>
          <w:b/>
          <w:bCs/>
          <w:u w:val="single"/>
          <w:lang w:val="es-PE"/>
        </w:rPr>
        <w:t>Segundo</w:t>
      </w:r>
      <w:r w:rsidRPr="00ED76D4">
        <w:rPr>
          <w:b/>
          <w:bCs/>
          <w:lang w:val="es-PE"/>
        </w:rPr>
        <w:t>:</w:t>
      </w:r>
      <w:r w:rsidRPr="00ED76D4">
        <w:rPr>
          <w:bCs/>
          <w:lang w:val="es-PE"/>
        </w:rPr>
        <w:t xml:space="preserve"> </w:t>
      </w:r>
      <w:r w:rsidRPr="00ED76D4">
        <w:rPr>
          <w:lang w:val="es-PE"/>
        </w:rPr>
        <w:t xml:space="preserve">Asimismo, de acuerdo a </w:t>
      </w:r>
      <w:r w:rsidRPr="00ED76D4">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D76D4" w:rsidR="00ED76D4" w:rsidP="00ED76D4" w:rsidRDefault="00ED76D4" w14:paraId="60645EB9" w14:textId="77777777">
      <w:pPr>
        <w:jc w:val="both"/>
        <w:outlineLvl w:val="0"/>
        <w:rPr>
          <w:lang w:val="es-PE"/>
        </w:rPr>
      </w:pPr>
    </w:p>
    <w:p w:rsidRPr="00ED76D4" w:rsidR="00ED76D4" w:rsidP="00ED76D4" w:rsidRDefault="00ED76D4" w14:paraId="0592D6DF" w14:textId="77777777">
      <w:pPr>
        <w:jc w:val="both"/>
        <w:outlineLvl w:val="0"/>
      </w:pPr>
      <w:r w:rsidRPr="00ED76D4">
        <w:rPr>
          <w:b/>
          <w:bCs/>
          <w:u w:val="single"/>
          <w:lang w:val="es-PE"/>
        </w:rPr>
        <w:t>Tercero</w:t>
      </w:r>
      <w:r w:rsidRPr="00ED76D4">
        <w:rPr>
          <w:b/>
          <w:bCs/>
          <w:lang w:val="es-PE"/>
        </w:rPr>
        <w:t>:</w:t>
      </w:r>
      <w:r w:rsidRPr="00ED76D4">
        <w:rPr>
          <w:lang w:val="es-PE"/>
        </w:rPr>
        <w:t xml:space="preserve"> Que, de acuerdo a la Ley Nro. </w:t>
      </w:r>
      <w:r w:rsidRPr="00ED76D4">
        <w:t xml:space="preserve">29946 – Ley del Contrato de Seguro, norma legal vigente con ocasión de la celebración del contrato al cual se contrae el presente caso, </w:t>
      </w:r>
      <w:r w:rsidRPr="00ED76D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D76D4" w:rsidR="00ED76D4" w:rsidP="00ED76D4" w:rsidRDefault="00ED76D4" w14:paraId="6D49DF8F" w14:textId="77777777">
      <w:pPr>
        <w:jc w:val="both"/>
        <w:outlineLvl w:val="0"/>
        <w:rPr>
          <w:b/>
          <w:u w:val="single"/>
          <w:lang w:val="es-PE"/>
        </w:rPr>
      </w:pPr>
    </w:p>
    <w:p w:rsidRPr="00ED76D4" w:rsidR="00ED76D4" w:rsidP="00ED76D4" w:rsidRDefault="00ED76D4" w14:paraId="461253C8" w14:textId="77777777">
      <w:pPr>
        <w:jc w:val="both"/>
        <w:outlineLvl w:val="0"/>
        <w:rPr>
          <w:lang w:val="es-PE"/>
        </w:rPr>
      </w:pPr>
      <w:r w:rsidRPr="00ED76D4">
        <w:rPr>
          <w:b/>
          <w:u w:val="single"/>
          <w:lang w:val="es-PE"/>
        </w:rPr>
        <w:t>Cuarto</w:t>
      </w:r>
      <w:r w:rsidRPr="00ED76D4">
        <w:rPr>
          <w:b/>
          <w:lang w:val="es-PE"/>
        </w:rPr>
        <w:t>:</w:t>
      </w:r>
      <w:r w:rsidRPr="00ED76D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D76D4" w:rsidR="00ED76D4" w:rsidP="00ED76D4" w:rsidRDefault="00ED76D4" w14:paraId="4824E99C" w14:textId="77777777">
      <w:pPr>
        <w:jc w:val="both"/>
        <w:outlineLvl w:val="0"/>
        <w:rPr>
          <w:bCs/>
        </w:rPr>
      </w:pPr>
    </w:p>
    <w:p w:rsidRPr="00ED76D4" w:rsidR="00ED76D4" w:rsidP="00ED76D4" w:rsidRDefault="00ED76D4" w14:paraId="4B22EA3A" w14:textId="77777777">
      <w:pPr>
        <w:jc w:val="both"/>
        <w:outlineLvl w:val="0"/>
      </w:pPr>
      <w:r w:rsidRPr="00ED76D4">
        <w:rPr>
          <w:b/>
          <w:bCs/>
          <w:u w:val="single"/>
          <w:lang w:val="es-PE"/>
        </w:rPr>
        <w:t>Quinto</w:t>
      </w:r>
      <w:r w:rsidRPr="00ED76D4">
        <w:rPr>
          <w:b/>
          <w:bCs/>
          <w:lang w:val="es-PE"/>
        </w:rPr>
        <w:t xml:space="preserve">: Que, conforme al </w:t>
      </w:r>
      <w:r w:rsidRPr="00ED76D4">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ED76D4" w:rsidR="00ED76D4" w:rsidP="00ED76D4" w:rsidRDefault="00ED76D4" w14:paraId="158083C5" w14:textId="77777777">
      <w:pPr>
        <w:jc w:val="both"/>
        <w:outlineLvl w:val="0"/>
      </w:pPr>
    </w:p>
    <w:p w:rsidRPr="00ED76D4" w:rsidR="00ED76D4" w:rsidP="00ED76D4" w:rsidRDefault="00ED76D4" w14:paraId="7E4BE817" w14:textId="77777777">
      <w:pPr>
        <w:jc w:val="both"/>
        <w:outlineLvl w:val="0"/>
      </w:pPr>
      <w:r w:rsidRPr="00ED76D4">
        <w:rPr>
          <w:b/>
          <w:u w:val="single"/>
        </w:rPr>
        <w:t>Sexto</w:t>
      </w:r>
      <w:r w:rsidRPr="00ED76D4">
        <w:rPr>
          <w:b/>
        </w:rPr>
        <w:t>:</w:t>
      </w:r>
      <w:r w:rsidRPr="00ED76D4">
        <w:rPr>
          <w:b/>
          <w:lang w:val="es-PE"/>
        </w:rPr>
        <w:t xml:space="preserve"> </w:t>
      </w:r>
      <w:r w:rsidRPr="00ED76D4">
        <w:rPr>
          <w:lang w:val="es-PE"/>
        </w:rPr>
        <w:t xml:space="preserve">Sobre la base de los </w:t>
      </w:r>
      <w:r w:rsidRPr="00ED76D4">
        <w:t xml:space="preserve">términos contenidos en el rechazo, la reclamación y en la respectiva absolución, así como a lo tratado en la audiencia de vista, la solución de la presente controversia consiste en determinar si el rechazo de </w:t>
      </w:r>
      <w:proofErr w:type="gramStart"/>
      <w:r w:rsidRPr="00ED76D4">
        <w:t>cobertura,</w:t>
      </w:r>
      <w:proofErr w:type="gramEnd"/>
      <w:r w:rsidRPr="00ED76D4">
        <w:t xml:space="preserve"> resulta o no legítimo.</w:t>
      </w:r>
    </w:p>
    <w:p w:rsidRPr="00ED76D4" w:rsidR="00ED76D4" w:rsidP="00ED76D4" w:rsidRDefault="00ED76D4" w14:paraId="4113BE28" w14:textId="77777777">
      <w:pPr>
        <w:jc w:val="both"/>
        <w:outlineLvl w:val="0"/>
      </w:pPr>
    </w:p>
    <w:p w:rsidRPr="00ED76D4" w:rsidR="00ED76D4" w:rsidP="00ED76D4" w:rsidRDefault="00ED76D4" w14:paraId="2D72CB7D" w14:textId="77777777">
      <w:pPr>
        <w:jc w:val="both"/>
        <w:outlineLvl w:val="0"/>
      </w:pPr>
      <w:r w:rsidRPr="00ED76D4">
        <w:t>En este caso se aprecia que, que las cartas de rechazo señalan que no procede la cobertura porque la invalidez deriva de una enfermedad preexistente, circunstancia excluida de la cobertura de seguro.</w:t>
      </w:r>
    </w:p>
    <w:p w:rsidRPr="00ED76D4" w:rsidR="00ED76D4" w:rsidP="00ED76D4" w:rsidRDefault="00ED76D4" w14:paraId="27F554C7" w14:textId="77777777">
      <w:pPr>
        <w:jc w:val="both"/>
        <w:outlineLvl w:val="0"/>
      </w:pPr>
    </w:p>
    <w:p w:rsidRPr="00ED76D4" w:rsidR="00ED76D4" w:rsidP="00ED76D4" w:rsidRDefault="00ED76D4" w14:paraId="09C20C05" w14:textId="77777777">
      <w:pPr>
        <w:jc w:val="both"/>
        <w:outlineLvl w:val="0"/>
        <w:rPr>
          <w:lang w:val="es-419"/>
        </w:rPr>
      </w:pPr>
      <w:r w:rsidRPr="00ED76D4">
        <w:rPr>
          <w:b/>
          <w:bCs/>
          <w:u w:val="single"/>
          <w:lang w:val="es-PE"/>
        </w:rPr>
        <w:t>Sétimo:</w:t>
      </w:r>
      <w:r w:rsidRPr="00ED76D4">
        <w:rPr>
          <w:lang w:val="es-PE"/>
        </w:rPr>
        <w:t xml:space="preserve"> </w:t>
      </w:r>
      <w:r w:rsidRPr="00ED76D4">
        <w:rPr>
          <w:lang w:val="es-419"/>
        </w:rPr>
        <w:t xml:space="preserve">En materia de seguros es aceptado que la cobertura se puede delimitar tanto positiva como negativamente.  Lo primero ocurre a través de los riesgos aceptados por la aseguradora y contratados por el asegurado, en cuyo caso se está ante una póliza de riesgos nombrados, lo cual corresponde a una relación taxativa de supuestos cubiertos por el seguro.  Y lo segundo se produce a través del régimen de exclusiones, identificados y configurados los supuestos de cobertura, se determina que se produce una situación que determina que no procede la cobertura del seguro. Por ejemplo, en el caso de un seguro </w:t>
      </w:r>
      <w:r w:rsidRPr="00ED76D4">
        <w:rPr>
          <w:lang w:val="es-419"/>
        </w:rPr>
        <w:lastRenderedPageBreak/>
        <w:t xml:space="preserve">vehicular: producido un accidente de tránsito (riesgo asegurado), se determina que el conductor estuvo en estado de ebriedad (circunstancia excluida del seguro), pero si no se ha producido accidente de tránsito alguno, no estamos ante un riesgo asegurado. En el caso de las exclusiones estas se deben aplicar literalmente, descansando su carga probatoria en la aseguradora. </w:t>
      </w:r>
    </w:p>
    <w:p w:rsidRPr="00ED76D4" w:rsidR="00ED76D4" w:rsidP="00ED76D4" w:rsidRDefault="00ED76D4" w14:paraId="7453D85B" w14:textId="77777777">
      <w:pPr>
        <w:jc w:val="both"/>
        <w:outlineLvl w:val="0"/>
        <w:rPr>
          <w:lang w:val="es-419"/>
        </w:rPr>
      </w:pPr>
    </w:p>
    <w:p w:rsidRPr="00ED76D4" w:rsidR="00ED76D4" w:rsidP="00ED76D4" w:rsidRDefault="00ED76D4" w14:paraId="4FA01245" w14:textId="77777777">
      <w:pPr>
        <w:jc w:val="both"/>
        <w:outlineLvl w:val="0"/>
        <w:rPr>
          <w:lang w:val="es-419"/>
        </w:rPr>
      </w:pPr>
      <w:r w:rsidRPr="00ED76D4">
        <w:rPr>
          <w:lang w:val="es-419"/>
        </w:rPr>
        <w:t xml:space="preserve">En el caso de la configuración del siniestro, es decir, la situación de invalidez total y permanente, conforme a ley la carga de la prueba de acreditarlo corresponde al asegurado. Es por ello </w:t>
      </w:r>
      <w:proofErr w:type="gramStart"/>
      <w:r w:rsidRPr="00ED76D4">
        <w:rPr>
          <w:lang w:val="es-419"/>
        </w:rPr>
        <w:t>que</w:t>
      </w:r>
      <w:proofErr w:type="gramEnd"/>
      <w:r w:rsidRPr="00ED76D4">
        <w:rPr>
          <w:lang w:val="es-419"/>
        </w:rPr>
        <w:t xml:space="preserve"> el artículo 77 de la Ley 29946, Ley del Contrato de Seguro señala:</w:t>
      </w:r>
    </w:p>
    <w:p w:rsidRPr="00ED76D4" w:rsidR="00ED76D4" w:rsidP="00ED76D4" w:rsidRDefault="00ED76D4" w14:paraId="4AE9BA9B" w14:textId="77777777">
      <w:pPr>
        <w:jc w:val="both"/>
        <w:outlineLvl w:val="0"/>
        <w:rPr>
          <w:i/>
          <w:iCs/>
          <w:lang w:val="es-419"/>
        </w:rPr>
      </w:pPr>
    </w:p>
    <w:p w:rsidRPr="00ED76D4" w:rsidR="00ED76D4" w:rsidP="00ED76D4" w:rsidRDefault="00ED76D4" w14:paraId="03A8A879" w14:textId="77777777">
      <w:pPr>
        <w:jc w:val="both"/>
        <w:outlineLvl w:val="0"/>
        <w:rPr>
          <w:b/>
          <w:bCs/>
          <w:i/>
          <w:iCs/>
        </w:rPr>
      </w:pPr>
      <w:r w:rsidRPr="00ED76D4">
        <w:rPr>
          <w:b/>
          <w:bCs/>
          <w:i/>
          <w:iCs/>
          <w:lang w:val="es-419"/>
        </w:rPr>
        <w:t>“</w:t>
      </w:r>
      <w:r w:rsidRPr="00ED76D4">
        <w:rPr>
          <w:b/>
          <w:bCs/>
          <w:i/>
          <w:iCs/>
        </w:rPr>
        <w:t>Artículo 77. Cargas de las partes</w:t>
      </w:r>
    </w:p>
    <w:p w:rsidRPr="00ED76D4" w:rsidR="00ED76D4" w:rsidP="00ED76D4" w:rsidRDefault="00ED76D4" w14:paraId="7853ED77" w14:textId="77777777">
      <w:pPr>
        <w:jc w:val="both"/>
        <w:outlineLvl w:val="0"/>
        <w:rPr>
          <w:b/>
          <w:bCs/>
          <w:i/>
          <w:iCs/>
        </w:rPr>
      </w:pPr>
      <w:r w:rsidRPr="00ED76D4">
        <w:rPr>
          <w:i/>
          <w:iCs/>
        </w:rPr>
        <w:t>Corresponde al asegurado demostrar la ocurrencia del siniestro, así como la cuantía de la pérdida si fuera el caso, y al asegurador la carga de demostrar las causas que lo liberan de su prestación indemnizatoria.”</w:t>
      </w:r>
    </w:p>
    <w:p w:rsidRPr="00ED76D4" w:rsidR="00ED76D4" w:rsidP="00ED76D4" w:rsidRDefault="00ED76D4" w14:paraId="46C9E152" w14:textId="77777777">
      <w:pPr>
        <w:jc w:val="both"/>
        <w:outlineLvl w:val="0"/>
        <w:rPr>
          <w:lang w:val="es-PE"/>
        </w:rPr>
      </w:pPr>
    </w:p>
    <w:p w:rsidRPr="00ED76D4" w:rsidR="00ED76D4" w:rsidP="00ED76D4" w:rsidRDefault="00ED76D4" w14:paraId="49D5E0A1" w14:textId="77777777">
      <w:pPr>
        <w:jc w:val="both"/>
        <w:outlineLvl w:val="0"/>
        <w:rPr>
          <w:lang w:val="es-PE"/>
        </w:rPr>
      </w:pPr>
      <w:r w:rsidRPr="00ED76D4">
        <w:rPr>
          <w:lang w:val="es-PE"/>
        </w:rPr>
        <w:t xml:space="preserve">La reclamante ha presentado el dictamen COMAFP, el cual, en efecto, reconoce una invalidez total permanente, lo cual no ha sido negado por la aseguradora. Por lo tanto, dicha condición no constituye un punto controvertido. No obstante, la compañía considera que, pese a </w:t>
      </w:r>
      <w:proofErr w:type="gramStart"/>
      <w:r w:rsidRPr="00ED76D4">
        <w:rPr>
          <w:lang w:val="es-PE"/>
        </w:rPr>
        <w:t>que</w:t>
      </w:r>
      <w:proofErr w:type="gramEnd"/>
      <w:r w:rsidRPr="00ED76D4">
        <w:rPr>
          <w:lang w:val="es-PE"/>
        </w:rPr>
        <w:t xml:space="preserve"> si está acreditada la invalidez, no procede otorgar la cobertura por cuanto resulta aplicable la exclusión de preexistencia prevista en la póliza, causa que la libera de su prestación indemnizatoria y cuya carga de la prueba corresponde a la aseguradora.</w:t>
      </w:r>
    </w:p>
    <w:p w:rsidRPr="00ED76D4" w:rsidR="00ED76D4" w:rsidP="00ED76D4" w:rsidRDefault="00ED76D4" w14:paraId="2D175229" w14:textId="77777777">
      <w:pPr>
        <w:jc w:val="both"/>
        <w:outlineLvl w:val="0"/>
      </w:pPr>
    </w:p>
    <w:p w:rsidRPr="00ED76D4" w:rsidR="00ED76D4" w:rsidP="00ED76D4" w:rsidRDefault="00ED76D4" w14:paraId="72B7C848" w14:textId="77777777">
      <w:pPr>
        <w:jc w:val="both"/>
        <w:outlineLvl w:val="0"/>
      </w:pPr>
      <w:r w:rsidRPr="00ED76D4">
        <w:t>Al respecto, la séptima regla de interpretación del contrato de seguro, establecida en la Ley 29946, Ley del Contrato de Seguro, señala:</w:t>
      </w:r>
    </w:p>
    <w:p w:rsidRPr="00ED76D4" w:rsidR="00ED76D4" w:rsidP="00ED76D4" w:rsidRDefault="00ED76D4" w14:paraId="0F8B66BF" w14:textId="77777777">
      <w:pPr>
        <w:jc w:val="both"/>
        <w:outlineLvl w:val="0"/>
      </w:pPr>
    </w:p>
    <w:p w:rsidRPr="00ED76D4" w:rsidR="00ED76D4" w:rsidP="00ED76D4" w:rsidRDefault="00ED76D4" w14:paraId="71F17923" w14:textId="77777777">
      <w:pPr>
        <w:jc w:val="both"/>
        <w:outlineLvl w:val="0"/>
        <w:rPr>
          <w:i/>
          <w:iCs/>
        </w:rPr>
      </w:pPr>
      <w:r w:rsidRPr="00ED76D4">
        <w:rPr>
          <w:b/>
          <w:bCs/>
          <w:i/>
          <w:iCs/>
        </w:rPr>
        <w:t>“Séptima.</w:t>
      </w:r>
      <w:r w:rsidRPr="00ED76D4">
        <w:rPr>
          <w:i/>
          <w:iCs/>
        </w:rPr>
        <w:t xml:space="preserve"> La cobertura, exclusiones y, en general, la extensión del </w:t>
      </w:r>
      <w:proofErr w:type="gramStart"/>
      <w:r w:rsidRPr="00ED76D4">
        <w:rPr>
          <w:i/>
          <w:iCs/>
        </w:rPr>
        <w:t>riesgo</w:t>
      </w:r>
      <w:proofErr w:type="gramEnd"/>
      <w:r w:rsidRPr="00ED76D4">
        <w:rPr>
          <w:i/>
          <w:iCs/>
        </w:rPr>
        <w:t xml:space="preserve"> así como los derechos de los beneficiarios, previstos en el contrato de seguro, deben interpretarse literalmente”.</w:t>
      </w:r>
    </w:p>
    <w:p w:rsidRPr="00ED76D4" w:rsidR="00ED76D4" w:rsidP="00ED76D4" w:rsidRDefault="00ED76D4" w14:paraId="57C1260E" w14:textId="77777777">
      <w:pPr>
        <w:jc w:val="both"/>
        <w:outlineLvl w:val="0"/>
        <w:rPr>
          <w:lang w:val="es-PE"/>
        </w:rPr>
      </w:pPr>
    </w:p>
    <w:p w:rsidRPr="00ED76D4" w:rsidR="00ED76D4" w:rsidP="00ED76D4" w:rsidRDefault="00ED76D4" w14:paraId="27DDC81F" w14:textId="77777777">
      <w:pPr>
        <w:jc w:val="both"/>
        <w:outlineLvl w:val="0"/>
        <w:rPr>
          <w:lang w:val="es-PE"/>
        </w:rPr>
      </w:pPr>
      <w:r w:rsidRPr="00ED76D4">
        <w:rPr>
          <w:lang w:val="es-PE"/>
        </w:rPr>
        <w:t xml:space="preserve">Para oponer una exclusión de cobertura, la aseguradora debe acreditar lo siguiente: (i) presentar la póliza completa, a fin de permitir a este colegiado, verificar la </w:t>
      </w:r>
      <w:proofErr w:type="gramStart"/>
      <w:r w:rsidRPr="00ED76D4">
        <w:rPr>
          <w:lang w:val="es-PE"/>
        </w:rPr>
        <w:t>exclusión  pactada</w:t>
      </w:r>
      <w:proofErr w:type="gramEnd"/>
      <w:r w:rsidRPr="00ED76D4">
        <w:rPr>
          <w:lang w:val="es-PE"/>
        </w:rPr>
        <w:t xml:space="preserve"> en su oportunidad; (ii) la oponibilidad de </w:t>
      </w:r>
      <w:proofErr w:type="gramStart"/>
      <w:r w:rsidRPr="00ED76D4">
        <w:rPr>
          <w:lang w:val="es-PE"/>
        </w:rPr>
        <w:t>la misma</w:t>
      </w:r>
      <w:proofErr w:type="gramEnd"/>
      <w:r w:rsidRPr="00ED76D4">
        <w:rPr>
          <w:lang w:val="es-PE"/>
        </w:rPr>
        <w:t xml:space="preserve">, es decir, si la póliza fue entregada al asegurado, para que pudiera tomar conocimiento de dicha exclusión; y (iii) que efectivamente se ha producido la circunstancia excluida de la cobertura de seguro. </w:t>
      </w:r>
    </w:p>
    <w:p w:rsidRPr="00ED76D4" w:rsidR="00ED76D4" w:rsidP="00ED76D4" w:rsidRDefault="00ED76D4" w14:paraId="0253095C" w14:textId="77777777">
      <w:pPr>
        <w:jc w:val="both"/>
        <w:outlineLvl w:val="0"/>
        <w:rPr>
          <w:lang w:val="es-PE"/>
        </w:rPr>
      </w:pPr>
    </w:p>
    <w:p w:rsidRPr="00ED76D4" w:rsidR="00ED76D4" w:rsidP="00ED76D4" w:rsidRDefault="00ED76D4" w14:paraId="469AB576" w14:textId="77777777">
      <w:pPr>
        <w:jc w:val="both"/>
        <w:outlineLvl w:val="0"/>
        <w:rPr>
          <w:lang w:val="es-PE"/>
        </w:rPr>
      </w:pPr>
      <w:r w:rsidRPr="00ED76D4">
        <w:rPr>
          <w:lang w:val="es-PE"/>
        </w:rPr>
        <w:t xml:space="preserve">En este caso, la aseguradora ha presentado la póliza de seguro, así como la constancia de envío de la póliza por correo electrónico, y se ha verificado que, tanto en el resumen de la póliza (página 34 del anexo adjunto a sus descargos) como en el artículo 6 de la Condiciones de </w:t>
      </w:r>
      <w:proofErr w:type="gramStart"/>
      <w:r w:rsidRPr="00ED76D4">
        <w:rPr>
          <w:lang w:val="es-PE"/>
        </w:rPr>
        <w:t>la misma</w:t>
      </w:r>
      <w:proofErr w:type="gramEnd"/>
      <w:r w:rsidRPr="00ED76D4">
        <w:rPr>
          <w:lang w:val="es-PE"/>
        </w:rPr>
        <w:t>, figura la siguiente exclusión de cobertura:</w:t>
      </w:r>
    </w:p>
    <w:p w:rsidRPr="00ED76D4" w:rsidR="00ED76D4" w:rsidP="00ED76D4" w:rsidRDefault="00ED76D4" w14:paraId="38303BB3" w14:textId="77777777">
      <w:pPr>
        <w:jc w:val="both"/>
        <w:outlineLvl w:val="0"/>
        <w:rPr>
          <w:lang w:val="es-PE"/>
        </w:rPr>
      </w:pPr>
    </w:p>
    <w:p w:rsidRPr="00E30D1B" w:rsidR="00650033" w:rsidP="00650033" w:rsidRDefault="00ED76D4" w14:paraId="0F285D41" w14:textId="77777777">
      <w:pPr>
        <w:jc w:val="center"/>
        <w:outlineLvl w:val="0"/>
        <w:rPr>
          <w:lang w:val="es-PE"/>
        </w:rPr>
      </w:pPr>
      <w:r w:rsidRPr="00E30D1B">
        <w:rPr>
          <w:lang w:val="es-PE"/>
        </w:rPr>
        <w:drawing>
          <wp:inline distT="0" distB="0" distL="0" distR="0" wp14:anchorId="697407E3" wp14:editId="48029B1E">
            <wp:extent cx="5230522" cy="738035"/>
            <wp:effectExtent l="0" t="0" r="0" b="0"/>
            <wp:docPr id="148215392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6308" cy="740262"/>
                    </a:xfrm>
                    <a:prstGeom prst="rect">
                      <a:avLst/>
                    </a:prstGeom>
                    <a:noFill/>
                    <a:ln>
                      <a:noFill/>
                    </a:ln>
                  </pic:spPr>
                </pic:pic>
              </a:graphicData>
            </a:graphic>
          </wp:inline>
        </w:drawing>
      </w:r>
    </w:p>
    <w:p w:rsidRPr="00ED76D4" w:rsidR="00ED76D4" w:rsidP="00650033" w:rsidRDefault="00650033" w14:paraId="3A957AA7" w14:textId="712C49AC">
      <w:pPr>
        <w:outlineLvl w:val="0"/>
        <w:rPr>
          <w:lang w:val="es-PE"/>
        </w:rPr>
      </w:pPr>
      <w:r w:rsidRPr="00E30D1B">
        <w:rPr>
          <w:lang w:val="es-PE"/>
        </w:rPr>
        <w:t xml:space="preserve">        </w:t>
      </w:r>
      <w:r w:rsidRPr="00ED76D4" w:rsidR="00ED76D4">
        <w:rPr>
          <w:lang w:val="es-PE"/>
        </w:rPr>
        <w:t xml:space="preserve"> (…)</w:t>
      </w:r>
    </w:p>
    <w:p w:rsidRPr="00ED76D4" w:rsidR="00ED76D4" w:rsidP="00ED76D4" w:rsidRDefault="00ED76D4" w14:paraId="138F2AB8" w14:textId="77777777">
      <w:pPr>
        <w:jc w:val="both"/>
        <w:outlineLvl w:val="0"/>
        <w:rPr>
          <w:lang w:val="es-PE"/>
        </w:rPr>
      </w:pPr>
    </w:p>
    <w:p w:rsidRPr="00ED76D4" w:rsidR="00ED76D4" w:rsidP="00650033" w:rsidRDefault="00ED76D4" w14:paraId="76668458" w14:textId="4BB9C2E5">
      <w:pPr>
        <w:jc w:val="center"/>
        <w:outlineLvl w:val="0"/>
        <w:rPr>
          <w:lang w:val="es-PE"/>
        </w:rPr>
      </w:pPr>
      <w:r w:rsidRPr="00E30D1B">
        <w:rPr>
          <w:lang w:val="es-PE"/>
        </w:rPr>
        <w:lastRenderedPageBreak/>
        <w:drawing>
          <wp:inline distT="0" distB="0" distL="0" distR="0" wp14:anchorId="235F888D" wp14:editId="3E3BC81D">
            <wp:extent cx="5114949" cy="962108"/>
            <wp:effectExtent l="0" t="0" r="0" b="0"/>
            <wp:docPr id="1131725543" name="Imagen 11" descr="Interfaz de usuario gráfica, Texto, Aplicación, Chat o mensaje d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nterfaz de usuario gráfica, Texto, Aplicación, Chat o mensaje de texto&#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6297" cy="968005"/>
                    </a:xfrm>
                    <a:prstGeom prst="rect">
                      <a:avLst/>
                    </a:prstGeom>
                    <a:noFill/>
                    <a:ln>
                      <a:noFill/>
                    </a:ln>
                  </pic:spPr>
                </pic:pic>
              </a:graphicData>
            </a:graphic>
          </wp:inline>
        </w:drawing>
      </w:r>
    </w:p>
    <w:p w:rsidRPr="00ED76D4" w:rsidR="00ED76D4" w:rsidP="00ED76D4" w:rsidRDefault="00ED76D4" w14:paraId="55F02A50" w14:textId="77777777">
      <w:pPr>
        <w:jc w:val="both"/>
        <w:outlineLvl w:val="0"/>
        <w:rPr>
          <w:lang w:val="es-PE"/>
        </w:rPr>
      </w:pPr>
    </w:p>
    <w:p w:rsidRPr="00ED76D4" w:rsidR="00ED76D4" w:rsidP="00ED76D4" w:rsidRDefault="00ED76D4" w14:paraId="79943320" w14:textId="77777777">
      <w:pPr>
        <w:jc w:val="both"/>
        <w:outlineLvl w:val="0"/>
        <w:rPr>
          <w:lang w:val="es-PE"/>
        </w:rPr>
      </w:pPr>
      <w:r w:rsidRPr="00ED76D4">
        <w:rPr>
          <w:lang w:val="es-PE"/>
        </w:rPr>
        <w:t>Conforme a ello, se cumplen las primeras dos condiciones para poder oponer la exclusión por preexistencia a la aseguradora.</w:t>
      </w:r>
    </w:p>
    <w:p w:rsidRPr="00ED76D4" w:rsidR="00ED76D4" w:rsidP="00ED76D4" w:rsidRDefault="00ED76D4" w14:paraId="457A3A53" w14:textId="77777777">
      <w:pPr>
        <w:jc w:val="both"/>
        <w:outlineLvl w:val="0"/>
        <w:rPr>
          <w:lang w:val="es-PE"/>
        </w:rPr>
      </w:pPr>
    </w:p>
    <w:p w:rsidRPr="00ED76D4" w:rsidR="00ED76D4" w:rsidP="00ED76D4" w:rsidRDefault="00ED76D4" w14:paraId="40880796" w14:textId="67B65498">
      <w:pPr>
        <w:jc w:val="both"/>
        <w:outlineLvl w:val="0"/>
        <w:rPr>
          <w:lang w:val="es-PE"/>
        </w:rPr>
      </w:pPr>
      <w:r w:rsidRPr="00ED76D4">
        <w:rPr>
          <w:lang w:val="es-PE"/>
        </w:rPr>
        <w:t>En lo que respecta a si se ha acreditado que la invalidez se produce a consecuencia de una enfermedad preexistente o no, la aseguradora se ha basado en el propio dictamen de invalidez emitido por la COMAFP que se basa en los siguientes diagnósticos:</w:t>
      </w:r>
    </w:p>
    <w:p w:rsidRPr="00ED76D4" w:rsidR="00ED76D4" w:rsidP="00ED76D4" w:rsidRDefault="00ED76D4" w14:paraId="3D97DFDB" w14:textId="77777777">
      <w:pPr>
        <w:jc w:val="both"/>
        <w:outlineLvl w:val="0"/>
        <w:rPr>
          <w:lang w:val="es-PE"/>
        </w:rPr>
      </w:pPr>
    </w:p>
    <w:p w:rsidRPr="00ED76D4" w:rsidR="00ED76D4" w:rsidP="00650033" w:rsidRDefault="00ED76D4" w14:paraId="0673B0A6" w14:textId="3E242344">
      <w:pPr>
        <w:jc w:val="center"/>
        <w:outlineLvl w:val="0"/>
      </w:pPr>
      <w:r w:rsidR="348786C5">
        <w:rPr/>
        <w:t>.....................................................................................................................................................</w:t>
      </w:r>
    </w:p>
    <w:p w:rsidRPr="00ED76D4" w:rsidR="00ED76D4" w:rsidP="00ED76D4" w:rsidRDefault="00ED76D4" w14:paraId="1F4C8CD9" w14:textId="77777777">
      <w:pPr>
        <w:jc w:val="both"/>
        <w:outlineLvl w:val="0"/>
        <w:rPr>
          <w:lang w:val="es-PE"/>
        </w:rPr>
      </w:pPr>
    </w:p>
    <w:p w:rsidRPr="00ED76D4" w:rsidR="00ED76D4" w:rsidP="00ED76D4" w:rsidRDefault="00ED76D4" w14:paraId="56C431AE" w14:textId="77777777">
      <w:pPr>
        <w:jc w:val="both"/>
        <w:outlineLvl w:val="0"/>
        <w:rPr>
          <w:lang w:val="es-PE"/>
        </w:rPr>
      </w:pPr>
      <w:r w:rsidRPr="00ED76D4">
        <w:rPr>
          <w:lang w:val="es-PE"/>
        </w:rPr>
        <w:t>Y en los siguientes acápites del dictamen COMAFP:</w:t>
      </w:r>
    </w:p>
    <w:p w:rsidRPr="00ED76D4" w:rsidR="00ED76D4" w:rsidP="00ED76D4" w:rsidRDefault="00ED76D4" w14:paraId="3FB2B9AD" w14:textId="77777777">
      <w:pPr>
        <w:jc w:val="both"/>
        <w:outlineLvl w:val="0"/>
        <w:rPr>
          <w:lang w:val="es-PE"/>
        </w:rPr>
      </w:pPr>
    </w:p>
    <w:p w:rsidRPr="00ED76D4" w:rsidR="00ED76D4" w:rsidP="5837185C" w:rsidRDefault="00ED76D4" w14:paraId="69153977" w14:textId="01A87922">
      <w:pPr>
        <w:jc w:val="center"/>
        <w:outlineLvl w:val="0"/>
      </w:pPr>
      <w:r w:rsidR="08D1E804">
        <w:rPr/>
        <w:t>.................................................................................................................................................</w:t>
      </w:r>
    </w:p>
    <w:p w:rsidR="5837185C" w:rsidP="5837185C" w:rsidRDefault="5837185C" w14:paraId="068CC4A3" w14:textId="11F89A9B">
      <w:pPr>
        <w:jc w:val="center"/>
        <w:outlineLvl w:val="0"/>
      </w:pPr>
    </w:p>
    <w:p w:rsidRPr="00ED76D4" w:rsidR="00ED76D4" w:rsidP="00650033" w:rsidRDefault="00ED76D4" w14:paraId="6E4A7081" w14:textId="160FF5F5">
      <w:pPr>
        <w:jc w:val="center"/>
        <w:outlineLvl w:val="0"/>
      </w:pPr>
      <w:r w:rsidR="01629914">
        <w:rPr/>
        <w:t>................................................................................................................................................</w:t>
      </w:r>
    </w:p>
    <w:p w:rsidRPr="00ED76D4" w:rsidR="00ED76D4" w:rsidP="00ED76D4" w:rsidRDefault="00ED76D4" w14:paraId="5F3512DB" w14:textId="77777777">
      <w:pPr>
        <w:jc w:val="both"/>
        <w:outlineLvl w:val="0"/>
        <w:rPr>
          <w:lang w:val="es-PE"/>
        </w:rPr>
      </w:pPr>
    </w:p>
    <w:p w:rsidRPr="00ED76D4" w:rsidR="00ED76D4" w:rsidP="00650033" w:rsidRDefault="00ED76D4" w14:paraId="1221419D" w14:textId="17FCB63E">
      <w:pPr>
        <w:jc w:val="center"/>
        <w:outlineLvl w:val="0"/>
      </w:pPr>
      <w:r w:rsidR="01629914">
        <w:rPr/>
        <w:t>..............................................................................................................................................</w:t>
      </w:r>
    </w:p>
    <w:p w:rsidRPr="00ED76D4" w:rsidR="00ED76D4" w:rsidP="00ED76D4" w:rsidRDefault="00ED76D4" w14:paraId="22433424" w14:textId="77777777">
      <w:pPr>
        <w:jc w:val="both"/>
        <w:outlineLvl w:val="0"/>
        <w:rPr>
          <w:lang w:val="es-PE"/>
        </w:rPr>
      </w:pPr>
    </w:p>
    <w:p w:rsidRPr="00ED76D4" w:rsidR="00ED76D4" w:rsidP="00ED76D4" w:rsidRDefault="00ED76D4" w14:paraId="073407A6" w14:textId="77777777">
      <w:pPr>
        <w:jc w:val="both"/>
        <w:outlineLvl w:val="0"/>
        <w:rPr>
          <w:lang w:val="es-PE"/>
        </w:rPr>
      </w:pPr>
      <w:r w:rsidRPr="00ED76D4">
        <w:rPr>
          <w:lang w:val="es-PE"/>
        </w:rPr>
        <w:t>De la revisión de dichos informes médicos, se aprecia que el diagnostico de glaucoma que motiva la calificación de invalidez data de hace 10 años, habiendo incluso existido dos intervenciones en noviembre 2017 y mayo 2018, esto es antes de la contratación del seguro que se produjo en el año 2023. Del mismo modo, se aprecia que la asegurada ya presentaba un diagnóstico de lumbalgia y cervicalgia asociadas a hernias desde el año 2014, por las que recibía tratamiento</w:t>
      </w:r>
    </w:p>
    <w:p w:rsidRPr="00ED76D4" w:rsidR="00ED76D4" w:rsidP="00ED76D4" w:rsidRDefault="00ED76D4" w14:paraId="7216121D" w14:textId="77777777">
      <w:pPr>
        <w:jc w:val="both"/>
        <w:outlineLvl w:val="0"/>
        <w:rPr>
          <w:lang w:val="es-PE"/>
        </w:rPr>
      </w:pPr>
    </w:p>
    <w:p w:rsidRPr="00ED76D4" w:rsidR="00ED76D4" w:rsidP="00ED76D4" w:rsidRDefault="00ED76D4" w14:paraId="53C1E62F" w14:textId="77777777">
      <w:pPr>
        <w:jc w:val="both"/>
        <w:outlineLvl w:val="0"/>
        <w:rPr>
          <w:lang w:val="es-PE"/>
        </w:rPr>
      </w:pPr>
      <w:proofErr w:type="gramStart"/>
      <w:r w:rsidRPr="00ED76D4">
        <w:rPr>
          <w:lang w:val="es-PE"/>
        </w:rPr>
        <w:t>En virtud a</w:t>
      </w:r>
      <w:proofErr w:type="gramEnd"/>
      <w:r w:rsidRPr="00ED76D4">
        <w:rPr>
          <w:lang w:val="es-PE"/>
        </w:rPr>
        <w:t xml:space="preserve"> lo expuesto, este colegiado considera que las enfermedades que originan la invalidez de la asegurada son preexistentes a la contratación del seguro, y por tanto el rechazo de cobertura, basado en enfermedad preexistente resulta legitimo.</w:t>
      </w:r>
    </w:p>
    <w:p w:rsidRPr="00ED76D4" w:rsidR="00ED76D4" w:rsidP="00ED76D4" w:rsidRDefault="00ED76D4" w14:paraId="50A87875" w14:textId="77777777">
      <w:pPr>
        <w:jc w:val="both"/>
        <w:outlineLvl w:val="0"/>
        <w:rPr>
          <w:lang w:val="es-PE"/>
        </w:rPr>
      </w:pPr>
    </w:p>
    <w:p w:rsidRPr="00ED76D4" w:rsidR="00ED76D4" w:rsidP="00ED76D4" w:rsidRDefault="00ED76D4" w14:paraId="6A22031B" w14:textId="77777777">
      <w:pPr>
        <w:jc w:val="both"/>
        <w:outlineLvl w:val="0"/>
        <w:rPr>
          <w:bCs/>
          <w:lang w:val="es-PE"/>
        </w:rPr>
      </w:pPr>
      <w:r w:rsidRPr="00ED76D4">
        <w:rPr>
          <w:bCs/>
          <w:lang w:val="es-PE"/>
        </w:rPr>
        <w:lastRenderedPageBreak/>
        <w:t xml:space="preserve">Atendiendo a lo expresado, este colegiado </w:t>
      </w:r>
      <w:r w:rsidRPr="00ED76D4">
        <w:rPr>
          <w:bCs/>
        </w:rPr>
        <w:t>concluye su apreciación razonada y conjunta al amparo de lo establecido en el Reglamento de la DEFASEG, determinando que la solicitud de cobertura no resulta procedente; por lo que</w:t>
      </w:r>
      <w:r w:rsidRPr="00ED76D4">
        <w:rPr>
          <w:bCs/>
          <w:lang w:val="es-PE"/>
        </w:rPr>
        <w:t xml:space="preserve"> </w:t>
      </w:r>
    </w:p>
    <w:p w:rsidRPr="00ED76D4" w:rsidR="00ED76D4" w:rsidP="00ED76D4" w:rsidRDefault="00ED76D4" w14:paraId="35DE2483" w14:textId="77777777">
      <w:pPr>
        <w:jc w:val="both"/>
        <w:outlineLvl w:val="0"/>
        <w:rPr>
          <w:bCs/>
          <w:lang w:val="es-PE"/>
        </w:rPr>
      </w:pPr>
    </w:p>
    <w:p w:rsidRPr="00ED76D4" w:rsidR="00ED76D4" w:rsidP="00ED76D4" w:rsidRDefault="00ED76D4" w14:paraId="262B792D" w14:textId="77777777">
      <w:pPr>
        <w:jc w:val="both"/>
        <w:outlineLvl w:val="0"/>
        <w:rPr>
          <w:b/>
          <w:lang w:val="es-PE"/>
        </w:rPr>
      </w:pPr>
      <w:r w:rsidRPr="00ED76D4">
        <w:rPr>
          <w:b/>
          <w:lang w:val="es-PE"/>
        </w:rPr>
        <w:t>Resuelve:</w:t>
      </w:r>
    </w:p>
    <w:p w:rsidRPr="00ED76D4" w:rsidR="00ED76D4" w:rsidP="00ED76D4" w:rsidRDefault="00ED76D4" w14:paraId="6CD4870A" w14:textId="77777777">
      <w:pPr>
        <w:jc w:val="both"/>
        <w:outlineLvl w:val="0"/>
        <w:rPr>
          <w:b/>
          <w:lang w:val="es-PE"/>
        </w:rPr>
      </w:pPr>
    </w:p>
    <w:p w:rsidRPr="00ED76D4" w:rsidR="00ED76D4" w:rsidP="00ED76D4" w:rsidRDefault="00ED76D4" w14:paraId="304D86B7" w14:textId="528D2A96">
      <w:pPr>
        <w:jc w:val="both"/>
        <w:outlineLvl w:val="0"/>
        <w:rPr>
          <w:lang w:val="es-PE"/>
        </w:rPr>
      </w:pPr>
      <w:r w:rsidRPr="5837185C" w:rsidR="00ED76D4">
        <w:rPr>
          <w:lang w:val="es-PE"/>
        </w:rPr>
        <w:t xml:space="preserve">Declarar </w:t>
      </w:r>
      <w:r w:rsidRPr="5837185C" w:rsidR="00ED76D4">
        <w:rPr>
          <w:b w:val="1"/>
          <w:bCs w:val="1"/>
          <w:lang w:val="es-PE"/>
        </w:rPr>
        <w:t xml:space="preserve">INFUNDADA </w:t>
      </w:r>
      <w:r w:rsidRPr="5837185C" w:rsidR="00ED76D4">
        <w:rPr>
          <w:lang w:val="es-PE"/>
        </w:rPr>
        <w:t xml:space="preserve">la reclamación interpuesta por doña </w:t>
      </w:r>
      <w:r w:rsidRPr="5837185C" w:rsidR="236C6E32">
        <w:rPr>
          <w:lang w:val="es-PE"/>
        </w:rPr>
        <w:t>........................................................................................</w:t>
      </w:r>
      <w:r w:rsidRPr="5837185C" w:rsidR="00ED76D4">
        <w:rPr>
          <w:lang w:val="es-PE"/>
        </w:rPr>
        <w:t xml:space="preserve">, respecto a la póliza de desgravamen </w:t>
      </w:r>
      <w:r w:rsidRPr="5837185C" w:rsidR="00ED76D4">
        <w:rPr>
          <w:lang w:val="es-PE"/>
        </w:rPr>
        <w:t>N°</w:t>
      </w:r>
      <w:r w:rsidRPr="5837185C" w:rsidR="00ED76D4">
        <w:rPr>
          <w:lang w:val="es-PE"/>
        </w:rPr>
        <w:t xml:space="preserve"> </w:t>
      </w:r>
      <w:r w:rsidRPr="5837185C" w:rsidR="6EB56457">
        <w:rPr>
          <w:lang w:val="es-PE"/>
        </w:rPr>
        <w:t>......................................</w:t>
      </w:r>
      <w:r w:rsidRPr="5837185C" w:rsidR="00ED76D4">
        <w:rPr>
          <w:lang w:val="es-PE"/>
        </w:rPr>
        <w:t xml:space="preserve">; dejando a salvo el derecho de la reclamante, de acudir ante las instancias que estime pertinente.  </w:t>
      </w:r>
    </w:p>
    <w:p w:rsidRPr="00E30D1B" w:rsidR="00ED76D4" w:rsidP="009A624F" w:rsidRDefault="00ED76D4" w14:paraId="75C117BA" w14:textId="77777777">
      <w:pPr>
        <w:jc w:val="both"/>
        <w:outlineLvl w:val="0"/>
        <w:rPr>
          <w:lang w:val="es-PE"/>
        </w:rPr>
      </w:pPr>
    </w:p>
    <w:p w:rsidRPr="00E30D1B" w:rsidR="00804FBA" w:rsidP="00ED76D4" w:rsidRDefault="00F15FBA" w14:paraId="0B8F9BB3" w14:textId="3EBF2DCD">
      <w:pPr>
        <w:jc w:val="right"/>
        <w:outlineLvl w:val="0"/>
        <w:rPr>
          <w:lang w:val="es-PE"/>
        </w:rPr>
      </w:pPr>
      <w:r w:rsidRPr="00E30D1B">
        <w:rPr>
          <w:lang w:val="es-PE"/>
        </w:rPr>
        <w:t>Lima,</w:t>
      </w:r>
      <w:r w:rsidRPr="00E30D1B" w:rsidR="009D4785">
        <w:rPr>
          <w:lang w:val="es-PE"/>
        </w:rPr>
        <w:t xml:space="preserve"> </w:t>
      </w:r>
      <w:r w:rsidRPr="00E30D1B" w:rsidR="005018BF">
        <w:rPr>
          <w:lang w:val="es-PE"/>
        </w:rPr>
        <w:t>0</w:t>
      </w:r>
      <w:r w:rsidRPr="00E30D1B" w:rsidR="00116E8B">
        <w:rPr>
          <w:lang w:val="es-PE"/>
        </w:rPr>
        <w:t>5</w:t>
      </w:r>
      <w:r w:rsidRPr="00E30D1B" w:rsidR="00C70C36">
        <w:rPr>
          <w:lang w:val="es-PE"/>
        </w:rPr>
        <w:t xml:space="preserve"> </w:t>
      </w:r>
      <w:r w:rsidRPr="00E30D1B">
        <w:rPr>
          <w:lang w:val="es-PE"/>
        </w:rPr>
        <w:t>de</w:t>
      </w:r>
      <w:r w:rsidRPr="00E30D1B" w:rsidR="001631D6">
        <w:rPr>
          <w:lang w:val="es-PE"/>
        </w:rPr>
        <w:t xml:space="preserve"> </w:t>
      </w:r>
      <w:r w:rsidRPr="00E30D1B" w:rsidR="005018BF">
        <w:rPr>
          <w:lang w:val="es-PE"/>
        </w:rPr>
        <w:t>junio</w:t>
      </w:r>
      <w:r w:rsidRPr="00E30D1B" w:rsidR="001631D6">
        <w:rPr>
          <w:lang w:val="es-PE"/>
        </w:rPr>
        <w:t xml:space="preserve"> </w:t>
      </w:r>
      <w:r w:rsidRPr="00E30D1B">
        <w:rPr>
          <w:lang w:val="es-PE"/>
        </w:rPr>
        <w:t>de 20</w:t>
      </w:r>
      <w:r w:rsidRPr="00E30D1B" w:rsidR="001631D6">
        <w:rPr>
          <w:lang w:val="es-PE"/>
        </w:rPr>
        <w:t>2</w:t>
      </w:r>
      <w:r w:rsidRPr="00E30D1B" w:rsidR="0073373B">
        <w:rPr>
          <w:lang w:val="es-PE"/>
        </w:rPr>
        <w:t>5</w:t>
      </w:r>
    </w:p>
    <w:p w:rsidRPr="00E30D1B" w:rsidR="00804FBA" w:rsidP="00E06FC0" w:rsidRDefault="00804FBA" w14:paraId="2C8A5CBC" w14:textId="77777777">
      <w:pPr>
        <w:jc w:val="both"/>
        <w:rPr>
          <w:b/>
          <w:bCs/>
          <w:i/>
          <w:iCs/>
          <w:lang w:val="es-ES_tradnl"/>
        </w:rPr>
      </w:pPr>
    </w:p>
    <w:p w:rsidRPr="00E30D1B" w:rsidR="003F73A8" w:rsidP="00E06FC0" w:rsidRDefault="003F73A8" w14:paraId="00714C2C" w14:textId="77777777">
      <w:pPr>
        <w:jc w:val="both"/>
        <w:rPr>
          <w:b/>
          <w:bCs/>
          <w:i/>
          <w:iCs/>
          <w:lang w:val="es-ES_tradnl"/>
        </w:rPr>
      </w:pPr>
      <w:r w:rsidRPr="00E30D1B">
        <w:rPr>
          <w:b/>
          <w:bCs/>
          <w:i/>
          <w:iCs/>
          <w:lang w:val="es-ES_tradnl"/>
        </w:rPr>
        <w:t>La Secretaría Técnica certifica que la presente resolución cuenta con el voto de los vocales cuyos nombres figuran en el presente documento.</w:t>
      </w:r>
    </w:p>
    <w:p w:rsidRPr="00E30D1B" w:rsidR="00707C3F" w:rsidP="00707C3F" w:rsidRDefault="00707C3F" w14:paraId="52D37E4A" w14:textId="77777777">
      <w:pPr>
        <w:jc w:val="both"/>
        <w:rPr>
          <w:b/>
          <w:bCs/>
          <w:i/>
          <w:iCs/>
          <w:lang w:val="es-ES_tradnl"/>
        </w:rPr>
      </w:pPr>
    </w:p>
    <w:p w:rsidRPr="00E30D1B" w:rsidR="00707C3F" w:rsidP="00707C3F" w:rsidRDefault="00707C3F" w14:paraId="30ED2D98" w14:textId="547A44C6">
      <w:pPr>
        <w:spacing w:line="360" w:lineRule="auto"/>
        <w:jc w:val="center"/>
        <w:rPr>
          <w:b/>
          <w:bCs/>
        </w:rPr>
      </w:pPr>
      <w:r w:rsidRPr="00E30D1B">
        <w:rPr>
          <w:b/>
          <w:bCs/>
        </w:rPr>
        <w:t xml:space="preserve">Rolando Eyzaguirre Maccan – </w:t>
      </w:r>
      <w:proofErr w:type="gramStart"/>
      <w:r w:rsidRPr="00E30D1B" w:rsidR="00E4456F">
        <w:rPr>
          <w:b/>
          <w:bCs/>
        </w:rPr>
        <w:t>Presidente</w:t>
      </w:r>
      <w:proofErr w:type="gramEnd"/>
    </w:p>
    <w:p w:rsidRPr="00E30D1B" w:rsidR="00BB4CEC" w:rsidP="00BB4CEC" w:rsidRDefault="00BB4CEC" w14:paraId="01720D6D" w14:textId="7AD41673">
      <w:pPr>
        <w:spacing w:line="360" w:lineRule="auto"/>
        <w:jc w:val="center"/>
        <w:rPr>
          <w:b/>
          <w:bCs/>
        </w:rPr>
      </w:pPr>
      <w:r w:rsidRPr="00E30D1B">
        <w:rPr>
          <w:b/>
          <w:bCs/>
        </w:rPr>
        <w:t>María Eugenia Valdez Fernández Baca –</w:t>
      </w:r>
      <w:r w:rsidRPr="00E30D1B" w:rsidR="00E4456F">
        <w:rPr>
          <w:b/>
          <w:bCs/>
        </w:rPr>
        <w:t xml:space="preserve"> Vocal</w:t>
      </w:r>
      <w:r w:rsidRPr="00E30D1B">
        <w:rPr>
          <w:b/>
          <w:bCs/>
        </w:rPr>
        <w:t xml:space="preserve"> </w:t>
      </w:r>
    </w:p>
    <w:p w:rsidRPr="00E30D1B" w:rsidR="00DD0E29" w:rsidP="00AD20C0" w:rsidRDefault="00AD20C0" w14:paraId="487074CF" w14:textId="11EAC2F0">
      <w:pPr>
        <w:spacing w:line="360" w:lineRule="auto"/>
        <w:jc w:val="center"/>
        <w:rPr>
          <w:b/>
          <w:bCs/>
        </w:rPr>
      </w:pPr>
      <w:r w:rsidRPr="00E30D1B">
        <w:rPr>
          <w:b/>
          <w:bCs/>
        </w:rPr>
        <w:t>Antonio José Rodríguez Lobatón – Vocal</w:t>
      </w:r>
    </w:p>
    <w:p w:rsidRPr="00D61561" w:rsidR="00861405" w:rsidP="00AD20C0" w:rsidRDefault="00861405" w14:paraId="2AB4572E" w14:textId="77777777">
      <w:pPr>
        <w:spacing w:line="360" w:lineRule="auto"/>
        <w:jc w:val="center"/>
        <w:rPr>
          <w:b/>
          <w:bCs/>
        </w:rPr>
      </w:pPr>
    </w:p>
    <w:p w:rsidRPr="00D61561" w:rsidR="001631D6" w:rsidP="00F15FBA" w:rsidRDefault="001631D6" w14:paraId="0DA96C46" w14:textId="77777777">
      <w:pPr>
        <w:jc w:val="both"/>
        <w:rPr>
          <w:lang w:val="es-MX"/>
        </w:rPr>
      </w:pPr>
    </w:p>
    <w:p w:rsidRPr="00D61561"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77BCB" w:rsidP="005F148C" w:rsidRDefault="00077BCB" w14:paraId="1338D9E6" w14:textId="77777777">
      <w:r>
        <w:separator/>
      </w:r>
    </w:p>
  </w:endnote>
  <w:endnote w:type="continuationSeparator" w:id="0">
    <w:p w:rsidR="00077BCB" w:rsidP="005F148C" w:rsidRDefault="00077BCB" w14:paraId="7547039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77BCB" w:rsidP="005F148C" w:rsidRDefault="00077BCB" w14:paraId="7F381DA3" w14:textId="77777777">
      <w:r>
        <w:separator/>
      </w:r>
    </w:p>
  </w:footnote>
  <w:footnote w:type="continuationSeparator" w:id="0">
    <w:p w:rsidR="00077BCB" w:rsidP="005F148C" w:rsidRDefault="00077BCB" w14:paraId="7A07B0D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8"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5"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3"/>
  </w:num>
  <w:num w:numId="7" w16cid:durableId="1402695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33"/>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6"/>
  </w:num>
  <w:num w:numId="25" w16cid:durableId="20634041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44"/>
  </w:num>
  <w:num w:numId="35" w16cid:durableId="12596762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9"/>
  </w:num>
  <w:num w:numId="39" w16cid:durableId="375400375">
    <w:abstractNumId w:val="0"/>
  </w:num>
  <w:num w:numId="40" w16cid:durableId="15364629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7"/>
  </w:num>
  <w:num w:numId="42" w16cid:durableId="1367632935">
    <w:abstractNumId w:val="40"/>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27"/>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4E06"/>
    <w:rsid w:val="000F7060"/>
    <w:rsid w:val="000F793E"/>
    <w:rsid w:val="00103188"/>
    <w:rsid w:val="00107A19"/>
    <w:rsid w:val="001103B4"/>
    <w:rsid w:val="001113E8"/>
    <w:rsid w:val="001121CB"/>
    <w:rsid w:val="00116E8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2CAC"/>
    <w:rsid w:val="00193409"/>
    <w:rsid w:val="0019343D"/>
    <w:rsid w:val="001954EF"/>
    <w:rsid w:val="00195646"/>
    <w:rsid w:val="001A0D7C"/>
    <w:rsid w:val="001A19AE"/>
    <w:rsid w:val="001A1D3F"/>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75F4C"/>
    <w:rsid w:val="00280092"/>
    <w:rsid w:val="00281026"/>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3C64"/>
    <w:rsid w:val="00514DF5"/>
    <w:rsid w:val="00515C76"/>
    <w:rsid w:val="00516549"/>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0033"/>
    <w:rsid w:val="00651449"/>
    <w:rsid w:val="00652ED5"/>
    <w:rsid w:val="006603F9"/>
    <w:rsid w:val="00660E60"/>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1291"/>
    <w:rsid w:val="00902518"/>
    <w:rsid w:val="00902B75"/>
    <w:rsid w:val="00912FEF"/>
    <w:rsid w:val="009144B3"/>
    <w:rsid w:val="009145AA"/>
    <w:rsid w:val="00916C04"/>
    <w:rsid w:val="009207B4"/>
    <w:rsid w:val="00921DFA"/>
    <w:rsid w:val="0092266A"/>
    <w:rsid w:val="0092661C"/>
    <w:rsid w:val="00926F92"/>
    <w:rsid w:val="00934888"/>
    <w:rsid w:val="0094049B"/>
    <w:rsid w:val="00943560"/>
    <w:rsid w:val="00946A3D"/>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B7248"/>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9769D"/>
    <w:rsid w:val="00DA5539"/>
    <w:rsid w:val="00DB07A4"/>
    <w:rsid w:val="00DB4439"/>
    <w:rsid w:val="00DB698A"/>
    <w:rsid w:val="00DC1FEA"/>
    <w:rsid w:val="00DC5429"/>
    <w:rsid w:val="00DC5B68"/>
    <w:rsid w:val="00DC5CB7"/>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25A"/>
    <w:rsid w:val="00E25357"/>
    <w:rsid w:val="00E30D1B"/>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16"/>
    <w:rsid w:val="00E95E58"/>
    <w:rsid w:val="00EA292A"/>
    <w:rsid w:val="00EB23A4"/>
    <w:rsid w:val="00EB5D8D"/>
    <w:rsid w:val="00EB69AF"/>
    <w:rsid w:val="00EB7C11"/>
    <w:rsid w:val="00EC17DB"/>
    <w:rsid w:val="00EC44AB"/>
    <w:rsid w:val="00EC4F40"/>
    <w:rsid w:val="00EC60F5"/>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1629914"/>
    <w:rsid w:val="08D1E804"/>
    <w:rsid w:val="1C0A9FB3"/>
    <w:rsid w:val="236C6E32"/>
    <w:rsid w:val="348786C5"/>
    <w:rsid w:val="448EAC14"/>
    <w:rsid w:val="53523990"/>
    <w:rsid w:val="54D51570"/>
    <w:rsid w:val="54DCA4D2"/>
    <w:rsid w:val="5837185C"/>
    <w:rsid w:val="5EF9B989"/>
    <w:rsid w:val="623C78E0"/>
    <w:rsid w:val="6EB56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F24E330-BA01-4909-91F3-211B3444092F}"/>
</file>

<file path=customXml/itemProps3.xml><?xml version="1.0" encoding="utf-8"?>
<ds:datastoreItem xmlns:ds="http://schemas.openxmlformats.org/officeDocument/2006/customXml" ds:itemID="{F568BB6A-0D23-4D9F-A6B0-79BC8A307668}"/>
</file>

<file path=customXml/itemProps4.xml><?xml version="1.0" encoding="utf-8"?>
<ds:datastoreItem xmlns:ds="http://schemas.openxmlformats.org/officeDocument/2006/customXml" ds:itemID="{1D49D7D3-FAB3-4957-A31A-2EAA9245898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524</cp:revision>
  <cp:lastPrinted>2025-06-10T18:19:00Z</cp:lastPrinted>
  <dcterms:created xsi:type="dcterms:W3CDTF">2023-06-22T13:57:00Z</dcterms:created>
  <dcterms:modified xsi:type="dcterms:W3CDTF">2026-03-25T17:32:45Z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