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615431" w:rsidR="001662D0" w:rsidP="00615431" w:rsidRDefault="00F15FBA" w14:paraId="741887BF" w14:textId="63B0C61D">
      <w:pPr>
        <w:pStyle w:val="Ttulo"/>
        <w:outlineLvl w:val="0"/>
        <w:rPr>
          <w:lang w:val="es-PE"/>
        </w:rPr>
      </w:pPr>
      <w:r w:rsidRPr="00CD67EE">
        <w:rPr>
          <w:lang w:val="es-PE"/>
        </w:rPr>
        <w:t>RESOLUCIÓN N</w:t>
      </w:r>
      <w:r w:rsidRPr="00CD67EE" w:rsidR="001631D6">
        <w:rPr>
          <w:lang w:val="es-PE"/>
        </w:rPr>
        <w:t xml:space="preserve">° </w:t>
      </w:r>
      <w:r w:rsidRPr="00CD67EE" w:rsidR="00015A30">
        <w:rPr>
          <w:lang w:val="es-PE"/>
        </w:rPr>
        <w:t>0</w:t>
      </w:r>
      <w:r w:rsidR="00D666A5">
        <w:rPr>
          <w:lang w:val="es-PE"/>
        </w:rPr>
        <w:t>90</w:t>
      </w:r>
      <w:r w:rsidRPr="00CD67EE" w:rsidR="001631D6">
        <w:rPr>
          <w:lang w:val="es-PE"/>
        </w:rPr>
        <w:t>/2</w:t>
      </w:r>
      <w:r w:rsidRPr="00CD67EE" w:rsidR="0073373B">
        <w:rPr>
          <w:lang w:val="es-PE"/>
        </w:rPr>
        <w:t>5</w:t>
      </w:r>
    </w:p>
    <w:p w:rsidRPr="001F4EE9" w:rsidR="001F4EE9" w:rsidP="001F4EE9" w:rsidRDefault="001F4EE9" w14:paraId="7646117B" w14:textId="77777777">
      <w:pPr>
        <w:jc w:val="both"/>
        <w:outlineLvl w:val="0"/>
        <w:rPr>
          <w:b/>
          <w:bCs/>
          <w:lang w:val="es-PE"/>
        </w:rPr>
      </w:pPr>
    </w:p>
    <w:p w:rsidRPr="00842303" w:rsidR="00842303" w:rsidP="00842303" w:rsidRDefault="00842303" w14:paraId="78AC57AB" w14:textId="77777777">
      <w:pPr>
        <w:jc w:val="both"/>
        <w:outlineLvl w:val="0"/>
        <w:rPr>
          <w:b/>
          <w:bCs/>
          <w:lang w:val="es-PE"/>
        </w:rPr>
      </w:pPr>
      <w:r w:rsidRPr="00842303">
        <w:rPr>
          <w:b/>
          <w:bCs/>
          <w:lang w:val="es-PE"/>
        </w:rPr>
        <w:t>VISTOS:</w:t>
      </w:r>
    </w:p>
    <w:p w:rsidRPr="00842303" w:rsidR="00842303" w:rsidP="00842303" w:rsidRDefault="00842303" w14:paraId="06AC3928" w14:textId="77777777">
      <w:pPr>
        <w:jc w:val="both"/>
        <w:outlineLvl w:val="0"/>
        <w:rPr>
          <w:b/>
          <w:bCs/>
          <w:lang w:val="es-PE"/>
        </w:rPr>
      </w:pPr>
    </w:p>
    <w:p w:rsidRPr="00842303" w:rsidR="00842303" w:rsidP="00842303" w:rsidRDefault="00842303" w14:paraId="181954BA" w14:textId="6BF8A176">
      <w:pPr>
        <w:jc w:val="both"/>
        <w:outlineLvl w:val="0"/>
        <w:rPr>
          <w:lang w:val="es-PE"/>
        </w:rPr>
      </w:pPr>
      <w:r w:rsidRPr="2BC76309" w:rsidR="00842303">
        <w:rPr>
          <w:lang w:val="es-PE"/>
        </w:rPr>
        <w:t xml:space="preserve">Que, con fecha 13 de enero de </w:t>
      </w:r>
      <w:r w:rsidRPr="2BC76309" w:rsidR="00842303">
        <w:rPr>
          <w:lang w:val="es-PE"/>
        </w:rPr>
        <w:t xml:space="preserve">2025,  </w:t>
      </w:r>
      <w:r w:rsidRPr="2BC76309" w:rsidR="551584C9">
        <w:rPr>
          <w:b w:val="1"/>
          <w:bCs w:val="1"/>
          <w:lang w:val="es-MX"/>
        </w:rPr>
        <w:t>....................................................</w:t>
      </w:r>
      <w:r w:rsidRPr="2BC76309" w:rsidR="00842303">
        <w:rPr>
          <w:b w:val="1"/>
          <w:bCs w:val="1"/>
          <w:lang w:val="es-MX"/>
        </w:rPr>
        <w:t xml:space="preserve"> </w:t>
      </w:r>
      <w:r w:rsidRPr="2BC76309" w:rsidR="00842303">
        <w:rPr>
          <w:lang w:val="es-PE"/>
        </w:rPr>
        <w:t xml:space="preserve">interpone reclamación ante esta Defensoría del Asegurado (DEFASEG), solicitando que </w:t>
      </w:r>
      <w:bookmarkStart w:name="OLE_LINK2" w:id="0"/>
      <w:r w:rsidRPr="2BC76309" w:rsidR="147AFAC4">
        <w:rPr>
          <w:b w:val="1"/>
          <w:bCs w:val="1"/>
          <w:lang w:val="es-PE"/>
        </w:rPr>
        <w:t>..............................</w:t>
      </w:r>
      <w:r w:rsidRPr="2BC76309" w:rsidR="00842303">
        <w:rPr>
          <w:lang w:val="es-PE"/>
        </w:rPr>
        <w:t xml:space="preserve"> otorgue cobertura al siniestro ocurrido el 17 de diciembre de 2024, de acuerdo con los términos y condiciones del </w:t>
      </w:r>
      <w:r w:rsidRPr="2BC76309" w:rsidR="00842303">
        <w:rPr>
          <w:b w:val="1"/>
          <w:bCs w:val="1"/>
          <w:lang w:val="es-MX"/>
        </w:rPr>
        <w:t xml:space="preserve">SEGURO </w:t>
      </w:r>
      <w:r w:rsidRPr="2BC76309" w:rsidR="00842303">
        <w:rPr>
          <w:b w:val="1"/>
          <w:bCs w:val="1"/>
          <w:lang w:val="es-PE"/>
        </w:rPr>
        <w:t xml:space="preserve">DE TARJETAS 360° </w:t>
      </w:r>
      <w:r w:rsidRPr="2BC76309" w:rsidR="00842303">
        <w:rPr>
          <w:b w:val="1"/>
          <w:bCs w:val="1"/>
          <w:lang w:val="es-MX"/>
        </w:rPr>
        <w:t xml:space="preserve">– PÓLIZA No </w:t>
      </w:r>
      <w:bookmarkEnd w:id="0"/>
      <w:r w:rsidRPr="2BC76309" w:rsidR="4A8CC47E">
        <w:rPr>
          <w:b w:val="1"/>
          <w:bCs w:val="1"/>
          <w:lang w:val="es-MX"/>
        </w:rPr>
        <w:t>.................</w:t>
      </w:r>
      <w:r w:rsidRPr="2BC76309" w:rsidR="00842303">
        <w:rPr>
          <w:lang w:val="es-PE"/>
        </w:rPr>
        <w:t>;</w:t>
      </w:r>
    </w:p>
    <w:p w:rsidRPr="00842303" w:rsidR="00842303" w:rsidP="00842303" w:rsidRDefault="00842303" w14:paraId="1ED428F5" w14:textId="77777777">
      <w:pPr>
        <w:jc w:val="both"/>
        <w:outlineLvl w:val="0"/>
        <w:rPr>
          <w:b/>
          <w:lang w:val="es-PE"/>
        </w:rPr>
      </w:pPr>
    </w:p>
    <w:p w:rsidRPr="00842303" w:rsidR="00842303" w:rsidP="00842303" w:rsidRDefault="00842303" w14:paraId="4C33FA1F" w14:textId="77777777">
      <w:pPr>
        <w:jc w:val="both"/>
        <w:outlineLvl w:val="0"/>
        <w:rPr>
          <w:lang w:val="es-PE"/>
        </w:rPr>
      </w:pPr>
      <w:r w:rsidRPr="00842303">
        <w:rPr>
          <w:lang w:val="es-PE"/>
        </w:rPr>
        <w:t>Que, la señalada reclamación cumple con los requisitos de materia, cuantía y oportunidad establecidos en el Reglamento de la DEFASEG (</w:t>
      </w:r>
      <w:hyperlink w:history="1" r:id="rId8">
        <w:r w:rsidRPr="00842303">
          <w:rPr>
            <w:rStyle w:val="Hipervnculo"/>
            <w:lang w:val="es-PE"/>
          </w:rPr>
          <w:t>http://www.defaseg.com.pe/reglamento.html</w:t>
        </w:r>
      </w:hyperlink>
      <w:r w:rsidRPr="00842303">
        <w:rPr>
          <w:lang w:val="es-PE"/>
        </w:rPr>
        <w:t>);</w:t>
      </w:r>
    </w:p>
    <w:p w:rsidRPr="00842303" w:rsidR="00842303" w:rsidP="00842303" w:rsidRDefault="00842303" w14:paraId="010F5D2B" w14:textId="77777777">
      <w:pPr>
        <w:jc w:val="both"/>
        <w:outlineLvl w:val="0"/>
        <w:rPr>
          <w:lang w:val="es-PE"/>
        </w:rPr>
      </w:pPr>
    </w:p>
    <w:p w:rsidRPr="00842303" w:rsidR="00842303" w:rsidP="00842303" w:rsidRDefault="00842303" w14:paraId="4575EF4C" w14:textId="77777777">
      <w:pPr>
        <w:jc w:val="both"/>
        <w:outlineLvl w:val="0"/>
        <w:rPr>
          <w:lang w:val="es-PE"/>
        </w:rPr>
      </w:pPr>
      <w:r w:rsidRPr="00842303">
        <w:rPr>
          <w:lang w:val="es-PE"/>
        </w:rPr>
        <w:t>Que, conforme al Reglamento de la DEFASEG, atendiendo a la cuantía de la reclamación, que no supera US$ 3,000 (o su equivalente en moneda nacional), esta última puede ser resuelta por un Órgano Resolutivo Unipersonal (ORU), el mismo que, en el presente caso, está a cargo del vocal que suscribe;</w:t>
      </w:r>
    </w:p>
    <w:p w:rsidRPr="00842303" w:rsidR="00842303" w:rsidP="00842303" w:rsidRDefault="00842303" w14:paraId="586A04AF" w14:textId="77777777">
      <w:pPr>
        <w:jc w:val="both"/>
        <w:outlineLvl w:val="0"/>
        <w:rPr>
          <w:lang w:val="es-PE"/>
        </w:rPr>
      </w:pPr>
    </w:p>
    <w:p w:rsidRPr="00842303" w:rsidR="00842303" w:rsidP="00842303" w:rsidRDefault="00842303" w14:paraId="76429D37" w14:textId="3A9A6CCB">
      <w:pPr>
        <w:jc w:val="both"/>
        <w:outlineLvl w:val="0"/>
        <w:rPr>
          <w:lang w:val="es-PE"/>
        </w:rPr>
      </w:pPr>
      <w:r w:rsidRPr="2BC76309" w:rsidR="00842303">
        <w:rPr>
          <w:lang w:val="es-PE"/>
        </w:rPr>
        <w:t xml:space="preserve">Que, habiéndosele corrido traslado de la respectiva reclamación, </w:t>
      </w:r>
      <w:r w:rsidRPr="2BC76309" w:rsidR="147AFAC4">
        <w:rPr>
          <w:lang w:val="es-PE"/>
        </w:rPr>
        <w:t>..............................</w:t>
      </w:r>
      <w:r w:rsidRPr="2BC76309" w:rsidR="00842303">
        <w:rPr>
          <w:lang w:val="es-PE"/>
        </w:rPr>
        <w:t xml:space="preserve"> presentó sus descargos y la documentación requerida;</w:t>
      </w:r>
    </w:p>
    <w:p w:rsidRPr="00842303" w:rsidR="00842303" w:rsidP="00842303" w:rsidRDefault="00842303" w14:paraId="7496398B" w14:textId="77777777">
      <w:pPr>
        <w:jc w:val="both"/>
        <w:outlineLvl w:val="0"/>
        <w:rPr>
          <w:lang w:val="es-PE"/>
        </w:rPr>
      </w:pPr>
    </w:p>
    <w:p w:rsidRPr="00842303" w:rsidR="00842303" w:rsidP="00842303" w:rsidRDefault="00842303" w14:paraId="422A7F5C" w14:textId="77777777">
      <w:pPr>
        <w:jc w:val="both"/>
        <w:outlineLvl w:val="0"/>
      </w:pPr>
      <w:r w:rsidRPr="00842303">
        <w:rPr>
          <w:lang w:val="es-PE"/>
        </w:rPr>
        <w:t xml:space="preserve">Que, </w:t>
      </w:r>
      <w:r w:rsidRPr="00842303">
        <w:rPr>
          <w:lang w:val="es-419"/>
        </w:rPr>
        <w:t xml:space="preserve">el 16 de junio de 2025 </w:t>
      </w:r>
      <w:r w:rsidRPr="00842303">
        <w:rPr>
          <w:lang w:val="es-PE"/>
        </w:rPr>
        <w:t>se realizó la audiencia de vista virtual, con la participación de ambas partes las que sustentaron su posición respecto de la reclamación</w:t>
      </w:r>
      <w:r w:rsidRPr="00842303">
        <w:t>,</w:t>
      </w:r>
      <w:r w:rsidRPr="00842303">
        <w:rPr>
          <w:lang w:val="es-PE"/>
        </w:rPr>
        <w:t xml:space="preserve"> absolviendo las diversas preguntas formuladas, conforme consta de la correspondiente acta;</w:t>
      </w:r>
    </w:p>
    <w:p w:rsidRPr="00842303" w:rsidR="00842303" w:rsidP="00842303" w:rsidRDefault="00842303" w14:paraId="7364BB9E" w14:textId="77777777">
      <w:pPr>
        <w:jc w:val="both"/>
        <w:outlineLvl w:val="0"/>
      </w:pPr>
    </w:p>
    <w:p w:rsidRPr="00842303" w:rsidR="00842303" w:rsidP="00842303" w:rsidRDefault="00842303" w14:paraId="7A7E9C5F" w14:textId="77777777">
      <w:pPr>
        <w:jc w:val="both"/>
        <w:outlineLvl w:val="0"/>
      </w:pPr>
      <w:r w:rsidRPr="00842303">
        <w:rPr>
          <w:lang w:val="es-PE"/>
        </w:rPr>
        <w:t xml:space="preserve">Que, conforme a lo señalado en su reclamo y a lo referido en la audiencia de vista, la reclamación interpuesta se sustenta resumidamente en lo siguiente: a) </w:t>
      </w:r>
      <w:r w:rsidRPr="00842303">
        <w:t>Solicita la devolución de S/8,010; b) señala que el 17 de diciembre de 2024 fue víctima del robo de su tarjeta de débito Interbank y su celular, donde minutos después realizaron una transferencia no autorizada a través del APP Interbank, por el monto mencionado; c) acudió al Banco a informar de lo requerido, siendo que fue atendida con mucha amabilidad y ellos le indicaron que cuenta con el seguro de protección de tarjeta, por lo que cumplió con presentar todos los documentos requeridos y solicita la devolución del monto indicado; d) acude a la DEFASEG ya que su solicitud ha sido rechazada basándose en una prueba poligráfica realizada el día 31 de diciembre de 2024, en la cual se vio sorprendida por preguntas que no entendía en su totalidad; por lo que solicita la devolución de su dinero que es su capital de trabajo.</w:t>
      </w:r>
    </w:p>
    <w:p w:rsidRPr="00842303" w:rsidR="00842303" w:rsidP="00842303" w:rsidRDefault="00842303" w14:paraId="6641F201" w14:textId="77777777">
      <w:pPr>
        <w:jc w:val="both"/>
        <w:outlineLvl w:val="0"/>
      </w:pPr>
    </w:p>
    <w:p w:rsidRPr="00842303" w:rsidR="00842303" w:rsidP="00842303" w:rsidRDefault="00842303" w14:paraId="0AEDF632" w14:textId="6A2EEDDB">
      <w:pPr>
        <w:jc w:val="both"/>
        <w:outlineLvl w:val="0"/>
      </w:pPr>
      <w:r w:rsidR="00842303">
        <w:rPr/>
        <w:t xml:space="preserve">Que, por su parte, ratificando el rechazo de cobertura, </w:t>
      </w:r>
      <w:r w:rsidR="147AFAC4">
        <w:rPr/>
        <w:t>..............................</w:t>
      </w:r>
      <w:r w:rsidRPr="2BC76309" w:rsidR="00842303">
        <w:rPr>
          <w:lang w:val="es-PE"/>
        </w:rPr>
        <w:t xml:space="preserve"> expresa</w:t>
      </w:r>
      <w:r w:rsidR="00842303">
        <w:rPr/>
        <w:t xml:space="preserve"> resumidamente lo siguiente: a) la señora </w:t>
      </w:r>
      <w:r w:rsidR="6E0A0F19">
        <w:rPr/>
        <w:t>.................</w:t>
      </w:r>
      <w:r w:rsidR="00842303">
        <w:rPr/>
        <w:t xml:space="preserve"> contrato un seguro de Tarjetas 360° el 08 de setiembre de 2023, dicha póliza fue trasladada a la denunciante oportunamente; b) el 18 de diciembre de 2024, se recibió la solicitud de cobertura de la reclamante, no obstante, se identificó la ausencia de algunos de los requisitos, por lo que con fecha 19 de diciembre de 2024 se le informó que su solicitud se encontraba a la espera de ser subsanada; c) tras recibir la documentación faltante con fecha 23 de diciembre de 2024 le indicaron que sería necesaria la realización de una prueba poligráfica, procedimiento establecido en las condiciones de la póliza; d) recibidos los resultado de la prueba poligráfica, se identificaron respuestas significativas de engaño, por lo que declararon la solicitud </w:t>
      </w:r>
      <w:r w:rsidR="00842303">
        <w:rPr/>
        <w:t>improcedente y la póliza procedió a ser anulada; e) la decisión se fundamente en el inciso “c” causales de resolución de la solicitud certificado, por lo que han aplicado las condiciones generales de la póliza, siendo que las mismas establecen que en caso de presentación de declaraciones falsas, la póliza será resuelta, declaraciones falsas que fueron identificadas en base a la prueba poligráfica realizada con sustento en la solicitud certificado de la póliza.</w:t>
      </w:r>
    </w:p>
    <w:p w:rsidRPr="00842303" w:rsidR="00842303" w:rsidP="00842303" w:rsidRDefault="00842303" w14:paraId="660A89DE" w14:textId="77777777">
      <w:pPr>
        <w:jc w:val="both"/>
        <w:outlineLvl w:val="0"/>
      </w:pPr>
    </w:p>
    <w:p w:rsidRPr="00842303" w:rsidR="00842303" w:rsidP="00842303" w:rsidRDefault="00842303" w14:paraId="3D580235" w14:textId="77777777">
      <w:pPr>
        <w:jc w:val="both"/>
        <w:outlineLvl w:val="0"/>
        <w:rPr>
          <w:lang w:val="es-PE"/>
        </w:rPr>
      </w:pPr>
      <w:r w:rsidRPr="00842303">
        <w:rPr>
          <w:b/>
          <w:bCs/>
          <w:lang w:val="es-PE"/>
        </w:rPr>
        <w:t>CONSIDERANDO:</w:t>
      </w:r>
    </w:p>
    <w:p w:rsidRPr="00842303" w:rsidR="00842303" w:rsidP="00842303" w:rsidRDefault="00842303" w14:paraId="74598F0E" w14:textId="77777777">
      <w:pPr>
        <w:jc w:val="both"/>
        <w:outlineLvl w:val="0"/>
        <w:rPr>
          <w:lang w:val="es-PE"/>
        </w:rPr>
      </w:pPr>
    </w:p>
    <w:p w:rsidRPr="00842303" w:rsidR="00842303" w:rsidP="00842303" w:rsidRDefault="00842303" w14:paraId="2AD20A31" w14:textId="77777777">
      <w:pPr>
        <w:jc w:val="both"/>
        <w:outlineLvl w:val="0"/>
        <w:rPr>
          <w:lang w:val="es-PE"/>
        </w:rPr>
      </w:pPr>
      <w:r w:rsidRPr="00842303">
        <w:rPr>
          <w:b/>
          <w:u w:val="single"/>
          <w:lang w:val="es-PE"/>
        </w:rPr>
        <w:t>PRIMERO</w:t>
      </w:r>
      <w:r w:rsidRPr="00842303">
        <w:rPr>
          <w:b/>
          <w:lang w:val="es-PE"/>
        </w:rPr>
        <w:t xml:space="preserve">: </w:t>
      </w:r>
      <w:r w:rsidRPr="00842303">
        <w:rPr>
          <w:lang w:val="es-PE"/>
        </w:rPr>
        <w:t>Conforme a su Reglamento, la</w:t>
      </w:r>
      <w:r w:rsidRPr="00842303">
        <w:rPr>
          <w:b/>
          <w:bCs/>
          <w:lang w:val="es-PE"/>
        </w:rPr>
        <w:t xml:space="preserve"> </w:t>
      </w:r>
      <w:r w:rsidRPr="00842303">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842303" w:rsidR="00842303" w:rsidP="00842303" w:rsidRDefault="00842303" w14:paraId="56DDC840" w14:textId="77777777">
      <w:pPr>
        <w:jc w:val="both"/>
        <w:outlineLvl w:val="0"/>
        <w:rPr>
          <w:lang w:val="es-PE"/>
        </w:rPr>
      </w:pPr>
    </w:p>
    <w:p w:rsidRPr="00842303" w:rsidR="00842303" w:rsidP="00842303" w:rsidRDefault="00842303" w14:paraId="15581FE9" w14:textId="77777777">
      <w:pPr>
        <w:jc w:val="both"/>
        <w:outlineLvl w:val="0"/>
        <w:rPr>
          <w:bCs/>
          <w:lang w:val="es-PE"/>
        </w:rPr>
      </w:pPr>
      <w:r w:rsidRPr="00842303">
        <w:rPr>
          <w:b/>
          <w:bCs/>
          <w:u w:val="single"/>
          <w:lang w:val="es-PE"/>
        </w:rPr>
        <w:t>SEGUNDO</w:t>
      </w:r>
      <w:r w:rsidRPr="00842303">
        <w:rPr>
          <w:b/>
          <w:bCs/>
          <w:lang w:val="es-PE"/>
        </w:rPr>
        <w:t>:</w:t>
      </w:r>
      <w:r w:rsidRPr="00842303">
        <w:rPr>
          <w:bCs/>
          <w:lang w:val="es-PE"/>
        </w:rPr>
        <w:t xml:space="preserve"> </w:t>
      </w:r>
      <w:r w:rsidRPr="00842303">
        <w:rPr>
          <w:lang w:val="es-PE"/>
        </w:rPr>
        <w:t xml:space="preserve">Asimismo, de acuerdo con </w:t>
      </w:r>
      <w:r w:rsidRPr="00842303">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w:t>
      </w:r>
    </w:p>
    <w:p w:rsidRPr="00842303" w:rsidR="00842303" w:rsidP="00842303" w:rsidRDefault="00842303" w14:paraId="70CCED42" w14:textId="77777777">
      <w:pPr>
        <w:jc w:val="both"/>
        <w:outlineLvl w:val="0"/>
        <w:rPr>
          <w:bCs/>
          <w:lang w:val="es-PE"/>
        </w:rPr>
      </w:pPr>
    </w:p>
    <w:p w:rsidRPr="00842303" w:rsidR="00842303" w:rsidP="00842303" w:rsidRDefault="00842303" w14:paraId="00B6DEFD" w14:textId="77777777">
      <w:pPr>
        <w:jc w:val="both"/>
        <w:outlineLvl w:val="0"/>
      </w:pPr>
      <w:r w:rsidRPr="00842303">
        <w:rPr>
          <w:b/>
          <w:bCs/>
          <w:u w:val="single"/>
          <w:lang w:val="es-PE"/>
        </w:rPr>
        <w:t>TERCERO</w:t>
      </w:r>
      <w:r w:rsidRPr="00842303">
        <w:rPr>
          <w:b/>
          <w:bCs/>
          <w:lang w:val="es-PE"/>
        </w:rPr>
        <w:t>:</w:t>
      </w:r>
      <w:r w:rsidRPr="00842303">
        <w:rPr>
          <w:lang w:val="es-PE"/>
        </w:rPr>
        <w:t xml:space="preserve"> Que, de acuerdo a la Ley Nro. </w:t>
      </w:r>
      <w:r w:rsidRPr="00842303">
        <w:t xml:space="preserve">29946 – Ley del Contrato de Seguro, norma legal vigente con ocasión de la celebración del contrato al cual se contrae el presente caso, </w:t>
      </w:r>
      <w:r w:rsidRPr="00842303">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842303" w:rsidR="00842303" w:rsidP="00842303" w:rsidRDefault="00842303" w14:paraId="02953381" w14:textId="77777777">
      <w:pPr>
        <w:jc w:val="both"/>
        <w:outlineLvl w:val="0"/>
        <w:rPr>
          <w:b/>
          <w:u w:val="single"/>
          <w:lang w:val="es-PE"/>
        </w:rPr>
      </w:pPr>
    </w:p>
    <w:p w:rsidRPr="00842303" w:rsidR="00842303" w:rsidP="00842303" w:rsidRDefault="00842303" w14:paraId="30E59A0E" w14:textId="77777777">
      <w:pPr>
        <w:jc w:val="both"/>
        <w:outlineLvl w:val="0"/>
        <w:rPr>
          <w:lang w:val="es-PE"/>
        </w:rPr>
      </w:pPr>
      <w:r w:rsidRPr="00842303">
        <w:rPr>
          <w:b/>
          <w:u w:val="single"/>
          <w:lang w:val="es-PE"/>
        </w:rPr>
        <w:t>CUARTO</w:t>
      </w:r>
      <w:r w:rsidRPr="00842303">
        <w:rPr>
          <w:b/>
          <w:lang w:val="es-PE"/>
        </w:rPr>
        <w:t>:</w:t>
      </w:r>
      <w:r w:rsidRPr="00842303">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842303" w:rsidR="00842303" w:rsidP="00842303" w:rsidRDefault="00842303" w14:paraId="7353E748" w14:textId="77777777">
      <w:pPr>
        <w:jc w:val="both"/>
        <w:outlineLvl w:val="0"/>
        <w:rPr>
          <w:bCs/>
        </w:rPr>
      </w:pPr>
    </w:p>
    <w:p w:rsidRPr="00842303" w:rsidR="00842303" w:rsidP="00842303" w:rsidRDefault="00842303" w14:paraId="74DC9EB1" w14:textId="77777777">
      <w:pPr>
        <w:jc w:val="both"/>
        <w:outlineLvl w:val="0"/>
      </w:pPr>
      <w:r w:rsidRPr="00842303">
        <w:rPr>
          <w:b/>
          <w:bCs/>
          <w:u w:val="single"/>
          <w:lang w:val="es-PE"/>
        </w:rPr>
        <w:t>QUINTO</w:t>
      </w:r>
      <w:r w:rsidRPr="00842303">
        <w:rPr>
          <w:b/>
          <w:bCs/>
          <w:lang w:val="es-PE"/>
        </w:rPr>
        <w:t xml:space="preserve">: </w:t>
      </w:r>
      <w:r w:rsidRPr="00842303">
        <w:rPr>
          <w:bCs/>
          <w:lang w:val="es-PE"/>
        </w:rPr>
        <w:t>Que, conforme al</w:t>
      </w:r>
      <w:r w:rsidRPr="00842303">
        <w:rPr>
          <w:b/>
          <w:bCs/>
          <w:lang w:val="es-PE"/>
        </w:rPr>
        <w:t xml:space="preserve"> </w:t>
      </w:r>
      <w:r w:rsidRPr="00842303">
        <w:rPr>
          <w:lang w:val="es-PE"/>
        </w:rPr>
        <w:t>artículo 196 del Código Procesal Civil, la carga de la prueba corresponde a quien afirma hechos que configuran su pretensión, o a quien los contradice alegando nuevos hechos, salvo disposición legal diferente.</w:t>
      </w:r>
    </w:p>
    <w:p w:rsidRPr="00842303" w:rsidR="00842303" w:rsidP="00842303" w:rsidRDefault="00842303" w14:paraId="4EC0D354" w14:textId="77777777">
      <w:pPr>
        <w:jc w:val="both"/>
        <w:outlineLvl w:val="0"/>
        <w:rPr>
          <w:lang w:val="es-PE"/>
        </w:rPr>
      </w:pPr>
    </w:p>
    <w:p w:rsidRPr="00842303" w:rsidR="00842303" w:rsidP="00842303" w:rsidRDefault="00842303" w14:paraId="56780E10" w14:textId="77777777">
      <w:pPr>
        <w:jc w:val="both"/>
        <w:outlineLvl w:val="0"/>
        <w:rPr>
          <w:lang w:val="es-PE"/>
        </w:rPr>
      </w:pPr>
      <w:r w:rsidRPr="00842303">
        <w:rPr>
          <w:b/>
          <w:u w:val="single"/>
        </w:rPr>
        <w:t>SEXTO</w:t>
      </w:r>
      <w:r w:rsidRPr="00842303">
        <w:rPr>
          <w:b/>
        </w:rPr>
        <w:t xml:space="preserve">: </w:t>
      </w:r>
      <w:r w:rsidRPr="00842303">
        <w:rPr>
          <w:lang w:val="es-PE"/>
        </w:rPr>
        <w:t>Sobre la base de los términos contenidos en la reclamación</w:t>
      </w:r>
      <w:r w:rsidRPr="00842303">
        <w:rPr>
          <w:lang w:val="es-419"/>
        </w:rPr>
        <w:t xml:space="preserve"> y </w:t>
      </w:r>
      <w:r w:rsidRPr="00842303">
        <w:rPr>
          <w:lang w:val="es-PE"/>
        </w:rPr>
        <w:t>a lo tratado en la audiencia de vista, la cuestión controvertida radica en determinar si se encuentra justificado o no el rechazo de cobertura, el cual se sustenta en que la solicitud de cobertura presentada constituye una reclamación fraudulenta, conforme al artículo 73 de la Ley Nro. 29946 – Ley del Contrato de Seguro, por lo que no correspondería otorgar indemnización alguna, atendiendo a los resultados de la prueba del polígrafo a la cual se sometió la asegurada.</w:t>
      </w:r>
    </w:p>
    <w:p w:rsidRPr="00842303" w:rsidR="00842303" w:rsidP="00842303" w:rsidRDefault="00842303" w14:paraId="56C05FC4" w14:textId="77777777">
      <w:pPr>
        <w:jc w:val="both"/>
        <w:outlineLvl w:val="0"/>
        <w:rPr>
          <w:lang w:val="es-PE"/>
        </w:rPr>
      </w:pPr>
    </w:p>
    <w:p w:rsidRPr="00842303" w:rsidR="00842303" w:rsidP="00842303" w:rsidRDefault="00842303" w14:paraId="2D26C7E2" w14:textId="77777777">
      <w:pPr>
        <w:jc w:val="both"/>
        <w:outlineLvl w:val="0"/>
        <w:rPr>
          <w:lang w:val="es-PE"/>
        </w:rPr>
      </w:pPr>
      <w:r w:rsidRPr="00842303">
        <w:rPr>
          <w:lang w:val="es-PE"/>
        </w:rPr>
        <w:t xml:space="preserve">Cabe señalar que no se discute si el siniestro como tal, esto es, la </w:t>
      </w:r>
      <w:proofErr w:type="gramStart"/>
      <w:r w:rsidRPr="00842303">
        <w:rPr>
          <w:lang w:val="es-PE"/>
        </w:rPr>
        <w:t>transacción  (</w:t>
      </w:r>
      <w:proofErr w:type="gramEnd"/>
      <w:r w:rsidRPr="00842303">
        <w:rPr>
          <w:lang w:val="es-PE"/>
        </w:rPr>
        <w:t xml:space="preserve">transferencia interbancaria) no reconocida realizada luego de la sustracción de la tarjeta Interbank y celular de la asegurada, constituye un riesgo asegurado bajo la Póliza Seguro de Tarjetas 360°, toda vez que la póliza establece que otorga cobertura, entre otras a las compras fraudulentas por internet, teléfono y transferencias de dinero de dinero virtual. Lo controvertido, en este caso, es si estamos o no ante una reclamación fraudulenta. </w:t>
      </w:r>
      <w:r w:rsidRPr="00842303">
        <w:rPr>
          <w:lang w:val="es-PE"/>
        </w:rPr>
        <w:t xml:space="preserve">Específicamente, sí es </w:t>
      </w:r>
      <w:r w:rsidRPr="00842303">
        <w:rPr>
          <w:lang w:val="es-PE"/>
        </w:rPr>
        <w:t>correcto afirmar a partir de los documentos que obran en el expediente que el asegurado presentó una declaración de siniestro fraudulenta.</w:t>
      </w:r>
    </w:p>
    <w:p w:rsidRPr="00842303" w:rsidR="00842303" w:rsidP="00842303" w:rsidRDefault="00842303" w14:paraId="43CEEF3C" w14:textId="77777777">
      <w:pPr>
        <w:jc w:val="both"/>
        <w:outlineLvl w:val="0"/>
        <w:rPr>
          <w:lang w:val="es-PE"/>
        </w:rPr>
      </w:pPr>
    </w:p>
    <w:p w:rsidRPr="00842303" w:rsidR="00842303" w:rsidP="00842303" w:rsidRDefault="00842303" w14:paraId="74BCAB3C" w14:textId="77777777">
      <w:pPr>
        <w:jc w:val="both"/>
        <w:outlineLvl w:val="0"/>
        <w:rPr>
          <w:lang w:val="es-PE"/>
        </w:rPr>
      </w:pPr>
      <w:proofErr w:type="gramStart"/>
      <w:r w:rsidRPr="00842303">
        <w:rPr>
          <w:lang w:val="es-PE"/>
        </w:rPr>
        <w:t>De acuerdo a</w:t>
      </w:r>
      <w:proofErr w:type="gramEnd"/>
      <w:r w:rsidRPr="00842303">
        <w:rPr>
          <w:lang w:val="es-PE"/>
        </w:rPr>
        <w:t xml:space="preserve"> lo establecido en el artículo 73 de la ley del contrato de seguro: </w:t>
      </w:r>
      <w:r w:rsidRPr="00842303">
        <w:rPr>
          <w:i/>
          <w:iCs/>
          <w:lang w:val="es-PE"/>
        </w:rPr>
        <w:t xml:space="preserve">“el asegurado pierde el derecho a ser indemnizado, si actúa fraudulentamente, exagera los </w:t>
      </w:r>
      <w:proofErr w:type="gramStart"/>
      <w:r w:rsidRPr="00842303">
        <w:rPr>
          <w:i/>
          <w:iCs/>
          <w:lang w:val="es-PE"/>
        </w:rPr>
        <w:t>daños  o</w:t>
      </w:r>
      <w:proofErr w:type="gramEnd"/>
      <w:r w:rsidRPr="00842303">
        <w:rPr>
          <w:i/>
          <w:iCs/>
          <w:lang w:val="es-PE"/>
        </w:rPr>
        <w:t xml:space="preserve"> emplea medios falsos para probarlos”.</w:t>
      </w:r>
      <w:r w:rsidRPr="00842303">
        <w:rPr>
          <w:lang w:val="es-PE"/>
        </w:rPr>
        <w:t xml:space="preserve"> El fundamento de ello radica en que se está ante una actuación maliciosa, dado que se entiende que el propio asegurado habría procurado intencionalmente la ocurrencia del siniestro, habría exagerado sus consecuencias o empleado medios falsos para justificar su reclamación de cobertura, todo ello con el propósito subalterno de obtener una indemnización que no le correspondería, con el consiguiente enriquecimiento indebido, por lo que se está ante una grave violación del principio rector de máxima buena fe en materia de seguros. Conforme a lo anterior, la reclamación fraudulenta es una grave inconducta del asegurado que no puede ser amparada por el Derecho</w:t>
      </w:r>
      <w:r w:rsidRPr="00842303">
        <w:rPr>
          <w:vertAlign w:val="superscript"/>
          <w:lang w:val="es-PE"/>
        </w:rPr>
        <w:footnoteReference w:id="1"/>
      </w:r>
      <w:r w:rsidRPr="00842303">
        <w:rPr>
          <w:lang w:val="es-PE"/>
        </w:rPr>
        <w:t>.</w:t>
      </w:r>
    </w:p>
    <w:p w:rsidRPr="00842303" w:rsidR="00842303" w:rsidP="00842303" w:rsidRDefault="00842303" w14:paraId="0501FFDB" w14:textId="77777777">
      <w:pPr>
        <w:jc w:val="both"/>
        <w:outlineLvl w:val="0"/>
        <w:rPr>
          <w:lang w:val="es-PE"/>
        </w:rPr>
      </w:pPr>
    </w:p>
    <w:p w:rsidRPr="00842303" w:rsidR="00842303" w:rsidP="00842303" w:rsidRDefault="00842303" w14:paraId="38C12D21" w14:textId="77777777">
      <w:pPr>
        <w:jc w:val="both"/>
        <w:outlineLvl w:val="0"/>
        <w:rPr>
          <w:lang w:val="es-PE"/>
        </w:rPr>
      </w:pPr>
      <w:r w:rsidRPr="00842303">
        <w:rPr>
          <w:b/>
          <w:u w:val="single"/>
        </w:rPr>
        <w:t>SÉPTIMO</w:t>
      </w:r>
      <w:r w:rsidRPr="00842303">
        <w:rPr>
          <w:b/>
        </w:rPr>
        <w:t>:</w:t>
      </w:r>
      <w:r w:rsidRPr="00842303">
        <w:t xml:space="preserve"> </w:t>
      </w:r>
      <w:r w:rsidRPr="00842303">
        <w:rPr>
          <w:lang w:val="es-PE"/>
        </w:rPr>
        <w:t>De acuerdo con el marco legal peruano, y tal como está establecido en el artículo 77 de la Ley del Contrato de Seguro, corresponde, al asegurado probar la ocurrencia del siniestro y al asegurador, el demostrar las causas que lo liberan de su prestación indemnizatoria, en este caso, la empresa aseguradora debe presentar evidencia suficiente que demuestre que nos encontramos ante una declaración fraudulenta, tal como señala el artículo 73 de la Ley del Contrato de Seguro.</w:t>
      </w:r>
    </w:p>
    <w:p w:rsidRPr="00842303" w:rsidR="00842303" w:rsidP="00842303" w:rsidRDefault="00842303" w14:paraId="65ED2A25" w14:textId="77777777">
      <w:pPr>
        <w:jc w:val="both"/>
        <w:outlineLvl w:val="0"/>
        <w:rPr>
          <w:lang w:val="es-PE"/>
        </w:rPr>
      </w:pPr>
    </w:p>
    <w:p w:rsidRPr="00842303" w:rsidR="00842303" w:rsidP="00842303" w:rsidRDefault="00842303" w14:paraId="5676C181" w14:textId="77777777">
      <w:pPr>
        <w:jc w:val="both"/>
        <w:outlineLvl w:val="0"/>
        <w:rPr>
          <w:lang w:val="es-PE"/>
        </w:rPr>
      </w:pPr>
      <w:r w:rsidRPr="00842303">
        <w:rPr>
          <w:lang w:val="es-PE"/>
        </w:rPr>
        <w:t xml:space="preserve">Según ha sido expresado en diversas resoluciones expedidas por esta Defensoría, la prueba de ocurrencia efectiva de un siniestro semejante al que es objeto de la reclamación puede ser, atendiendo a las circunstancias, bastante difícil, sino imposible de acreditar, de allí que el medio ordinario de acreditación sea la denuncia policial correspondiente, en el marco de la buena fe contractual, ya que se está a lo que afirma el interesado ante la autoridad policial correspondiente.  </w:t>
      </w:r>
    </w:p>
    <w:p w:rsidRPr="00842303" w:rsidR="00842303" w:rsidP="00842303" w:rsidRDefault="00842303" w14:paraId="24EA5991" w14:textId="77777777">
      <w:pPr>
        <w:jc w:val="both"/>
        <w:outlineLvl w:val="0"/>
        <w:rPr>
          <w:lang w:val="es-PE"/>
        </w:rPr>
      </w:pPr>
    </w:p>
    <w:p w:rsidRPr="00842303" w:rsidR="00842303" w:rsidP="00842303" w:rsidRDefault="00842303" w14:paraId="4D7AD223" w14:textId="77777777">
      <w:pPr>
        <w:jc w:val="both"/>
        <w:outlineLvl w:val="0"/>
        <w:rPr>
          <w:lang w:val="es-PE"/>
        </w:rPr>
      </w:pPr>
      <w:r w:rsidRPr="00842303">
        <w:rPr>
          <w:lang w:val="es-PE"/>
        </w:rPr>
        <w:t xml:space="preserve">Por su parte, la aseguradora debe probar la causa que la libera de su prestación indemnizatoria. En el caso de este tipo de seguro, ello implicaría que debería probar que no ocurrió el hecho denunciado, lo cual es una prueba imposible, porque se prueba el hecho positivo, no el negativo.  Por ello, se admite que en tales circunstancias opere una inversión de la carga probatoria, de manera que la contraparte debe probar lo que ocurrió.  Sin embargo, </w:t>
      </w:r>
      <w:proofErr w:type="gramStart"/>
      <w:r w:rsidRPr="00842303">
        <w:rPr>
          <w:lang w:val="es-PE"/>
        </w:rPr>
        <w:t>planteadas</w:t>
      </w:r>
      <w:proofErr w:type="gramEnd"/>
      <w:r w:rsidRPr="00842303">
        <w:rPr>
          <w:lang w:val="es-PE"/>
        </w:rPr>
        <w:t xml:space="preserve"> así las cosas, se vuelve al punto inicial conforme al cual el asegurado debe probar lo sucedido, retomándose la cuestión de cómo probarlo y la suficiencia de una denuncia policial.  </w:t>
      </w:r>
    </w:p>
    <w:p w:rsidRPr="00842303" w:rsidR="00842303" w:rsidP="00842303" w:rsidRDefault="00842303" w14:paraId="7BDC66F9" w14:textId="77777777">
      <w:pPr>
        <w:jc w:val="both"/>
        <w:outlineLvl w:val="0"/>
        <w:rPr>
          <w:lang w:val="es-PE"/>
        </w:rPr>
      </w:pPr>
    </w:p>
    <w:p w:rsidRPr="00842303" w:rsidR="00842303" w:rsidP="00842303" w:rsidRDefault="00842303" w14:paraId="51674BA0" w14:textId="77777777">
      <w:pPr>
        <w:jc w:val="both"/>
        <w:outlineLvl w:val="0"/>
        <w:rPr>
          <w:lang w:val="es-PE"/>
        </w:rPr>
      </w:pPr>
      <w:r w:rsidRPr="00842303">
        <w:rPr>
          <w:lang w:val="es-PE"/>
        </w:rPr>
        <w:t xml:space="preserve">En virtud de ello, a criterio de esta Defensoría, una manera en que la aseguradora cumple con su carga probatoria procesal de demostrar  una reclamación fraudulenta, es acreditando que, en el relato de lo sucedido y que estaría contenido en la denuncia policial u otros documentos, hay inexactitudes, contradicciones o inconsistencias, de manera que no se ha llegado a probar realmente la existencia del siniestro, o destacando que existen criterios objetivos para poner en duda razonable que lo supuestamente sucedido se produjo realmente.  En ese contexto es que se enmarca la prueba del polígrafo, es </w:t>
      </w:r>
      <w:proofErr w:type="gramStart"/>
      <w:r w:rsidRPr="00842303">
        <w:rPr>
          <w:lang w:val="es-PE"/>
        </w:rPr>
        <w:t>decir,  como</w:t>
      </w:r>
      <w:proofErr w:type="gramEnd"/>
      <w:r w:rsidRPr="00842303">
        <w:rPr>
          <w:lang w:val="es-PE"/>
        </w:rPr>
        <w:t xml:space="preserve"> un elemento integrante de una serie de indicios que llevan a la convicción de que no existe verosimilitud en el relato de lo sucedido por parte del asegurado, lo que fundamenta invocar una reclamación fraudulenta. </w:t>
      </w:r>
    </w:p>
    <w:p w:rsidRPr="00842303" w:rsidR="00842303" w:rsidP="00842303" w:rsidRDefault="00842303" w14:paraId="02CD2BFE" w14:textId="77777777">
      <w:pPr>
        <w:jc w:val="both"/>
        <w:outlineLvl w:val="0"/>
        <w:rPr>
          <w:lang w:val="es-PE"/>
        </w:rPr>
      </w:pPr>
    </w:p>
    <w:p w:rsidRPr="00842303" w:rsidR="00842303" w:rsidP="00842303" w:rsidRDefault="00842303" w14:paraId="141D7436" w14:textId="77777777">
      <w:pPr>
        <w:jc w:val="both"/>
        <w:outlineLvl w:val="0"/>
        <w:rPr>
          <w:lang w:val="es-PE"/>
        </w:rPr>
      </w:pPr>
      <w:r w:rsidRPr="00842303">
        <w:rPr>
          <w:lang w:val="es-PE"/>
        </w:rPr>
        <w:t xml:space="preserve">Como ha sido sostenido en otras resoluciones expedidas por esta Defensoría, debe destacarse que la prueba del polígrafo no arroja resultados absolutos, por esa razón dicha prueba debe estar acompañada de otros indicios que permiten razonablemente poner bajo cuestionamiento la veracidad del relato sobre lo sucedido y la real configuración del robo denunciado.  En otras palabras, la prueba de polígrafo, por si </w:t>
      </w:r>
      <w:proofErr w:type="gramStart"/>
      <w:r w:rsidRPr="00842303">
        <w:rPr>
          <w:lang w:val="es-PE"/>
        </w:rPr>
        <w:t>sola,  no</w:t>
      </w:r>
      <w:proofErr w:type="gramEnd"/>
      <w:r w:rsidRPr="00842303">
        <w:rPr>
          <w:lang w:val="es-PE"/>
        </w:rPr>
        <w:t xml:space="preserve"> es suficiente para sustentar la existencia de una reclamación fraudulenta.  </w:t>
      </w:r>
    </w:p>
    <w:p w:rsidRPr="00842303" w:rsidR="00842303" w:rsidP="00842303" w:rsidRDefault="00842303" w14:paraId="48FFF34B" w14:textId="77777777">
      <w:pPr>
        <w:jc w:val="both"/>
        <w:outlineLvl w:val="0"/>
        <w:rPr>
          <w:lang w:val="es-PE"/>
        </w:rPr>
      </w:pPr>
    </w:p>
    <w:p w:rsidRPr="00842303" w:rsidR="00842303" w:rsidP="00842303" w:rsidRDefault="00842303" w14:paraId="1E254D27" w14:textId="77777777">
      <w:pPr>
        <w:jc w:val="both"/>
        <w:outlineLvl w:val="0"/>
        <w:rPr>
          <w:lang w:val="es-PE"/>
        </w:rPr>
      </w:pPr>
      <w:r w:rsidRPr="00842303">
        <w:rPr>
          <w:lang w:val="es-PE"/>
        </w:rPr>
        <w:t>La indicada prueba presenta márgenes de error y registra reacciones, por lo que no prueba certezas. El instrumento del polígrafo no comprueba hechos, solo indica si la reacción de la examinada frente a una pregunta. De ahí que configura un indicio indirecto de sospecha que no es por sí solo suficiente para generar convicción.</w:t>
      </w:r>
    </w:p>
    <w:p w:rsidRPr="00842303" w:rsidR="00842303" w:rsidP="00842303" w:rsidRDefault="00842303" w14:paraId="180DA0E5" w14:textId="77777777">
      <w:pPr>
        <w:jc w:val="both"/>
        <w:outlineLvl w:val="0"/>
        <w:rPr>
          <w:lang w:val="es-PE"/>
        </w:rPr>
      </w:pPr>
    </w:p>
    <w:p w:rsidR="00842303" w:rsidP="00842303" w:rsidRDefault="00842303" w14:paraId="4972D744" w14:textId="17559893">
      <w:pPr>
        <w:jc w:val="both"/>
        <w:outlineLvl w:val="0"/>
        <w:rPr>
          <w:lang w:val="es-PE"/>
        </w:rPr>
      </w:pPr>
      <w:r w:rsidRPr="00842303">
        <w:rPr>
          <w:lang w:val="es-PE"/>
        </w:rPr>
        <w:t>En efecto, si bien es cierto que a la aseguradora le asiste el derecho de verificar lo sucedido y validar el relato de hechos practicados por la asegurada, y que la póliza contratada contiene la atribución de la aseguradora de solicitar el sometimiento a la prueba del polígrafo, la aseguradora  también tiene la obligación de probar la existencia de inexactitudes, contradicciones o inconsistencias que razonablemente, juntamente con el resultado de la prueba del polígrafo que invoca como sustento, lleven a la convicción de la existencia de una reclamación fraudulenta.</w:t>
      </w:r>
    </w:p>
    <w:p w:rsidRPr="00842303" w:rsidR="00842303" w:rsidP="00842303" w:rsidRDefault="00842303" w14:paraId="09057CBA" w14:textId="77777777">
      <w:pPr>
        <w:jc w:val="both"/>
        <w:outlineLvl w:val="0"/>
        <w:rPr>
          <w:lang w:val="es-PE"/>
        </w:rPr>
      </w:pPr>
    </w:p>
    <w:p w:rsidRPr="00842303" w:rsidR="00842303" w:rsidP="00842303" w:rsidRDefault="00842303" w14:paraId="55B92684" w14:textId="77777777">
      <w:pPr>
        <w:jc w:val="both"/>
        <w:outlineLvl w:val="0"/>
        <w:rPr>
          <w:lang w:val="es-PE"/>
        </w:rPr>
      </w:pPr>
      <w:r w:rsidRPr="2BC76309" w:rsidR="00842303">
        <w:rPr>
          <w:lang w:val="es-PE"/>
        </w:rPr>
        <w:t>De otro lado, en el presente caso, no se ha presentado el informe del examen de polígrafo, sino solo la referencia al mismo en la carta de rechazo la cual señala lo siguiente:</w:t>
      </w:r>
    </w:p>
    <w:p w:rsidR="2BC76309" w:rsidP="2BC76309" w:rsidRDefault="2BC76309" w14:paraId="110B9A75" w14:textId="66C4CDE0">
      <w:pPr>
        <w:jc w:val="both"/>
        <w:outlineLvl w:val="0"/>
        <w:rPr>
          <w:lang w:val="es-PE"/>
        </w:rPr>
      </w:pPr>
    </w:p>
    <w:p w:rsidRPr="00842303" w:rsidR="00842303" w:rsidP="00842303" w:rsidRDefault="00842303" w14:paraId="3B07757D" w14:textId="46051047">
      <w:pPr>
        <w:jc w:val="center"/>
        <w:outlineLvl w:val="0"/>
      </w:pPr>
      <w:r w:rsidR="6EDD29EC">
        <w:rPr/>
        <w:t>...........................................................................................................................................</w:t>
      </w:r>
    </w:p>
    <w:p w:rsidRPr="00842303" w:rsidR="00842303" w:rsidP="00842303" w:rsidRDefault="00842303" w14:paraId="28330697" w14:textId="77777777">
      <w:pPr>
        <w:jc w:val="both"/>
        <w:outlineLvl w:val="0"/>
        <w:rPr>
          <w:lang w:val="es-PE"/>
        </w:rPr>
      </w:pPr>
    </w:p>
    <w:p w:rsidRPr="00842303" w:rsidR="00842303" w:rsidP="00842303" w:rsidRDefault="00842303" w14:paraId="4890A1F3" w14:textId="7A45E5CF">
      <w:pPr>
        <w:jc w:val="center"/>
        <w:outlineLvl w:val="0"/>
        <w:rPr>
          <w:lang w:val="es-PE"/>
        </w:rPr>
      </w:pPr>
      <w:r w:rsidRPr="00842303">
        <w:rPr>
          <w:lang w:val="es-PE"/>
        </w:rPr>
        <w:drawing>
          <wp:inline distT="0" distB="0" distL="0" distR="0" wp14:anchorId="1D1D05A3" wp14:editId="22E03366">
            <wp:extent cx="3530600" cy="1510665"/>
            <wp:effectExtent l="0" t="0" r="0" b="0"/>
            <wp:docPr id="653108557" name="Imagen 9" descr="Un conjunto de letras blancas en un fondo blan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108557" name="Imagen 9" descr="Un conjunto de letras blancas en un fondo blanco&#10;&#10;El contenido generado por IA puede ser incorrect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530600" cy="1510665"/>
                    </a:xfrm>
                    <a:prstGeom prst="rect">
                      <a:avLst/>
                    </a:prstGeom>
                    <a:noFill/>
                    <a:ln>
                      <a:noFill/>
                    </a:ln>
                  </pic:spPr>
                </pic:pic>
              </a:graphicData>
            </a:graphic>
          </wp:inline>
        </w:drawing>
      </w:r>
    </w:p>
    <w:p w:rsidRPr="00842303" w:rsidR="00842303" w:rsidP="00842303" w:rsidRDefault="00842303" w14:paraId="6FA1D1F9" w14:textId="77777777">
      <w:pPr>
        <w:jc w:val="both"/>
        <w:outlineLvl w:val="0"/>
        <w:rPr>
          <w:lang w:val="es-PE"/>
        </w:rPr>
      </w:pPr>
    </w:p>
    <w:p w:rsidRPr="00842303" w:rsidR="00842303" w:rsidP="00842303" w:rsidRDefault="00842303" w14:paraId="2E013079" w14:textId="77777777">
      <w:pPr>
        <w:jc w:val="both"/>
        <w:outlineLvl w:val="0"/>
        <w:rPr>
          <w:lang w:val="es-PE"/>
        </w:rPr>
      </w:pPr>
      <w:proofErr w:type="gramStart"/>
      <w:r w:rsidRPr="00842303">
        <w:rPr>
          <w:lang w:val="es-PE"/>
        </w:rPr>
        <w:t>Asimismo,  la</w:t>
      </w:r>
      <w:proofErr w:type="gramEnd"/>
      <w:r w:rsidRPr="00842303">
        <w:rPr>
          <w:lang w:val="es-PE"/>
        </w:rPr>
        <w:t xml:space="preserve"> carta de rechazo copia parte del cuestionario de preguntas realizadas, pero sin señalar qué declaraciones evidenciarían contradicciones o inconsistencias respecto de lo narrado. Finalmente, la carta de rechazo culmina señalando lo siguiente:</w:t>
      </w:r>
    </w:p>
    <w:p w:rsidRPr="00842303" w:rsidR="00842303" w:rsidP="00842303" w:rsidRDefault="00842303" w14:paraId="7EAD64E6" w14:textId="77777777">
      <w:pPr>
        <w:jc w:val="both"/>
        <w:outlineLvl w:val="0"/>
        <w:rPr>
          <w:lang w:val="es-PE"/>
        </w:rPr>
      </w:pPr>
    </w:p>
    <w:p w:rsidRPr="00842303" w:rsidR="00842303" w:rsidP="00842303" w:rsidRDefault="00842303" w14:paraId="5D04CEAE" w14:textId="7A133E5F">
      <w:pPr>
        <w:jc w:val="center"/>
        <w:outlineLvl w:val="0"/>
      </w:pPr>
      <w:r w:rsidR="4CBED953">
        <w:rPr/>
        <w:t>.............................................................................................................................</w:t>
      </w:r>
    </w:p>
    <w:p w:rsidRPr="00842303" w:rsidR="00842303" w:rsidP="00842303" w:rsidRDefault="00842303" w14:paraId="1C79BE42" w14:textId="77777777">
      <w:pPr>
        <w:jc w:val="both"/>
        <w:outlineLvl w:val="0"/>
        <w:rPr>
          <w:lang w:val="es-PE"/>
        </w:rPr>
      </w:pPr>
    </w:p>
    <w:p w:rsidRPr="00842303" w:rsidR="00842303" w:rsidP="00842303" w:rsidRDefault="00842303" w14:paraId="0584A3AD" w14:textId="77777777">
      <w:pPr>
        <w:jc w:val="both"/>
        <w:outlineLvl w:val="0"/>
        <w:rPr>
          <w:lang w:val="es-PE"/>
        </w:rPr>
      </w:pPr>
      <w:r w:rsidRPr="00842303">
        <w:rPr>
          <w:lang w:val="es-PE"/>
        </w:rPr>
        <w:t>En lo que respecta al certificado de seguro entregado al contratante, no se evidencia el artículo 9° ni el artículo 10°, mencionados en la carta de rechazo, pero sí un apartado “Causales de Resolución de la Solicitud-Certificado de Seguro” que contiene dicho literal c) arriba referido; así como las siguientes disposiciones en el apartado “Aviso de siniestro y solicitud de cobertura”:</w:t>
      </w:r>
    </w:p>
    <w:p w:rsidRPr="00842303" w:rsidR="00842303" w:rsidP="00842303" w:rsidRDefault="00842303" w14:paraId="4C87D214" w14:textId="77777777">
      <w:pPr>
        <w:jc w:val="both"/>
        <w:outlineLvl w:val="0"/>
        <w:rPr>
          <w:lang w:val="es-PE"/>
        </w:rPr>
      </w:pPr>
    </w:p>
    <w:p w:rsidRPr="00842303" w:rsidR="00842303" w:rsidP="00842303" w:rsidRDefault="00842303" w14:paraId="119325E1" w14:textId="2E99B5E0">
      <w:pPr>
        <w:jc w:val="center"/>
        <w:outlineLvl w:val="0"/>
      </w:pPr>
      <w:r w:rsidR="35DAFF1D">
        <w:rPr/>
        <w:t>.....................................................................................................................</w:t>
      </w:r>
    </w:p>
    <w:p w:rsidRPr="00842303" w:rsidR="00842303" w:rsidP="00842303" w:rsidRDefault="00842303" w14:paraId="5520EFB2" w14:textId="77777777">
      <w:pPr>
        <w:jc w:val="both"/>
        <w:outlineLvl w:val="0"/>
        <w:rPr>
          <w:lang w:val="es-PE"/>
        </w:rPr>
      </w:pPr>
    </w:p>
    <w:p w:rsidRPr="00842303" w:rsidR="00842303" w:rsidP="2BC76309" w:rsidRDefault="00842303" w14:paraId="6B985A06" w14:textId="17873100">
      <w:pPr>
        <w:pStyle w:val="Normal"/>
        <w:suppressLineNumbers w:val="0"/>
        <w:bidi w:val="0"/>
        <w:spacing w:before="0" w:beforeAutospacing="off" w:after="0" w:afterAutospacing="off" w:line="240" w:lineRule="auto"/>
        <w:ind w:left="0" w:right="0"/>
        <w:jc w:val="center"/>
        <w:rPr>
          <w:lang w:val="es-PE"/>
        </w:rPr>
      </w:pPr>
      <w:r w:rsidR="1753AE35">
        <w:rPr/>
        <w:t>.......................................................................................................................</w:t>
      </w:r>
    </w:p>
    <w:p w:rsidRPr="00842303" w:rsidR="00842303" w:rsidP="00842303" w:rsidRDefault="00842303" w14:paraId="4EC29AA1" w14:textId="77777777">
      <w:pPr>
        <w:jc w:val="both"/>
        <w:outlineLvl w:val="0"/>
        <w:rPr>
          <w:lang w:val="es-PE"/>
        </w:rPr>
      </w:pPr>
    </w:p>
    <w:p w:rsidRPr="00842303" w:rsidR="00842303" w:rsidP="00842303" w:rsidRDefault="00842303" w14:paraId="1AB2F579" w14:textId="77777777">
      <w:pPr>
        <w:jc w:val="both"/>
        <w:outlineLvl w:val="0"/>
        <w:rPr>
          <w:lang w:val="es-PE"/>
        </w:rPr>
      </w:pPr>
      <w:r w:rsidRPr="00842303">
        <w:rPr>
          <w:lang w:val="es-PE"/>
        </w:rPr>
        <w:t>Es oportuno señalar que la prueba del polígrafo no es parte de un procedimiento administrativo ni judicial, sino que es una carga pactada por las partes de manera convencional; es decir, mediante la celebración de un contrato de seguro con consentimiento de ambas partes y vinculadas por el principio de obligatoriedad, que sirve como un elemento adicional para determinar la veracidad del relato, y que aunado a las inconsistencias o conductas sospechosas puede permitir rechazar un siniestro.</w:t>
      </w:r>
    </w:p>
    <w:p w:rsidRPr="00842303" w:rsidR="00842303" w:rsidP="00842303" w:rsidRDefault="00842303" w14:paraId="5E7FD468" w14:textId="77777777">
      <w:pPr>
        <w:jc w:val="both"/>
        <w:outlineLvl w:val="0"/>
        <w:rPr>
          <w:lang w:val="es-PE"/>
        </w:rPr>
      </w:pPr>
    </w:p>
    <w:p w:rsidRPr="00842303" w:rsidR="00842303" w:rsidP="00842303" w:rsidRDefault="00842303" w14:paraId="6904957C" w14:textId="77777777">
      <w:pPr>
        <w:jc w:val="both"/>
        <w:outlineLvl w:val="0"/>
        <w:rPr>
          <w:lang w:val="es-PE"/>
        </w:rPr>
      </w:pPr>
      <w:r w:rsidRPr="00842303">
        <w:rPr>
          <w:lang w:val="es-PE"/>
        </w:rPr>
        <w:t xml:space="preserve">En este caso, no se recurrió a la entrevista personal a la que se refiere el certificado de seguro, sino que directamente se citó a la prueba poligráfica, siendo que la carta de rechazo solamente refirió parte del informe obtenido, sin adjuntarlo como sustento. Con lo cual, no solo no se ha presentado el informe completo del resultado de polígrafo, sino </w:t>
      </w:r>
      <w:proofErr w:type="gramStart"/>
      <w:r w:rsidRPr="00842303">
        <w:rPr>
          <w:lang w:val="es-PE"/>
        </w:rPr>
        <w:t>que</w:t>
      </w:r>
      <w:proofErr w:type="gramEnd"/>
      <w:r w:rsidRPr="00842303">
        <w:rPr>
          <w:lang w:val="es-PE"/>
        </w:rPr>
        <w:t xml:space="preserve"> además, no se ha corroborado esas respuestas genéricas (que no se refieren directamente al </w:t>
      </w:r>
      <w:r w:rsidRPr="00842303">
        <w:rPr>
          <w:lang w:val="es-PE"/>
        </w:rPr>
        <w:t>siniestro) con indicios suficientes que acrediten inexactitudes, contradicciones o inconsistencias que generen sospechas verosímiles sobre la existencia de una reclamación fraudulenta.</w:t>
      </w:r>
    </w:p>
    <w:p w:rsidRPr="00842303" w:rsidR="00842303" w:rsidP="00842303" w:rsidRDefault="00842303" w14:paraId="6FE7B1FA" w14:textId="77777777">
      <w:pPr>
        <w:jc w:val="both"/>
        <w:outlineLvl w:val="0"/>
        <w:rPr>
          <w:lang w:val="es-PE"/>
        </w:rPr>
      </w:pPr>
    </w:p>
    <w:p w:rsidRPr="00842303" w:rsidR="00842303" w:rsidP="00842303" w:rsidRDefault="00842303" w14:paraId="26A3AE4C" w14:textId="77777777">
      <w:pPr>
        <w:jc w:val="both"/>
        <w:outlineLvl w:val="0"/>
        <w:rPr>
          <w:lang w:val="es-PE"/>
        </w:rPr>
      </w:pPr>
      <w:r w:rsidRPr="00842303">
        <w:rPr>
          <w:lang w:val="es-PE"/>
        </w:rPr>
        <w:t>En efecto, a diferencia de otros casos sometidos a conocimiento de la DEFASEG, en esta oportunidad la aseguradora se ha limitado a señalar que la prueba poligráfica determina que existen respuestas “significativas” de engaño, sin mencionar qué parte de lo narrado configuraría un engaño o generaría suspicacias sobre que lo ocurrido no corresponde a la realidad, pues no se ha evidenciado cuáles serían las inconsistencias, contradicciones o inexactitudes que generan dudas sobre la existencia del siniestro, ni los elementos que generan suspicacias sobre que lo ocurrido no corresponde a la realidad (ello ocurre cuando, por ejemplo, se evidencian inconsistencias en la forma cómo ocurrió el siniestro; no es posible identificar a la persona o entidad que realiza el fraude; la persona ha presentado siniestros similares previos; se invoca -luego de la prueba de polígrafo y ante el rechazo de cobertura- amedrentamiento durante la realización de la prueba pero el asegurado llenó un encuesta de satisfacción con el servicio brindado durante la prueba; se muestra un comportamiento de abonos inusual previo al siniestro, o demoras injustificadas en realizar el bloqueo permitiendo que se realicen mayores consumos indebidos; entre otros actos que generan suspicacias sobre lo ocurrido, los cuales sumados a la realización de una prueba poligráfica que arroja respuestas significativas de engaño, podrían permitir determinar que lo narrado no corresponde a la realidad y rechazar el siniestro invocando reclamación fraudulenta).</w:t>
      </w:r>
    </w:p>
    <w:p w:rsidRPr="00842303" w:rsidR="00842303" w:rsidP="00842303" w:rsidRDefault="00842303" w14:paraId="7062516E" w14:textId="77777777">
      <w:pPr>
        <w:jc w:val="both"/>
        <w:outlineLvl w:val="0"/>
        <w:rPr>
          <w:lang w:val="es-PE"/>
        </w:rPr>
      </w:pPr>
    </w:p>
    <w:p w:rsidRPr="00842303" w:rsidR="00842303" w:rsidP="00842303" w:rsidRDefault="00842303" w14:paraId="06DACF2B" w14:textId="77777777">
      <w:pPr>
        <w:jc w:val="both"/>
        <w:outlineLvl w:val="0"/>
        <w:rPr>
          <w:lang w:val="es-PE"/>
        </w:rPr>
      </w:pPr>
      <w:r w:rsidRPr="00842303">
        <w:rPr>
          <w:lang w:val="es-PE"/>
        </w:rPr>
        <w:t xml:space="preserve">Según lo mencionado en la audiencia de vista, para la aseguradora la “inconsistencia” radica en que la prueba de polígrafo determina que se dieron respuestas significativas de engaño a preguntas genéricas que no dan cuenta de los hechos acontecidos, </w:t>
      </w:r>
      <w:proofErr w:type="gramStart"/>
      <w:r w:rsidRPr="00842303">
        <w:rPr>
          <w:lang w:val="es-PE"/>
        </w:rPr>
        <w:t>y</w:t>
      </w:r>
      <w:proofErr w:type="gramEnd"/>
      <w:r w:rsidRPr="00842303">
        <w:rPr>
          <w:lang w:val="es-PE"/>
        </w:rPr>
        <w:t xml:space="preserve"> por lo tanto, lo narrado en la denuncia policial sería falso. Ello, sin embargo, no constituye una contradicción ni una inconsistencia pues no estamos ante la descripción de un hecho por parte de la reclamante que se contradice con otro hecho narrado por la propia reclamante, sino ante la presunción absoluta, en base a un resultado de polígrafo, de que la respuesta negativa es falsa. Es decir, se le está otorgando al polígrafo la calidad de prueba plena, no respaldada con alguna otra prueba o indicio, lo que no se ajusta a derecho, toda vez que -reiteramos- estamos ante una prueba que no arroja resultados absolutos, sino que registra reacciones las cuales pueden estar afectadas por elementos externos o internos de la persona; razón por la cual el polígrafo puede ser utilizado como una prueba complementaria, más no así absoluta, pues no es razonablemente concluyente respecto de la existencia de una posible declaración fraudulenta por parte de la asegurada. </w:t>
      </w:r>
    </w:p>
    <w:p w:rsidRPr="00842303" w:rsidR="00842303" w:rsidP="00842303" w:rsidRDefault="00842303" w14:paraId="134A4ECF" w14:textId="77777777">
      <w:pPr>
        <w:jc w:val="both"/>
        <w:outlineLvl w:val="0"/>
        <w:rPr>
          <w:lang w:val="es-PE"/>
        </w:rPr>
      </w:pPr>
    </w:p>
    <w:p w:rsidRPr="00842303" w:rsidR="00842303" w:rsidP="00842303" w:rsidRDefault="00842303" w14:paraId="24BE18CB" w14:textId="77777777">
      <w:pPr>
        <w:jc w:val="both"/>
        <w:outlineLvl w:val="0"/>
        <w:rPr>
          <w:lang w:val="es-PE"/>
        </w:rPr>
      </w:pPr>
      <w:r w:rsidRPr="00842303">
        <w:rPr>
          <w:lang w:val="es-PE"/>
        </w:rPr>
        <w:t>Este ORU no niega que contractualmente el contrato de seguro ha habilitado la prueba de polígrafo con el objeto esclarecer las circunstancias del siniestro, pero ello no puede relevar a la aseguradora de su propio análisis sobre los hechos, evidenciando ante la asegurada y ante este colegiado, aquellos elementos o indicios que determinan inconsistencias y contradicciones por lo que se requiere esclarecer cómo ocurrieron los hechos y es por ello que se recurre a la prueba de polígrafo para ayudar en dicho propósito.  Por lo que, no existiendo inconsistencia o sospecha alguna informada a la asegurada o evidenciada, sobre los hechos y circunstancias del siniestro, no resulta razonable que la aseguradora se base solo en un resultado “significativo de engaño” (“significativo” no es categórico ni absoluto) para relevarse de su obligación de acreditar el fraude que invoca.</w:t>
      </w:r>
    </w:p>
    <w:p w:rsidRPr="00842303" w:rsidR="00842303" w:rsidP="00842303" w:rsidRDefault="00842303" w14:paraId="2BC9E310" w14:textId="77777777">
      <w:pPr>
        <w:jc w:val="both"/>
        <w:outlineLvl w:val="0"/>
        <w:rPr>
          <w:lang w:val="es-PE"/>
        </w:rPr>
      </w:pPr>
    </w:p>
    <w:p w:rsidRPr="00842303" w:rsidR="00842303" w:rsidP="00842303" w:rsidRDefault="00842303" w14:paraId="7B18A2F1" w14:textId="77777777">
      <w:pPr>
        <w:jc w:val="both"/>
        <w:outlineLvl w:val="0"/>
      </w:pPr>
      <w:r w:rsidRPr="00842303">
        <w:rPr>
          <w:lang w:val="es-PE"/>
        </w:rPr>
        <w:t xml:space="preserve">De otro lado, el segundo párrafo del artículo 18 del </w:t>
      </w:r>
      <w:r w:rsidRPr="00842303">
        <w:t xml:space="preserve">Reglamento para la gestión y pago de siniestros, aprobado por Resolución SBS 3202-2013, establece lo siguiente: </w:t>
      </w:r>
      <w:r w:rsidRPr="00842303">
        <w:rPr>
          <w:i/>
          <w:iCs/>
        </w:rPr>
        <w:t>“La empresa debe informar detalladamente, mediante comunicación cursada al asegurado o al beneficiario, según corresponda, a través de los mecanismos y en las direcciones pactadas en la póliza, los motivos que sustentan el rechazo del siniestro, adjuntando copia de los documentos tomados en cuenta para fundamentar su decisión, debidamente suscrita por el responsable del área encargada de evaluar los siniestros. Dicha comunicación debe ser elaborada y entregada al asegurado o al beneficiario dentro de los plazos establecidos en los artículos 8° u 11° del presente Reglamento, según corresponda”</w:t>
      </w:r>
      <w:r w:rsidRPr="00842303">
        <w:t>. En el caso que nos ocupa, la aseguradora solamente ha transcrito algunas preguntas del cuestionario, sin adjuntar al asegurado el informe y conclusiones emitidas por la persona que realizó la prueba de polígrafo, siendo este el único documento en el cual sustentan la reclamación fraudulenta.</w:t>
      </w:r>
    </w:p>
    <w:p w:rsidRPr="00842303" w:rsidR="00842303" w:rsidP="00842303" w:rsidRDefault="00842303" w14:paraId="7B2FF859" w14:textId="77777777">
      <w:pPr>
        <w:jc w:val="both"/>
        <w:outlineLvl w:val="0"/>
      </w:pPr>
      <w:r w:rsidRPr="00842303">
        <w:t xml:space="preserve"> </w:t>
      </w:r>
    </w:p>
    <w:p w:rsidRPr="00842303" w:rsidR="00842303" w:rsidP="00842303" w:rsidRDefault="00842303" w14:paraId="7A5777D2" w14:textId="77777777">
      <w:pPr>
        <w:jc w:val="both"/>
        <w:outlineLvl w:val="0"/>
      </w:pPr>
      <w:r w:rsidRPr="00842303">
        <w:t xml:space="preserve">En consecuencia, no resulta suficiente amparar el rechazo únicamente en el resultado de una prueba poligráfica, que se ha citado parcialmente y cuyo informe no ha sido presentado, lo que no genera convicción. Menos </w:t>
      </w:r>
      <w:proofErr w:type="spellStart"/>
      <w:r w:rsidRPr="00842303">
        <w:t>aún</w:t>
      </w:r>
      <w:proofErr w:type="spellEnd"/>
      <w:r w:rsidRPr="00842303">
        <w:t xml:space="preserve"> cuando no se invocan, ni evidencian, inconsistencias en lo narrado, o elementos que permitan justificar la verificación de los hechos a través de una prueba de polígrafo.</w:t>
      </w:r>
    </w:p>
    <w:p w:rsidRPr="00842303" w:rsidR="00842303" w:rsidP="00842303" w:rsidRDefault="00842303" w14:paraId="089CBF7C" w14:textId="77777777">
      <w:pPr>
        <w:jc w:val="both"/>
        <w:outlineLvl w:val="0"/>
        <w:rPr>
          <w:lang w:val="es-PE"/>
        </w:rPr>
      </w:pPr>
    </w:p>
    <w:p w:rsidRPr="00842303" w:rsidR="00842303" w:rsidP="00842303" w:rsidRDefault="00842303" w14:paraId="006AA5D5" w14:textId="77777777">
      <w:pPr>
        <w:jc w:val="both"/>
        <w:outlineLvl w:val="0"/>
        <w:rPr>
          <w:b/>
        </w:rPr>
      </w:pPr>
      <w:r w:rsidRPr="00842303">
        <w:rPr>
          <w:b/>
          <w:lang w:val="es-PE"/>
        </w:rPr>
        <w:t xml:space="preserve">ATENDIENDO A LO EXPRESADO, ESTE ÓRGANO RESOLUTORIO UNIPERSONAL </w:t>
      </w:r>
      <w:r w:rsidRPr="00842303">
        <w:rPr>
          <w:b/>
        </w:rPr>
        <w:t>CONCLUYE SU APRECIACIÓN RAZONADA Y CONJUNTA AL AMPARO DE LO ESTABLECIDO EN SU REGLAMENTO ESTIMANDO QUE NO SE HA ACREDITADO QUE LA ASEGURADA HA ACTUADO FRAUDULENTAMENTE, POR LO QUE EXISTEN RAZONES FUNDADAS PARA AMPARAR LA PRESENTE RECLAMACIÓN, POR LO QUE R</w:t>
      </w:r>
      <w:r w:rsidRPr="00842303">
        <w:rPr>
          <w:b/>
          <w:lang w:val="es-PE"/>
        </w:rPr>
        <w:t>ESUELVE:</w:t>
      </w:r>
    </w:p>
    <w:p w:rsidRPr="00842303" w:rsidR="00842303" w:rsidP="00842303" w:rsidRDefault="00842303" w14:paraId="16688F2F" w14:textId="77777777">
      <w:pPr>
        <w:jc w:val="both"/>
        <w:outlineLvl w:val="0"/>
      </w:pPr>
    </w:p>
    <w:p w:rsidRPr="00842303" w:rsidR="00842303" w:rsidP="00842303" w:rsidRDefault="00842303" w14:paraId="4449B765" w14:textId="77777777">
      <w:pPr>
        <w:jc w:val="both"/>
        <w:outlineLvl w:val="0"/>
        <w:rPr>
          <w:b/>
        </w:rPr>
      </w:pPr>
      <w:r w:rsidRPr="00842303">
        <w:rPr>
          <w:b/>
        </w:rPr>
        <w:t>SE RESUELVE</w:t>
      </w:r>
      <w:r w:rsidRPr="00842303">
        <w:rPr>
          <w:b/>
          <w:lang w:val="es-PE"/>
        </w:rPr>
        <w:t>:</w:t>
      </w:r>
    </w:p>
    <w:p w:rsidRPr="00842303" w:rsidR="00842303" w:rsidP="00842303" w:rsidRDefault="00842303" w14:paraId="5B0D814F" w14:textId="77777777">
      <w:pPr>
        <w:jc w:val="both"/>
        <w:outlineLvl w:val="0"/>
        <w:rPr>
          <w:b/>
          <w:bCs/>
        </w:rPr>
      </w:pPr>
    </w:p>
    <w:p w:rsidRPr="00842303" w:rsidR="00842303" w:rsidP="00842303" w:rsidRDefault="00842303" w14:paraId="30268D2A" w14:textId="32C6969A">
      <w:pPr>
        <w:jc w:val="both"/>
        <w:outlineLvl w:val="0"/>
      </w:pPr>
      <w:r w:rsidRPr="2BC76309" w:rsidR="00842303">
        <w:rPr>
          <w:b w:val="1"/>
          <w:bCs w:val="1"/>
          <w:lang w:val="es-PE"/>
        </w:rPr>
        <w:t xml:space="preserve">Declarar FUNDADA </w:t>
      </w:r>
      <w:r w:rsidRPr="2BC76309" w:rsidR="00842303">
        <w:rPr>
          <w:lang w:val="es-PE"/>
        </w:rPr>
        <w:t>la reclamación interpuesta por</w:t>
      </w:r>
      <w:r w:rsidR="00842303">
        <w:rPr/>
        <w:t xml:space="preserve"> </w:t>
      </w:r>
      <w:r w:rsidRPr="2BC76309" w:rsidR="00842303">
        <w:rPr>
          <w:lang w:val="es-PE"/>
        </w:rPr>
        <w:t>interpuesta por</w:t>
      </w:r>
      <w:r w:rsidR="00842303">
        <w:rPr/>
        <w:t xml:space="preserve"> </w:t>
      </w:r>
      <w:r w:rsidRPr="2BC76309" w:rsidR="551584C9">
        <w:rPr>
          <w:b w:val="1"/>
          <w:bCs w:val="1"/>
        </w:rPr>
        <w:t>....................................................</w:t>
      </w:r>
      <w:r w:rsidRPr="2BC76309" w:rsidR="00842303">
        <w:rPr>
          <w:b w:val="1"/>
          <w:bCs w:val="1"/>
        </w:rPr>
        <w:t xml:space="preserve"> </w:t>
      </w:r>
      <w:r w:rsidRPr="2BC76309" w:rsidR="00842303">
        <w:rPr>
          <w:lang w:val="es-PE"/>
        </w:rPr>
        <w:t xml:space="preserve">contra </w:t>
      </w:r>
      <w:r w:rsidRPr="2BC76309" w:rsidR="147AFAC4">
        <w:rPr>
          <w:b w:val="1"/>
          <w:bCs w:val="1"/>
          <w:lang w:val="es-PE"/>
        </w:rPr>
        <w:t>..............................</w:t>
      </w:r>
      <w:r w:rsidRPr="2BC76309" w:rsidR="00842303">
        <w:rPr>
          <w:lang w:val="es-PE"/>
        </w:rPr>
        <w:t xml:space="preserve">, debiendo dicha aseguradora dar cobertura al siniestro ocurrido el 16 de agosto de 2024, de acuerdo con los términos y condiciones del </w:t>
      </w:r>
      <w:r w:rsidRPr="2BC76309" w:rsidR="00842303">
        <w:rPr>
          <w:b w:val="1"/>
          <w:bCs w:val="1"/>
          <w:lang w:val="es-MX"/>
        </w:rPr>
        <w:t xml:space="preserve">SEGURO </w:t>
      </w:r>
      <w:r w:rsidRPr="2BC76309" w:rsidR="00842303">
        <w:rPr>
          <w:b w:val="1"/>
          <w:bCs w:val="1"/>
          <w:lang w:val="es-PE"/>
        </w:rPr>
        <w:t xml:space="preserve">DE TARJETAS 360° </w:t>
      </w:r>
      <w:r w:rsidRPr="2BC76309" w:rsidR="00842303">
        <w:rPr>
          <w:b w:val="1"/>
          <w:bCs w:val="1"/>
          <w:lang w:val="es-MX"/>
        </w:rPr>
        <w:t xml:space="preserve">– PÓLIZA No </w:t>
      </w:r>
      <w:r w:rsidRPr="2BC76309" w:rsidR="4A8CC47E">
        <w:rPr>
          <w:b w:val="1"/>
          <w:bCs w:val="1"/>
          <w:lang w:val="es-MX"/>
        </w:rPr>
        <w:t>.................</w:t>
      </w:r>
      <w:r w:rsidR="00842303">
        <w:rPr/>
        <w:t>.</w:t>
      </w:r>
    </w:p>
    <w:p w:rsidRPr="0087685C" w:rsidR="0087685C" w:rsidP="0087685C" w:rsidRDefault="0087685C" w14:paraId="1CF23038" w14:textId="77777777">
      <w:pPr>
        <w:jc w:val="right"/>
        <w:outlineLvl w:val="0"/>
        <w:rPr>
          <w:lang w:val="es-MX"/>
        </w:rPr>
      </w:pPr>
    </w:p>
    <w:p w:rsidRPr="00CD67EE" w:rsidR="00804FBA" w:rsidP="00804FBA" w:rsidRDefault="00F15FBA" w14:paraId="0B8F9BB3" w14:textId="5C7B1704">
      <w:pPr>
        <w:jc w:val="right"/>
        <w:outlineLvl w:val="0"/>
        <w:rPr>
          <w:lang w:val="es-PE"/>
        </w:rPr>
      </w:pPr>
      <w:r w:rsidRPr="00CD67EE">
        <w:rPr>
          <w:lang w:val="es-PE"/>
        </w:rPr>
        <w:t xml:space="preserve">Lima, </w:t>
      </w:r>
      <w:r w:rsidR="00842303">
        <w:t>17</w:t>
      </w:r>
      <w:r w:rsidR="000D5B9A">
        <w:t xml:space="preserve"> </w:t>
      </w:r>
      <w:r w:rsidRPr="00CD67EE">
        <w:rPr>
          <w:lang w:val="es-PE"/>
        </w:rPr>
        <w:t>de</w:t>
      </w:r>
      <w:r w:rsidRPr="00CD67EE" w:rsidR="001631D6">
        <w:rPr>
          <w:lang w:val="es-PE"/>
        </w:rPr>
        <w:t xml:space="preserve"> </w:t>
      </w:r>
      <w:r w:rsidR="004C7E18">
        <w:rPr>
          <w:lang w:val="es-PE"/>
        </w:rPr>
        <w:t>junio</w:t>
      </w:r>
      <w:r w:rsidRPr="00CD67EE" w:rsidR="001631D6">
        <w:rPr>
          <w:lang w:val="es-PE"/>
        </w:rPr>
        <w:t xml:space="preserve"> </w:t>
      </w:r>
      <w:r w:rsidRPr="00CD67EE">
        <w:rPr>
          <w:lang w:val="es-PE"/>
        </w:rPr>
        <w:t>de 20</w:t>
      </w:r>
      <w:r w:rsidRPr="00CD67EE" w:rsidR="001631D6">
        <w:rPr>
          <w:lang w:val="es-PE"/>
        </w:rPr>
        <w:t>2</w:t>
      </w:r>
      <w:r w:rsidRPr="00CD67EE" w:rsidR="0073373B">
        <w:rPr>
          <w:lang w:val="es-PE"/>
        </w:rPr>
        <w:t>5</w:t>
      </w:r>
    </w:p>
    <w:p w:rsidR="008E2507" w:rsidP="003F73A8" w:rsidRDefault="008E2507" w14:paraId="6837EDF1" w14:textId="77777777">
      <w:pPr>
        <w:jc w:val="both"/>
        <w:rPr>
          <w:b/>
          <w:bCs/>
          <w:i/>
          <w:iCs/>
        </w:rPr>
      </w:pPr>
    </w:p>
    <w:p w:rsidRPr="008E2507" w:rsidR="003F73A8" w:rsidP="003F73A8" w:rsidRDefault="008E2507" w14:paraId="00714C2C" w14:textId="7D19F77A">
      <w:pPr>
        <w:jc w:val="both"/>
        <w:rPr>
          <w:b/>
          <w:bCs/>
          <w:i/>
          <w:iCs/>
        </w:rPr>
      </w:pPr>
      <w:r w:rsidRPr="003F3702">
        <w:rPr>
          <w:b/>
          <w:bCs/>
          <w:i/>
          <w:iCs/>
        </w:rPr>
        <w:t>La Secretaría Técnica certifica que la presente resolución, al haber sido emitida por el Órgano Resolutivo Unipersonal, cuenta con el voto del vocal cuyo nombre figura al final del presente documento</w:t>
      </w:r>
      <w:r w:rsidRPr="00CD67EE" w:rsidR="003F73A8">
        <w:rPr>
          <w:b/>
          <w:bCs/>
          <w:i/>
          <w:iCs/>
          <w:lang w:val="es-ES_tradnl"/>
        </w:rPr>
        <w:t>.</w:t>
      </w:r>
    </w:p>
    <w:p w:rsidRPr="00CD67EE" w:rsidR="003F73A8" w:rsidP="003F73A8" w:rsidRDefault="003F73A8" w14:paraId="1583EBBC" w14:textId="77777777">
      <w:pPr>
        <w:jc w:val="both"/>
        <w:rPr>
          <w:b/>
          <w:bCs/>
          <w:i/>
          <w:iCs/>
          <w:lang w:val="es-ES_tradnl"/>
        </w:rPr>
      </w:pPr>
    </w:p>
    <w:p w:rsidRPr="00CD67EE" w:rsidR="003F73A8" w:rsidP="003F73A8" w:rsidRDefault="0001167D" w14:paraId="00F7442C" w14:textId="0A315BA2">
      <w:pPr>
        <w:spacing w:line="360" w:lineRule="auto"/>
        <w:jc w:val="center"/>
        <w:rPr>
          <w:b/>
          <w:bCs/>
        </w:rPr>
      </w:pPr>
      <w:r w:rsidRPr="00042E86">
        <w:rPr>
          <w:b/>
          <w:bCs/>
        </w:rPr>
        <w:t xml:space="preserve">María Eugenia Valdez Fernández Baca </w:t>
      </w:r>
      <w:r w:rsidRPr="00CD67EE" w:rsidR="003F73A8">
        <w:rPr>
          <w:b/>
          <w:bCs/>
        </w:rPr>
        <w:t xml:space="preserve">– </w:t>
      </w:r>
      <w:r w:rsidR="00DF1A3C">
        <w:rPr>
          <w:b/>
          <w:bCs/>
        </w:rPr>
        <w:t>Vocal</w:t>
      </w:r>
    </w:p>
    <w:p w:rsidRPr="00CD67EE" w:rsidR="001631D6" w:rsidP="00F15FBA" w:rsidRDefault="001631D6" w14:paraId="0DA96C46" w14:textId="77777777">
      <w:pPr>
        <w:jc w:val="both"/>
        <w:rPr>
          <w:lang w:val="es-MX"/>
        </w:rPr>
      </w:pPr>
    </w:p>
    <w:p w:rsidRPr="00CD67EE" w:rsidR="00F15FBA" w:rsidP="00F15FBA" w:rsidRDefault="00F15FBA" w14:paraId="22C77427" w14:textId="77777777"/>
    <w:p w:rsidRPr="003F3702" w:rsidR="00F15FBA" w:rsidP="00F15FBA" w:rsidRDefault="00F15FBA" w14:paraId="58BFC23A" w14:textId="77777777"/>
    <w:p w:rsidRPr="001631D6" w:rsidR="009E119B" w:rsidRDefault="009E119B" w14:paraId="164CAA9F" w14:textId="77777777"/>
    <w:sectPr w:rsidRPr="001631D6" w:rsidR="009E119B">
      <w:headerReference w:type="default" r:id="rId14"/>
      <w:footerReference w:type="default" r:id="rId15"/>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D1ED0" w:rsidP="005F148C" w:rsidRDefault="004D1ED0" w14:paraId="659CBB1E" w14:textId="77777777">
      <w:r>
        <w:separator/>
      </w:r>
    </w:p>
  </w:endnote>
  <w:endnote w:type="continuationSeparator" w:id="0">
    <w:p w:rsidR="004D1ED0" w:rsidP="005F148C" w:rsidRDefault="004D1ED0" w14:paraId="09E2A9F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D1ED0" w:rsidP="005F148C" w:rsidRDefault="004D1ED0" w14:paraId="435BADA5" w14:textId="77777777">
      <w:r>
        <w:separator/>
      </w:r>
    </w:p>
  </w:footnote>
  <w:footnote w:type="continuationSeparator" w:id="0">
    <w:p w:rsidR="004D1ED0" w:rsidP="005F148C" w:rsidRDefault="004D1ED0" w14:paraId="31345C5F" w14:textId="77777777">
      <w:r>
        <w:continuationSeparator/>
      </w:r>
    </w:p>
  </w:footnote>
  <w:footnote w:id="1">
    <w:p w:rsidR="00842303" w:rsidP="00842303" w:rsidRDefault="00842303" w14:paraId="52025973" w14:textId="77777777">
      <w:pPr>
        <w:pStyle w:val="Textonotapie"/>
        <w:tabs>
          <w:tab w:val="left" w:pos="284"/>
        </w:tabs>
        <w:spacing w:after="120"/>
        <w:ind w:left="284" w:hanging="284"/>
        <w:rPr>
          <w:rFonts w:ascii="Georgia" w:hAnsi="Georgia" w:eastAsiaTheme="minorHAnsi" w:cstheme="minorBidi"/>
          <w:lang w:val="es-MX" w:eastAsia="en-US"/>
        </w:rPr>
      </w:pPr>
      <w:r>
        <w:rPr>
          <w:rStyle w:val="Refdenotaalpie"/>
          <w:rFonts w:ascii="Georgia" w:hAnsi="Georgia"/>
        </w:rPr>
        <w:footnoteRef/>
      </w:r>
      <w:r>
        <w:rPr>
          <w:rFonts w:ascii="Georgia" w:hAnsi="Georgia"/>
          <w:lang w:val="es-PE"/>
        </w:rPr>
        <w:t xml:space="preserve"> </w:t>
      </w:r>
      <w:r>
        <w:rPr>
          <w:rFonts w:ascii="Georgia" w:hAnsi="Georgia"/>
          <w:lang w:val="es-PE"/>
        </w:rPr>
        <w:tab/>
      </w:r>
      <w:r>
        <w:rPr>
          <w:rFonts w:ascii="Georgia" w:hAnsi="Georgia"/>
          <w:lang w:val="es-PE"/>
        </w:rPr>
        <w:t xml:space="preserve">Véase Resolución DEFASEG </w:t>
      </w:r>
      <w:proofErr w:type="spellStart"/>
      <w:r>
        <w:rPr>
          <w:rFonts w:ascii="Georgia" w:hAnsi="Georgia"/>
          <w:lang w:val="es-PE"/>
        </w:rPr>
        <w:t>n.°</w:t>
      </w:r>
      <w:proofErr w:type="spellEnd"/>
      <w:r>
        <w:rPr>
          <w:rFonts w:ascii="Georgia" w:hAnsi="Georgia"/>
          <w:lang w:val="es-PE"/>
        </w:rPr>
        <w:t xml:space="preserve"> 23/22 (</w:t>
      </w:r>
      <w:r>
        <w:rPr>
          <w:rFonts w:ascii="Georgia" w:hAnsi="Georgia"/>
          <w:i/>
          <w:iCs/>
          <w:u w:val="single"/>
          <w:lang w:val="es-PE"/>
        </w:rPr>
        <w:t xml:space="preserve">Expediente </w:t>
      </w:r>
      <w:proofErr w:type="spellStart"/>
      <w:r>
        <w:rPr>
          <w:rFonts w:ascii="Georgia" w:hAnsi="Georgia"/>
          <w:i/>
          <w:iCs/>
          <w:u w:val="single"/>
          <w:lang w:val="es-PE"/>
        </w:rPr>
        <w:t>n.°</w:t>
      </w:r>
      <w:proofErr w:type="spellEnd"/>
      <w:r>
        <w:rPr>
          <w:rFonts w:ascii="Georgia" w:hAnsi="Georgia"/>
          <w:i/>
          <w:iCs/>
          <w:u w:val="single"/>
          <w:lang w:val="es-PE"/>
        </w:rPr>
        <w:t xml:space="preserve"> 4900, Caso Villacorta Farah v MAPFRE</w:t>
      </w:r>
      <w:r>
        <w:rPr>
          <w:rFonts w:ascii="Georgia" w:hAnsi="Georgia"/>
          <w:lang w:val="es-PE"/>
        </w:rPr>
        <w:t xml:space="preserve">) del </w:t>
      </w:r>
      <w:r>
        <w:rPr>
          <w:rFonts w:ascii="Georgia" w:hAnsi="Georgia"/>
          <w:lang w:val="es-MX"/>
        </w:rPr>
        <w:t>16 de febrero de 2022.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323AD94"/>
    <w:multiLevelType w:val="hybridMultilevel"/>
    <w:tmpl w:val="FFFFFFFF"/>
    <w:lvl w:ilvl="0" w:tplc="FFFFFFFF">
      <w:start w:val="1"/>
      <w:numFmt w:val="lowerRoman"/>
      <w:lvlText w:val="%1"/>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2" w15:restartNumberingAfterBreak="0">
    <w:nsid w:val="2CA4423A"/>
    <w:multiLevelType w:val="hybridMultilevel"/>
    <w:tmpl w:val="AC5CEA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2D2A51AF"/>
    <w:multiLevelType w:val="hybridMultilevel"/>
    <w:tmpl w:val="B120951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E1C25F4"/>
    <w:multiLevelType w:val="hybridMultilevel"/>
    <w:tmpl w:val="1020E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0F31856"/>
    <w:multiLevelType w:val="hybridMultilevel"/>
    <w:tmpl w:val="38383E3C"/>
    <w:lvl w:ilvl="0" w:tplc="E42024E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384022AE"/>
    <w:multiLevelType w:val="hybridMultilevel"/>
    <w:tmpl w:val="E454F30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AAC247C"/>
    <w:multiLevelType w:val="hybridMultilevel"/>
    <w:tmpl w:val="32F89FE0"/>
    <w:lvl w:ilvl="0" w:tplc="28CC62C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3BA8597A"/>
    <w:multiLevelType w:val="hybridMultilevel"/>
    <w:tmpl w:val="89F060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40AA075D"/>
    <w:multiLevelType w:val="hybridMultilevel"/>
    <w:tmpl w:val="C930EAE2"/>
    <w:lvl w:ilvl="0" w:tplc="4E42BDE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1"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544828BB"/>
    <w:multiLevelType w:val="hybridMultilevel"/>
    <w:tmpl w:val="76E223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730566F3"/>
    <w:multiLevelType w:val="hybridMultilevel"/>
    <w:tmpl w:val="85D83C18"/>
    <w:lvl w:ilvl="0" w:tplc="280A000B">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77303056"/>
    <w:multiLevelType w:val="hybridMultilevel"/>
    <w:tmpl w:val="82A6A7A8"/>
    <w:lvl w:ilvl="0" w:tplc="6D74656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7A5E28EC"/>
    <w:multiLevelType w:val="hybridMultilevel"/>
    <w:tmpl w:val="AEB015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826121645">
    <w:abstractNumId w:val="10"/>
  </w:num>
  <w:num w:numId="2" w16cid:durableId="1256477769">
    <w:abstractNumId w:val="3"/>
  </w:num>
  <w:num w:numId="3" w16cid:durableId="1780678958">
    <w:abstractNumId w:val="8"/>
  </w:num>
  <w:num w:numId="4" w16cid:durableId="20433587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172688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4330377">
    <w:abstractNumId w:val="8"/>
  </w:num>
  <w:num w:numId="7" w16cid:durableId="147575747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9559680">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387629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33090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660322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366077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060996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0251986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37636592">
    <w:abstractNumId w:val="0"/>
    <w:lvlOverride w:ilvl="0">
      <w:startOverride w:val="1"/>
    </w:lvlOverride>
    <w:lvlOverride w:ilvl="1"/>
    <w:lvlOverride w:ilvl="2"/>
    <w:lvlOverride w:ilvl="3"/>
    <w:lvlOverride w:ilvl="4"/>
    <w:lvlOverride w:ilvl="5"/>
    <w:lvlOverride w:ilvl="6"/>
    <w:lvlOverride w:ilvl="7"/>
    <w:lvlOverride w:ilvl="8"/>
  </w:num>
  <w:num w:numId="16" w16cid:durableId="7120759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04939232">
    <w:abstractNumId w:val="1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167D"/>
    <w:rsid w:val="000155B3"/>
    <w:rsid w:val="00015A30"/>
    <w:rsid w:val="00020318"/>
    <w:rsid w:val="00021CE8"/>
    <w:rsid w:val="0002216F"/>
    <w:rsid w:val="0002647A"/>
    <w:rsid w:val="0002748F"/>
    <w:rsid w:val="0003193C"/>
    <w:rsid w:val="00032526"/>
    <w:rsid w:val="00032C2E"/>
    <w:rsid w:val="0003324F"/>
    <w:rsid w:val="00033D57"/>
    <w:rsid w:val="00035695"/>
    <w:rsid w:val="00035BA1"/>
    <w:rsid w:val="00035CCC"/>
    <w:rsid w:val="00043F13"/>
    <w:rsid w:val="0004567C"/>
    <w:rsid w:val="00045B2C"/>
    <w:rsid w:val="0005357E"/>
    <w:rsid w:val="00066E53"/>
    <w:rsid w:val="00073516"/>
    <w:rsid w:val="00074CB3"/>
    <w:rsid w:val="0008387F"/>
    <w:rsid w:val="00084E51"/>
    <w:rsid w:val="00085C13"/>
    <w:rsid w:val="00090136"/>
    <w:rsid w:val="00093257"/>
    <w:rsid w:val="000945E5"/>
    <w:rsid w:val="00094DDA"/>
    <w:rsid w:val="0009632B"/>
    <w:rsid w:val="000A1BF0"/>
    <w:rsid w:val="000A32D2"/>
    <w:rsid w:val="000A5F16"/>
    <w:rsid w:val="000B085C"/>
    <w:rsid w:val="000B201A"/>
    <w:rsid w:val="000B35F3"/>
    <w:rsid w:val="000C1BC7"/>
    <w:rsid w:val="000C23F0"/>
    <w:rsid w:val="000C3C3C"/>
    <w:rsid w:val="000D2700"/>
    <w:rsid w:val="000D4627"/>
    <w:rsid w:val="000D5B9A"/>
    <w:rsid w:val="000E19E9"/>
    <w:rsid w:val="000E6D79"/>
    <w:rsid w:val="000F1BDF"/>
    <w:rsid w:val="000F4E06"/>
    <w:rsid w:val="00103188"/>
    <w:rsid w:val="00107A19"/>
    <w:rsid w:val="001103B4"/>
    <w:rsid w:val="001113E8"/>
    <w:rsid w:val="001121CB"/>
    <w:rsid w:val="00121D19"/>
    <w:rsid w:val="001244A4"/>
    <w:rsid w:val="00125D56"/>
    <w:rsid w:val="00131FAD"/>
    <w:rsid w:val="00137476"/>
    <w:rsid w:val="00140C67"/>
    <w:rsid w:val="00142D88"/>
    <w:rsid w:val="0014392D"/>
    <w:rsid w:val="001462E2"/>
    <w:rsid w:val="001545B7"/>
    <w:rsid w:val="00161B67"/>
    <w:rsid w:val="001631D6"/>
    <w:rsid w:val="001662D0"/>
    <w:rsid w:val="0017198C"/>
    <w:rsid w:val="00173975"/>
    <w:rsid w:val="00180976"/>
    <w:rsid w:val="0018455D"/>
    <w:rsid w:val="00185768"/>
    <w:rsid w:val="00193409"/>
    <w:rsid w:val="0019343D"/>
    <w:rsid w:val="001954EF"/>
    <w:rsid w:val="00195646"/>
    <w:rsid w:val="001A0D7C"/>
    <w:rsid w:val="001A19AE"/>
    <w:rsid w:val="001A3593"/>
    <w:rsid w:val="001A4C9A"/>
    <w:rsid w:val="001B5E00"/>
    <w:rsid w:val="001B6607"/>
    <w:rsid w:val="001B67A0"/>
    <w:rsid w:val="001B6A25"/>
    <w:rsid w:val="001B7CAB"/>
    <w:rsid w:val="001C2B16"/>
    <w:rsid w:val="001C5BFF"/>
    <w:rsid w:val="001D01FD"/>
    <w:rsid w:val="001D5564"/>
    <w:rsid w:val="001E1429"/>
    <w:rsid w:val="001E42D5"/>
    <w:rsid w:val="001E6B7D"/>
    <w:rsid w:val="001E78C8"/>
    <w:rsid w:val="001F004E"/>
    <w:rsid w:val="001F2B52"/>
    <w:rsid w:val="001F4EE9"/>
    <w:rsid w:val="001F6093"/>
    <w:rsid w:val="0020442B"/>
    <w:rsid w:val="002044C0"/>
    <w:rsid w:val="00207EBB"/>
    <w:rsid w:val="00210261"/>
    <w:rsid w:val="00225D47"/>
    <w:rsid w:val="00225DE7"/>
    <w:rsid w:val="00233ED8"/>
    <w:rsid w:val="0023521A"/>
    <w:rsid w:val="002359D5"/>
    <w:rsid w:val="002370F4"/>
    <w:rsid w:val="0024261D"/>
    <w:rsid w:val="00251125"/>
    <w:rsid w:val="00251C91"/>
    <w:rsid w:val="002605BB"/>
    <w:rsid w:val="002608DC"/>
    <w:rsid w:val="00266CCD"/>
    <w:rsid w:val="002671AE"/>
    <w:rsid w:val="002713C2"/>
    <w:rsid w:val="00280092"/>
    <w:rsid w:val="00281026"/>
    <w:rsid w:val="002933C5"/>
    <w:rsid w:val="0029398F"/>
    <w:rsid w:val="0029474B"/>
    <w:rsid w:val="002A1509"/>
    <w:rsid w:val="002A2188"/>
    <w:rsid w:val="002A2594"/>
    <w:rsid w:val="002A27E8"/>
    <w:rsid w:val="002A666E"/>
    <w:rsid w:val="002B14D5"/>
    <w:rsid w:val="002B550C"/>
    <w:rsid w:val="002B6439"/>
    <w:rsid w:val="002C30A0"/>
    <w:rsid w:val="002C7082"/>
    <w:rsid w:val="002C7C2B"/>
    <w:rsid w:val="002D0468"/>
    <w:rsid w:val="002D1C78"/>
    <w:rsid w:val="002D3B3B"/>
    <w:rsid w:val="002D681D"/>
    <w:rsid w:val="002E259E"/>
    <w:rsid w:val="002E35A4"/>
    <w:rsid w:val="002E708C"/>
    <w:rsid w:val="002E730D"/>
    <w:rsid w:val="002F1C0E"/>
    <w:rsid w:val="00312437"/>
    <w:rsid w:val="00316A1B"/>
    <w:rsid w:val="0032570B"/>
    <w:rsid w:val="00325974"/>
    <w:rsid w:val="00325A73"/>
    <w:rsid w:val="0033198C"/>
    <w:rsid w:val="00331FB9"/>
    <w:rsid w:val="0033435B"/>
    <w:rsid w:val="00337458"/>
    <w:rsid w:val="00341276"/>
    <w:rsid w:val="00346A99"/>
    <w:rsid w:val="003470DF"/>
    <w:rsid w:val="0035026A"/>
    <w:rsid w:val="00350BE1"/>
    <w:rsid w:val="00361234"/>
    <w:rsid w:val="00366599"/>
    <w:rsid w:val="00377B6C"/>
    <w:rsid w:val="00381984"/>
    <w:rsid w:val="00383692"/>
    <w:rsid w:val="00385C08"/>
    <w:rsid w:val="003861F2"/>
    <w:rsid w:val="0039280A"/>
    <w:rsid w:val="00393CEF"/>
    <w:rsid w:val="0039536B"/>
    <w:rsid w:val="003977C8"/>
    <w:rsid w:val="003A0B41"/>
    <w:rsid w:val="003B36C2"/>
    <w:rsid w:val="003B46E3"/>
    <w:rsid w:val="003B4770"/>
    <w:rsid w:val="003B5737"/>
    <w:rsid w:val="003B5A8D"/>
    <w:rsid w:val="003B684A"/>
    <w:rsid w:val="003D32D3"/>
    <w:rsid w:val="003D5263"/>
    <w:rsid w:val="003D5461"/>
    <w:rsid w:val="003D54FC"/>
    <w:rsid w:val="003E0F70"/>
    <w:rsid w:val="003E6BA6"/>
    <w:rsid w:val="003F3702"/>
    <w:rsid w:val="003F5878"/>
    <w:rsid w:val="003F6005"/>
    <w:rsid w:val="003F73A8"/>
    <w:rsid w:val="00400965"/>
    <w:rsid w:val="0040487D"/>
    <w:rsid w:val="0040707C"/>
    <w:rsid w:val="004071D2"/>
    <w:rsid w:val="00410BC0"/>
    <w:rsid w:val="004157F2"/>
    <w:rsid w:val="00417664"/>
    <w:rsid w:val="0041770E"/>
    <w:rsid w:val="00417E23"/>
    <w:rsid w:val="00423218"/>
    <w:rsid w:val="0042673B"/>
    <w:rsid w:val="00427108"/>
    <w:rsid w:val="00427FB7"/>
    <w:rsid w:val="0043236E"/>
    <w:rsid w:val="004357E3"/>
    <w:rsid w:val="00440C04"/>
    <w:rsid w:val="00442F39"/>
    <w:rsid w:val="00444D29"/>
    <w:rsid w:val="0045603E"/>
    <w:rsid w:val="00457C69"/>
    <w:rsid w:val="00460DC4"/>
    <w:rsid w:val="004649E2"/>
    <w:rsid w:val="00467825"/>
    <w:rsid w:val="0046791C"/>
    <w:rsid w:val="00470816"/>
    <w:rsid w:val="004710AF"/>
    <w:rsid w:val="004734D9"/>
    <w:rsid w:val="00477D05"/>
    <w:rsid w:val="004832C1"/>
    <w:rsid w:val="004848A8"/>
    <w:rsid w:val="004850F1"/>
    <w:rsid w:val="004854D9"/>
    <w:rsid w:val="004856B2"/>
    <w:rsid w:val="00485D27"/>
    <w:rsid w:val="0048636C"/>
    <w:rsid w:val="00492B39"/>
    <w:rsid w:val="00492D3C"/>
    <w:rsid w:val="00493BF0"/>
    <w:rsid w:val="004A05A4"/>
    <w:rsid w:val="004B6DF1"/>
    <w:rsid w:val="004C10B4"/>
    <w:rsid w:val="004C5624"/>
    <w:rsid w:val="004C6A2A"/>
    <w:rsid w:val="004C71C2"/>
    <w:rsid w:val="004C7E18"/>
    <w:rsid w:val="004C7F8F"/>
    <w:rsid w:val="004D1ED0"/>
    <w:rsid w:val="004D73C5"/>
    <w:rsid w:val="004E0F9A"/>
    <w:rsid w:val="004E11D7"/>
    <w:rsid w:val="004E50D6"/>
    <w:rsid w:val="004F053A"/>
    <w:rsid w:val="004F1255"/>
    <w:rsid w:val="004F1BB1"/>
    <w:rsid w:val="004F429E"/>
    <w:rsid w:val="004F5262"/>
    <w:rsid w:val="004F5CE0"/>
    <w:rsid w:val="004F6AAF"/>
    <w:rsid w:val="004F7BD8"/>
    <w:rsid w:val="00501AF9"/>
    <w:rsid w:val="00504D86"/>
    <w:rsid w:val="0050549B"/>
    <w:rsid w:val="00505FC4"/>
    <w:rsid w:val="00514DF5"/>
    <w:rsid w:val="00516549"/>
    <w:rsid w:val="00517150"/>
    <w:rsid w:val="005204C2"/>
    <w:rsid w:val="00531FBE"/>
    <w:rsid w:val="00532BB0"/>
    <w:rsid w:val="0053602A"/>
    <w:rsid w:val="005362E0"/>
    <w:rsid w:val="00544D50"/>
    <w:rsid w:val="00550297"/>
    <w:rsid w:val="0055163A"/>
    <w:rsid w:val="00552B03"/>
    <w:rsid w:val="00554619"/>
    <w:rsid w:val="00555960"/>
    <w:rsid w:val="00563D50"/>
    <w:rsid w:val="00565F03"/>
    <w:rsid w:val="005765C3"/>
    <w:rsid w:val="00576EE9"/>
    <w:rsid w:val="0057735F"/>
    <w:rsid w:val="0058358B"/>
    <w:rsid w:val="00584675"/>
    <w:rsid w:val="00585648"/>
    <w:rsid w:val="00586503"/>
    <w:rsid w:val="00590F82"/>
    <w:rsid w:val="005934FB"/>
    <w:rsid w:val="005A0FA4"/>
    <w:rsid w:val="005A778E"/>
    <w:rsid w:val="005B63C1"/>
    <w:rsid w:val="005C5922"/>
    <w:rsid w:val="005C7583"/>
    <w:rsid w:val="005D1456"/>
    <w:rsid w:val="005D1638"/>
    <w:rsid w:val="005D2A9F"/>
    <w:rsid w:val="005D60DD"/>
    <w:rsid w:val="005D75EE"/>
    <w:rsid w:val="005E2F82"/>
    <w:rsid w:val="005E53F7"/>
    <w:rsid w:val="005F11E0"/>
    <w:rsid w:val="005F1349"/>
    <w:rsid w:val="005F148C"/>
    <w:rsid w:val="005F4B45"/>
    <w:rsid w:val="005F4B55"/>
    <w:rsid w:val="00601A1B"/>
    <w:rsid w:val="00615431"/>
    <w:rsid w:val="0062037B"/>
    <w:rsid w:val="00621ACC"/>
    <w:rsid w:val="00630726"/>
    <w:rsid w:val="00647AEE"/>
    <w:rsid w:val="00651449"/>
    <w:rsid w:val="006603F9"/>
    <w:rsid w:val="006616F6"/>
    <w:rsid w:val="0066418F"/>
    <w:rsid w:val="00666E5D"/>
    <w:rsid w:val="006704E4"/>
    <w:rsid w:val="00680A82"/>
    <w:rsid w:val="006859F9"/>
    <w:rsid w:val="0069382D"/>
    <w:rsid w:val="00694105"/>
    <w:rsid w:val="00696F0F"/>
    <w:rsid w:val="006A008D"/>
    <w:rsid w:val="006A1077"/>
    <w:rsid w:val="006A5F94"/>
    <w:rsid w:val="006C1B05"/>
    <w:rsid w:val="006C282F"/>
    <w:rsid w:val="006C2D3B"/>
    <w:rsid w:val="006C39B2"/>
    <w:rsid w:val="006D0029"/>
    <w:rsid w:val="006D33B8"/>
    <w:rsid w:val="006D4722"/>
    <w:rsid w:val="006D484E"/>
    <w:rsid w:val="006E1CEB"/>
    <w:rsid w:val="006E3440"/>
    <w:rsid w:val="006E6272"/>
    <w:rsid w:val="006E7155"/>
    <w:rsid w:val="006F1AD3"/>
    <w:rsid w:val="006F404F"/>
    <w:rsid w:val="0070531E"/>
    <w:rsid w:val="0070702B"/>
    <w:rsid w:val="007224F7"/>
    <w:rsid w:val="00724EAD"/>
    <w:rsid w:val="007300F4"/>
    <w:rsid w:val="007308D3"/>
    <w:rsid w:val="00732DCE"/>
    <w:rsid w:val="0073373B"/>
    <w:rsid w:val="00734447"/>
    <w:rsid w:val="00736579"/>
    <w:rsid w:val="00737BB1"/>
    <w:rsid w:val="007427CE"/>
    <w:rsid w:val="00742D07"/>
    <w:rsid w:val="00744237"/>
    <w:rsid w:val="007474DB"/>
    <w:rsid w:val="00753557"/>
    <w:rsid w:val="00757FB9"/>
    <w:rsid w:val="007607C3"/>
    <w:rsid w:val="00761BD3"/>
    <w:rsid w:val="007632DA"/>
    <w:rsid w:val="00764E6A"/>
    <w:rsid w:val="0076572B"/>
    <w:rsid w:val="00766790"/>
    <w:rsid w:val="00767808"/>
    <w:rsid w:val="00770F3C"/>
    <w:rsid w:val="00775EFE"/>
    <w:rsid w:val="0077768C"/>
    <w:rsid w:val="00782489"/>
    <w:rsid w:val="00783FDB"/>
    <w:rsid w:val="00784262"/>
    <w:rsid w:val="007934DC"/>
    <w:rsid w:val="00793F6A"/>
    <w:rsid w:val="0079416E"/>
    <w:rsid w:val="007A00E6"/>
    <w:rsid w:val="007A1D6A"/>
    <w:rsid w:val="007A3C6A"/>
    <w:rsid w:val="007B307A"/>
    <w:rsid w:val="007B35D4"/>
    <w:rsid w:val="007B42E7"/>
    <w:rsid w:val="007B49C6"/>
    <w:rsid w:val="007B49ED"/>
    <w:rsid w:val="007B617A"/>
    <w:rsid w:val="007C032D"/>
    <w:rsid w:val="007C2FC5"/>
    <w:rsid w:val="007C3730"/>
    <w:rsid w:val="007D353F"/>
    <w:rsid w:val="007D4065"/>
    <w:rsid w:val="007E0BA1"/>
    <w:rsid w:val="007F4240"/>
    <w:rsid w:val="00804FBA"/>
    <w:rsid w:val="00807D21"/>
    <w:rsid w:val="00813F42"/>
    <w:rsid w:val="00814D84"/>
    <w:rsid w:val="00820600"/>
    <w:rsid w:val="00830CDD"/>
    <w:rsid w:val="00834DFE"/>
    <w:rsid w:val="0083501C"/>
    <w:rsid w:val="00835AC8"/>
    <w:rsid w:val="00835D6A"/>
    <w:rsid w:val="00842303"/>
    <w:rsid w:val="00842606"/>
    <w:rsid w:val="008479C7"/>
    <w:rsid w:val="00851608"/>
    <w:rsid w:val="00864800"/>
    <w:rsid w:val="00865B73"/>
    <w:rsid w:val="00873527"/>
    <w:rsid w:val="0087685C"/>
    <w:rsid w:val="008806F2"/>
    <w:rsid w:val="008872DD"/>
    <w:rsid w:val="00892A1F"/>
    <w:rsid w:val="008930FB"/>
    <w:rsid w:val="00893DF4"/>
    <w:rsid w:val="008952D5"/>
    <w:rsid w:val="00895FF5"/>
    <w:rsid w:val="008A03CD"/>
    <w:rsid w:val="008A0611"/>
    <w:rsid w:val="008A0B4B"/>
    <w:rsid w:val="008A1DAB"/>
    <w:rsid w:val="008A5BD8"/>
    <w:rsid w:val="008A67AB"/>
    <w:rsid w:val="008B40D1"/>
    <w:rsid w:val="008B4C54"/>
    <w:rsid w:val="008C7D4A"/>
    <w:rsid w:val="008D0547"/>
    <w:rsid w:val="008D5A92"/>
    <w:rsid w:val="008D7B08"/>
    <w:rsid w:val="008E2507"/>
    <w:rsid w:val="008E648A"/>
    <w:rsid w:val="008E6CD3"/>
    <w:rsid w:val="008F02BA"/>
    <w:rsid w:val="008F4552"/>
    <w:rsid w:val="008F5F85"/>
    <w:rsid w:val="00900610"/>
    <w:rsid w:val="00902518"/>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70FF2"/>
    <w:rsid w:val="00971CC3"/>
    <w:rsid w:val="00972C37"/>
    <w:rsid w:val="009767BB"/>
    <w:rsid w:val="00977F56"/>
    <w:rsid w:val="009800DC"/>
    <w:rsid w:val="00980E6B"/>
    <w:rsid w:val="00981056"/>
    <w:rsid w:val="00982A42"/>
    <w:rsid w:val="00994438"/>
    <w:rsid w:val="009A2FEB"/>
    <w:rsid w:val="009A4863"/>
    <w:rsid w:val="009A7580"/>
    <w:rsid w:val="009B3934"/>
    <w:rsid w:val="009C28AE"/>
    <w:rsid w:val="009C4A1C"/>
    <w:rsid w:val="009D011D"/>
    <w:rsid w:val="009D0698"/>
    <w:rsid w:val="009D1A13"/>
    <w:rsid w:val="009D381D"/>
    <w:rsid w:val="009D4CAF"/>
    <w:rsid w:val="009D586E"/>
    <w:rsid w:val="009E0703"/>
    <w:rsid w:val="009E0BD4"/>
    <w:rsid w:val="009E0D72"/>
    <w:rsid w:val="009E119B"/>
    <w:rsid w:val="009E254D"/>
    <w:rsid w:val="009E3C7C"/>
    <w:rsid w:val="009F7BC5"/>
    <w:rsid w:val="00A02198"/>
    <w:rsid w:val="00A02723"/>
    <w:rsid w:val="00A11AF4"/>
    <w:rsid w:val="00A13B6C"/>
    <w:rsid w:val="00A13C14"/>
    <w:rsid w:val="00A14315"/>
    <w:rsid w:val="00A223FC"/>
    <w:rsid w:val="00A22F39"/>
    <w:rsid w:val="00A23AD8"/>
    <w:rsid w:val="00A26DFC"/>
    <w:rsid w:val="00A272A6"/>
    <w:rsid w:val="00A3131A"/>
    <w:rsid w:val="00A344AD"/>
    <w:rsid w:val="00A502FB"/>
    <w:rsid w:val="00A50DFC"/>
    <w:rsid w:val="00A51630"/>
    <w:rsid w:val="00A56557"/>
    <w:rsid w:val="00A60552"/>
    <w:rsid w:val="00A66785"/>
    <w:rsid w:val="00A71BF9"/>
    <w:rsid w:val="00A73933"/>
    <w:rsid w:val="00A77240"/>
    <w:rsid w:val="00A80BAD"/>
    <w:rsid w:val="00A8424C"/>
    <w:rsid w:val="00A8699E"/>
    <w:rsid w:val="00A957E1"/>
    <w:rsid w:val="00AB03AA"/>
    <w:rsid w:val="00AB0546"/>
    <w:rsid w:val="00AB2F8F"/>
    <w:rsid w:val="00AB563B"/>
    <w:rsid w:val="00AC1795"/>
    <w:rsid w:val="00AC4C0C"/>
    <w:rsid w:val="00AC55A3"/>
    <w:rsid w:val="00AC68FA"/>
    <w:rsid w:val="00AC7D5A"/>
    <w:rsid w:val="00AE1616"/>
    <w:rsid w:val="00AE1A9B"/>
    <w:rsid w:val="00AE33DC"/>
    <w:rsid w:val="00AE376F"/>
    <w:rsid w:val="00AE40BA"/>
    <w:rsid w:val="00AF70E1"/>
    <w:rsid w:val="00B04114"/>
    <w:rsid w:val="00B04263"/>
    <w:rsid w:val="00B1395E"/>
    <w:rsid w:val="00B1534E"/>
    <w:rsid w:val="00B201F4"/>
    <w:rsid w:val="00B2063E"/>
    <w:rsid w:val="00B23BB8"/>
    <w:rsid w:val="00B26691"/>
    <w:rsid w:val="00B3067C"/>
    <w:rsid w:val="00B35D43"/>
    <w:rsid w:val="00B3610C"/>
    <w:rsid w:val="00B37946"/>
    <w:rsid w:val="00B37CC6"/>
    <w:rsid w:val="00B4610E"/>
    <w:rsid w:val="00B5031E"/>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0726"/>
    <w:rsid w:val="00BD1B3E"/>
    <w:rsid w:val="00BD1CC0"/>
    <w:rsid w:val="00BD5FD0"/>
    <w:rsid w:val="00BD6B49"/>
    <w:rsid w:val="00BE2224"/>
    <w:rsid w:val="00BE23A8"/>
    <w:rsid w:val="00BF1D90"/>
    <w:rsid w:val="00BF63A2"/>
    <w:rsid w:val="00C04895"/>
    <w:rsid w:val="00C069D2"/>
    <w:rsid w:val="00C1111D"/>
    <w:rsid w:val="00C11655"/>
    <w:rsid w:val="00C12D0E"/>
    <w:rsid w:val="00C13666"/>
    <w:rsid w:val="00C14B18"/>
    <w:rsid w:val="00C1521C"/>
    <w:rsid w:val="00C17927"/>
    <w:rsid w:val="00C21994"/>
    <w:rsid w:val="00C26F0A"/>
    <w:rsid w:val="00C44E30"/>
    <w:rsid w:val="00C4515B"/>
    <w:rsid w:val="00C56902"/>
    <w:rsid w:val="00C61136"/>
    <w:rsid w:val="00C65A42"/>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6045"/>
    <w:rsid w:val="00CB7C37"/>
    <w:rsid w:val="00CC0341"/>
    <w:rsid w:val="00CC424F"/>
    <w:rsid w:val="00CC4875"/>
    <w:rsid w:val="00CD1BD2"/>
    <w:rsid w:val="00CD1E24"/>
    <w:rsid w:val="00CD67EE"/>
    <w:rsid w:val="00CE1096"/>
    <w:rsid w:val="00CF3742"/>
    <w:rsid w:val="00D01C80"/>
    <w:rsid w:val="00D01DEB"/>
    <w:rsid w:val="00D033C7"/>
    <w:rsid w:val="00D04736"/>
    <w:rsid w:val="00D128FF"/>
    <w:rsid w:val="00D13EF4"/>
    <w:rsid w:val="00D15C1E"/>
    <w:rsid w:val="00D173E4"/>
    <w:rsid w:val="00D2281E"/>
    <w:rsid w:val="00D24314"/>
    <w:rsid w:val="00D30412"/>
    <w:rsid w:val="00D34187"/>
    <w:rsid w:val="00D41556"/>
    <w:rsid w:val="00D4302F"/>
    <w:rsid w:val="00D560EA"/>
    <w:rsid w:val="00D56839"/>
    <w:rsid w:val="00D606F1"/>
    <w:rsid w:val="00D666A5"/>
    <w:rsid w:val="00D74B2C"/>
    <w:rsid w:val="00D77A2E"/>
    <w:rsid w:val="00D823F3"/>
    <w:rsid w:val="00D867D1"/>
    <w:rsid w:val="00D86E87"/>
    <w:rsid w:val="00D9006E"/>
    <w:rsid w:val="00D90CD8"/>
    <w:rsid w:val="00D90E75"/>
    <w:rsid w:val="00D91B7B"/>
    <w:rsid w:val="00D91CBB"/>
    <w:rsid w:val="00DB07A4"/>
    <w:rsid w:val="00DB4439"/>
    <w:rsid w:val="00DB698A"/>
    <w:rsid w:val="00DC1FEA"/>
    <w:rsid w:val="00DC5429"/>
    <w:rsid w:val="00DC5B68"/>
    <w:rsid w:val="00DD4751"/>
    <w:rsid w:val="00DD4D32"/>
    <w:rsid w:val="00DD6A4F"/>
    <w:rsid w:val="00DE3277"/>
    <w:rsid w:val="00DE7AB0"/>
    <w:rsid w:val="00DF1A3C"/>
    <w:rsid w:val="00DF7CE6"/>
    <w:rsid w:val="00E10B1F"/>
    <w:rsid w:val="00E124A4"/>
    <w:rsid w:val="00E16535"/>
    <w:rsid w:val="00E16AB6"/>
    <w:rsid w:val="00E23F75"/>
    <w:rsid w:val="00E25357"/>
    <w:rsid w:val="00E33E30"/>
    <w:rsid w:val="00E40C79"/>
    <w:rsid w:val="00E55FC2"/>
    <w:rsid w:val="00E635A2"/>
    <w:rsid w:val="00E63FEA"/>
    <w:rsid w:val="00E66CE2"/>
    <w:rsid w:val="00E7594F"/>
    <w:rsid w:val="00E77C5B"/>
    <w:rsid w:val="00E908BC"/>
    <w:rsid w:val="00E943A4"/>
    <w:rsid w:val="00E95E58"/>
    <w:rsid w:val="00EA292A"/>
    <w:rsid w:val="00EB23A4"/>
    <w:rsid w:val="00EB5D8D"/>
    <w:rsid w:val="00EB69AF"/>
    <w:rsid w:val="00EC4F40"/>
    <w:rsid w:val="00EC7C08"/>
    <w:rsid w:val="00ED174B"/>
    <w:rsid w:val="00ED2407"/>
    <w:rsid w:val="00ED5EF5"/>
    <w:rsid w:val="00EE2D5E"/>
    <w:rsid w:val="00EE3D96"/>
    <w:rsid w:val="00EF44CF"/>
    <w:rsid w:val="00EF4FF0"/>
    <w:rsid w:val="00EF55F4"/>
    <w:rsid w:val="00EF586D"/>
    <w:rsid w:val="00EF6791"/>
    <w:rsid w:val="00EF6A30"/>
    <w:rsid w:val="00EF6B06"/>
    <w:rsid w:val="00EF7849"/>
    <w:rsid w:val="00F029DD"/>
    <w:rsid w:val="00F02C8A"/>
    <w:rsid w:val="00F1075C"/>
    <w:rsid w:val="00F12C4D"/>
    <w:rsid w:val="00F13A98"/>
    <w:rsid w:val="00F15FBA"/>
    <w:rsid w:val="00F16269"/>
    <w:rsid w:val="00F202DC"/>
    <w:rsid w:val="00F23311"/>
    <w:rsid w:val="00F37A9F"/>
    <w:rsid w:val="00F40D88"/>
    <w:rsid w:val="00F42DC6"/>
    <w:rsid w:val="00F43144"/>
    <w:rsid w:val="00F465F7"/>
    <w:rsid w:val="00F46AC0"/>
    <w:rsid w:val="00F564D3"/>
    <w:rsid w:val="00F61799"/>
    <w:rsid w:val="00F639A9"/>
    <w:rsid w:val="00F64614"/>
    <w:rsid w:val="00F71D17"/>
    <w:rsid w:val="00F72C1D"/>
    <w:rsid w:val="00F74CF0"/>
    <w:rsid w:val="00F76161"/>
    <w:rsid w:val="00F7780F"/>
    <w:rsid w:val="00F839AB"/>
    <w:rsid w:val="00F84148"/>
    <w:rsid w:val="00F842A1"/>
    <w:rsid w:val="00F84CB7"/>
    <w:rsid w:val="00F855C0"/>
    <w:rsid w:val="00F87AC1"/>
    <w:rsid w:val="00F93CB8"/>
    <w:rsid w:val="00F97A17"/>
    <w:rsid w:val="00FA1403"/>
    <w:rsid w:val="00FA1A28"/>
    <w:rsid w:val="00FA1EA2"/>
    <w:rsid w:val="00FA3CBA"/>
    <w:rsid w:val="00FA5D1D"/>
    <w:rsid w:val="00FA6F2A"/>
    <w:rsid w:val="00FB255F"/>
    <w:rsid w:val="00FB3BEB"/>
    <w:rsid w:val="00FC44EE"/>
    <w:rsid w:val="00FC7048"/>
    <w:rsid w:val="00FD0C28"/>
    <w:rsid w:val="00FD36AB"/>
    <w:rsid w:val="00FD3A6A"/>
    <w:rsid w:val="00FD4913"/>
    <w:rsid w:val="00FE53F0"/>
    <w:rsid w:val="00FE7AA7"/>
    <w:rsid w:val="00FF1388"/>
    <w:rsid w:val="00FF2213"/>
    <w:rsid w:val="00FF2485"/>
    <w:rsid w:val="147AFAC4"/>
    <w:rsid w:val="1753AE35"/>
    <w:rsid w:val="2BC76309"/>
    <w:rsid w:val="35DAFF1D"/>
    <w:rsid w:val="46168113"/>
    <w:rsid w:val="4A8CC47E"/>
    <w:rsid w:val="4BA7C16F"/>
    <w:rsid w:val="4CBED953"/>
    <w:rsid w:val="550B39C1"/>
    <w:rsid w:val="551584C9"/>
    <w:rsid w:val="558EEB3F"/>
    <w:rsid w:val="6E0A0F19"/>
    <w:rsid w:val="6EDD29EC"/>
    <w:rsid w:val="75FAEE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3652908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183204891">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3162632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08177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04959583">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17076504">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7739016">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0234986">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customXml" Target="../customXml/item3.xml"/><Relationship Id="rId4"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93C34FE9-8DF3-489A-BD46-FA889E4BFBEB}"/>
</file>

<file path=customXml/itemProps3.xml><?xml version="1.0" encoding="utf-8"?>
<ds:datastoreItem xmlns:ds="http://schemas.openxmlformats.org/officeDocument/2006/customXml" ds:itemID="{BD3784CF-D0A2-4681-AC6D-53A0894897B4}"/>
</file>

<file path=customXml/itemProps4.xml><?xml version="1.0" encoding="utf-8"?>
<ds:datastoreItem xmlns:ds="http://schemas.openxmlformats.org/officeDocument/2006/customXml" ds:itemID="{2769F565-17F9-4C9D-98C4-8A75EE82F71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256</cp:revision>
  <cp:lastPrinted>2025-06-19T15:30:00Z</cp:lastPrinted>
  <dcterms:created xsi:type="dcterms:W3CDTF">2023-06-22T13:57:00Z</dcterms:created>
  <dcterms:modified xsi:type="dcterms:W3CDTF">2026-03-25T21:46:15Z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