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048B" w:rsidR="00B3048B" w:rsidP="00B3048B" w:rsidRDefault="00F15FBA" w14:paraId="64A19C66" w14:textId="3ED5F216">
      <w:pPr>
        <w:pStyle w:val="Ttulo"/>
        <w:outlineLvl w:val="0"/>
        <w:rPr>
          <w:lang w:val="es-PE"/>
        </w:rPr>
      </w:pPr>
      <w:r w:rsidRPr="00042E86">
        <w:rPr>
          <w:lang w:val="es-PE"/>
        </w:rPr>
        <w:t>RESOLUCIÓN N</w:t>
      </w:r>
      <w:r w:rsidRPr="00042E86" w:rsidR="001631D6">
        <w:rPr>
          <w:lang w:val="es-PE"/>
        </w:rPr>
        <w:t xml:space="preserve">° </w:t>
      </w:r>
      <w:r w:rsidRPr="00042E86" w:rsidR="00015A30">
        <w:rPr>
          <w:lang w:val="es-PE"/>
        </w:rPr>
        <w:t>0</w:t>
      </w:r>
      <w:r w:rsidR="00EC6672">
        <w:rPr>
          <w:lang w:val="es-PE"/>
        </w:rPr>
        <w:t>9</w:t>
      </w:r>
      <w:r w:rsidR="001272A9">
        <w:rPr>
          <w:lang w:val="es-PE"/>
        </w:rPr>
        <w:t>2/</w:t>
      </w:r>
      <w:r w:rsidRPr="00042E86" w:rsidR="001631D6">
        <w:rPr>
          <w:lang w:val="es-PE"/>
        </w:rPr>
        <w:t>2</w:t>
      </w:r>
      <w:r w:rsidRPr="00042E86" w:rsidR="0073373B">
        <w:rPr>
          <w:lang w:val="es-PE"/>
        </w:rPr>
        <w:t>5</w:t>
      </w:r>
    </w:p>
    <w:p w:rsidRPr="00B3048B" w:rsidR="00B3048B" w:rsidP="00B3048B" w:rsidRDefault="00B3048B" w14:paraId="26F9EE71" w14:textId="77777777">
      <w:pPr>
        <w:jc w:val="both"/>
        <w:outlineLvl w:val="0"/>
        <w:rPr>
          <w:b/>
          <w:bCs/>
          <w:lang w:val="es-PE"/>
        </w:rPr>
      </w:pPr>
      <w:r w:rsidRPr="00B3048B">
        <w:rPr>
          <w:b/>
          <w:bCs/>
          <w:lang w:val="es-PE"/>
        </w:rPr>
        <w:t>Vistos:</w:t>
      </w:r>
    </w:p>
    <w:p w:rsidRPr="00B3048B" w:rsidR="00B3048B" w:rsidP="00B3048B" w:rsidRDefault="00B3048B" w14:paraId="5D3D2DE1" w14:textId="77777777">
      <w:pPr>
        <w:jc w:val="both"/>
        <w:outlineLvl w:val="0"/>
        <w:rPr>
          <w:b/>
          <w:bCs/>
          <w:lang w:val="es-PE"/>
        </w:rPr>
      </w:pPr>
    </w:p>
    <w:p w:rsidRPr="00B3048B" w:rsidR="00B3048B" w:rsidP="00B3048B" w:rsidRDefault="00B3048B" w14:paraId="0F15FFDC" w14:textId="0220ED97">
      <w:pPr>
        <w:jc w:val="both"/>
        <w:outlineLvl w:val="0"/>
        <w:rPr>
          <w:lang w:val="es-PE"/>
        </w:rPr>
      </w:pPr>
      <w:r w:rsidRPr="5BF82683" w:rsidR="00B3048B">
        <w:rPr>
          <w:lang w:val="es-PE"/>
        </w:rPr>
        <w:t xml:space="preserve">Que, el 12 de diciembre de 2024 don </w:t>
      </w:r>
      <w:r w:rsidRPr="5BF82683" w:rsidR="39698119">
        <w:rPr>
          <w:lang w:val="es-PE"/>
        </w:rPr>
        <w:t>..............................................................</w:t>
      </w:r>
      <w:r w:rsidRPr="5BF82683" w:rsidR="00B3048B">
        <w:rPr>
          <w:lang w:val="es-PE"/>
        </w:rPr>
        <w:t xml:space="preserve"> interpone reclamación ante esta Defensoría del Asegurado (DEFASEG) solicitando que </w:t>
      </w:r>
      <w:r w:rsidRPr="5BF82683" w:rsidR="5A066C2B">
        <w:rPr>
          <w:lang w:val="es-PE"/>
        </w:rPr>
        <w:t>...................................</w:t>
      </w:r>
      <w:r w:rsidRPr="5BF82683" w:rsidR="00B3048B">
        <w:rPr>
          <w:lang w:val="es-PE"/>
        </w:rPr>
        <w:t xml:space="preserve"> otorgue cobertura al siniestro ocurrido el 20 de octubre de </w:t>
      </w:r>
      <w:r w:rsidRPr="5BF82683" w:rsidR="00B3048B">
        <w:rPr>
          <w:lang w:val="es-PE"/>
        </w:rPr>
        <w:t>2024  que</w:t>
      </w:r>
      <w:r w:rsidRPr="5BF82683" w:rsidR="00B3048B">
        <w:rPr>
          <w:lang w:val="es-PE"/>
        </w:rPr>
        <w:t xml:space="preserve"> afectó al vehículo asegurado con placa de rodaje </w:t>
      </w:r>
      <w:r w:rsidRPr="5BF82683" w:rsidR="34370907">
        <w:rPr>
          <w:lang w:val="es-PE"/>
        </w:rPr>
        <w:t>....................</w:t>
      </w:r>
      <w:r w:rsidRPr="5BF82683" w:rsidR="00B3048B">
        <w:rPr>
          <w:lang w:val="es-PE"/>
        </w:rPr>
        <w:t xml:space="preserve">, conforme a los términos y condiciones de la </w:t>
      </w:r>
      <w:bookmarkStart w:name="OLE_LINK2" w:id="0"/>
      <w:r w:rsidRPr="5BF82683" w:rsidR="00B3048B">
        <w:rPr>
          <w:lang w:val="es-PE"/>
        </w:rPr>
        <w:t xml:space="preserve">Póliza Vehicular </w:t>
      </w:r>
      <w:r w:rsidRPr="5BF82683" w:rsidR="00B3048B">
        <w:rPr>
          <w:lang w:val="es-PE"/>
        </w:rPr>
        <w:t>N°</w:t>
      </w:r>
      <w:r w:rsidRPr="5BF82683" w:rsidR="00B3048B">
        <w:rPr>
          <w:lang w:val="es-PE"/>
        </w:rPr>
        <w:t xml:space="preserve"> </w:t>
      </w:r>
      <w:r w:rsidRPr="5BF82683" w:rsidR="2571AB2F">
        <w:rPr>
          <w:lang w:val="es-PE"/>
        </w:rPr>
        <w:t>............................................</w:t>
      </w:r>
      <w:bookmarkEnd w:id="0"/>
      <w:r w:rsidRPr="5BF82683" w:rsidR="00B3048B">
        <w:rPr>
          <w:lang w:val="es-PE"/>
        </w:rPr>
        <w:t xml:space="preserve">; </w:t>
      </w:r>
    </w:p>
    <w:p w:rsidRPr="00B3048B" w:rsidR="00B3048B" w:rsidP="00B3048B" w:rsidRDefault="00B3048B" w14:paraId="5A055CB5" w14:textId="77777777">
      <w:pPr>
        <w:jc w:val="both"/>
        <w:outlineLvl w:val="0"/>
        <w:rPr>
          <w:lang w:val="es-PE"/>
        </w:rPr>
      </w:pPr>
    </w:p>
    <w:p w:rsidRPr="00B3048B" w:rsidR="00B3048B" w:rsidP="00B3048B" w:rsidRDefault="00B3048B" w14:paraId="1AC27807" w14:textId="77777777">
      <w:pPr>
        <w:jc w:val="both"/>
        <w:outlineLvl w:val="0"/>
        <w:rPr>
          <w:lang w:val="es-PE"/>
        </w:rPr>
      </w:pPr>
      <w:r w:rsidRPr="00B3048B">
        <w:rPr>
          <w:lang w:val="es-PE"/>
        </w:rPr>
        <w:t>Que, la señalada reclamación cumple con los requisitos de materia, cuantía y oportunidad establecidos en el Reglamento de la DEFASEG (http://www.defaseg.com.pe/reglamento);</w:t>
      </w:r>
    </w:p>
    <w:p w:rsidRPr="00B3048B" w:rsidR="00B3048B" w:rsidP="00B3048B" w:rsidRDefault="00B3048B" w14:paraId="31836A14" w14:textId="77777777">
      <w:pPr>
        <w:jc w:val="both"/>
        <w:outlineLvl w:val="0"/>
        <w:rPr>
          <w:lang w:val="es-PE"/>
        </w:rPr>
      </w:pPr>
    </w:p>
    <w:p w:rsidRPr="00B3048B" w:rsidR="00B3048B" w:rsidP="00B3048B" w:rsidRDefault="00B3048B" w14:paraId="19894A53" w14:textId="7A00D94D">
      <w:pPr>
        <w:jc w:val="both"/>
        <w:outlineLvl w:val="0"/>
        <w:rPr>
          <w:lang w:val="es-PE"/>
        </w:rPr>
      </w:pPr>
      <w:r w:rsidRPr="5BF82683" w:rsidR="00B3048B">
        <w:rPr>
          <w:lang w:val="es-PE"/>
        </w:rPr>
        <w:t xml:space="preserve">Que, habiéndosele corrido traslado de la respectiva reclamación el 22 de enero de 2025, </w:t>
      </w:r>
      <w:r w:rsidRPr="5BF82683" w:rsidR="5A066C2B">
        <w:rPr>
          <w:lang w:val="es-PE"/>
        </w:rPr>
        <w:t>...................................</w:t>
      </w:r>
      <w:r w:rsidRPr="5BF82683" w:rsidR="00B3048B">
        <w:rPr>
          <w:lang w:val="es-PE"/>
        </w:rPr>
        <w:t xml:space="preserve"> presentó sus descargos el 29 de febrero de 2025;</w:t>
      </w:r>
    </w:p>
    <w:p w:rsidRPr="00B3048B" w:rsidR="00B3048B" w:rsidP="00B3048B" w:rsidRDefault="00B3048B" w14:paraId="42F50973" w14:textId="77777777">
      <w:pPr>
        <w:jc w:val="both"/>
        <w:outlineLvl w:val="0"/>
        <w:rPr>
          <w:lang w:val="es-PE"/>
        </w:rPr>
      </w:pPr>
    </w:p>
    <w:p w:rsidRPr="00B3048B" w:rsidR="00B3048B" w:rsidP="00B3048B" w:rsidRDefault="00B3048B" w14:paraId="4D785C90" w14:textId="77777777">
      <w:pPr>
        <w:jc w:val="both"/>
        <w:outlineLvl w:val="0"/>
        <w:rPr>
          <w:lang w:val="es-PE"/>
        </w:rPr>
      </w:pPr>
      <w:r w:rsidRPr="00B3048B">
        <w:rPr>
          <w:lang w:val="es-PE"/>
        </w:rPr>
        <w:t>Que, el 14 d abril de 2025 se realizó la audiencia de vista con la concurrencia de ambas partes, las que luego de sustentar su respectiva posición sobre la reclamación, absolvieron las preguntas formuladas por este colegiado, conforme consta de la correspondiente acta;</w:t>
      </w:r>
    </w:p>
    <w:p w:rsidRPr="00B3048B" w:rsidR="00B3048B" w:rsidP="00B3048B" w:rsidRDefault="00B3048B" w14:paraId="1D83EDB6" w14:textId="77777777">
      <w:pPr>
        <w:jc w:val="both"/>
        <w:outlineLvl w:val="0"/>
        <w:rPr>
          <w:lang w:val="es-PE"/>
        </w:rPr>
      </w:pPr>
    </w:p>
    <w:p w:rsidRPr="00B3048B" w:rsidR="00B3048B" w:rsidP="00B3048B" w:rsidRDefault="00B3048B" w14:paraId="69431A15" w14:textId="7EB74942">
      <w:pPr>
        <w:jc w:val="both"/>
        <w:outlineLvl w:val="0"/>
        <w:rPr>
          <w:lang w:val="es-PE"/>
        </w:rPr>
      </w:pPr>
      <w:r w:rsidRPr="5BF82683" w:rsidR="00B3048B">
        <w:rPr>
          <w:lang w:val="es-PE"/>
        </w:rPr>
        <w:t xml:space="preserve">Que, el reclamante solicita que la DEFASEG atienda su caso sobre la base de los siguientes argumentos: a) </w:t>
      </w:r>
      <w:r w:rsidR="00B3048B">
        <w:rPr/>
        <w:t xml:space="preserve">que, con fecha 20 de octubre a horas 18:16, vía telefónica a través de la central de emergencia de </w:t>
      </w:r>
      <w:r w:rsidR="7A3153E9">
        <w:rPr/>
        <w:t>................................</w:t>
      </w:r>
      <w:r w:rsidR="00B3048B">
        <w:rPr/>
        <w:t xml:space="preserve">, reportó el presente siniestro identificándose como el conductor y propietario del vehículo asegurado, indicando que había participado en un accidente de tránsito, cuando se desplazaba por la Av. Bocanegra: b) que, como consecuencia del señora su señora madre que estaba como copiloto, se vio seriamente afectada, debiendo ser trasladada con urgencia hacia un centro médico; c) en medio de la conmoción por el choque y la preocupación por la salud de su madre, atendió las preguntas del asesor asignado por </w:t>
      </w:r>
      <w:r w:rsidR="05556660">
        <w:rPr/>
        <w:t>............</w:t>
      </w:r>
      <w:r w:rsidR="00B3048B">
        <w:rPr/>
        <w:t xml:space="preserve">, a quien manifestó su impresión de haber sido cerrado por un vehículo y que como consecuencia de ello, impactó contra otro vehículo que se encontraba estacionado al lado derecho; d) con la desesperación de no poder estar al tanto de lo que ocurría con su madre en el centro médico y ante el requerimiento de la policía de continuar con las cuestiones técnicas y los formalismos, volvió a relatar los hechos tal como </w:t>
      </w:r>
      <w:r w:rsidR="00B3048B">
        <w:rPr/>
        <w:t>el</w:t>
      </w:r>
      <w:r w:rsidR="00B3048B">
        <w:rPr/>
        <w:t xml:space="preserve"> pensaba que habían sucedido, esta vez ante la PNP, horas más tarde, tal como consta en el acta de intervención policial de fecha 20 de octubre; e) sin embargo, con fecha 29 de octubre en la Comisaría de Sol de Oro, le mostraron imágenes de video de los instantes en que ocurrió el accidente; en estos videos, no se pudo observar con claridad que hubiese sido cerrado por otro auto, por lo que dedujo ante los presentes que lo más probable era entonces que se distrajo conversando con su mamá y que como consecuencia ingresó al carril derecho impactando con el vehículo que se encontraba estacionado; f) a raíz de ello, </w:t>
      </w:r>
      <w:r w:rsidR="05556660">
        <w:rPr/>
        <w:t>............</w:t>
      </w:r>
      <w:r w:rsidR="00B3048B">
        <w:rPr/>
        <w:t xml:space="preserve"> con fecha 13 de noviembre aduce que la posterior aclaración de los hechos que hizo en la Comisaría de Sol de Oro, en circunstancias en la que ya no se encontraba bajo los efectos del estrés post traumático del choque, hace que su declaración sea calificada como “declaración fraudulenta” y que siendo versiones contrarias su cobertura no procede; g) recurre a la DEFASEG considerando lo siguiente: (i) el supuesto de declaración fraudulenta supone intencionalidad, la cual debe ser demostrada, correspondiendo la carga de la prueba a quien invoca el fraude y la aseguradora no ha demostrado intencionalidad; (</w:t>
      </w:r>
      <w:r w:rsidR="00B3048B">
        <w:rPr/>
        <w:t>ii</w:t>
      </w:r>
      <w:r w:rsidR="00B3048B">
        <w:rPr/>
        <w:t xml:space="preserve">) aun en el supuesto caso que se acepte lo señalado por </w:t>
      </w:r>
      <w:r w:rsidR="05556660">
        <w:rPr/>
        <w:t>............</w:t>
      </w:r>
      <w:r w:rsidR="00B3048B">
        <w:rPr/>
        <w:t xml:space="preserve">, no hay relación de causalidad entre la supuesta declaración fraudulenta y una </w:t>
      </w:r>
      <w:r w:rsidR="00B3048B">
        <w:rPr/>
        <w:t>supuesta ventaja indebida a su favor, ello debido a que la póliza cubre ambos supuestos, por lo que no hay posibilidad de ventaja alguna; (</w:t>
      </w:r>
      <w:r w:rsidR="00B3048B">
        <w:rPr/>
        <w:t>iii</w:t>
      </w:r>
      <w:r w:rsidR="00B3048B">
        <w:rPr/>
        <w:t>) cumplió cabalmente con las principales condiciones de la póliza como son mantenerse en el lugar de los hechos y efectuar el reporte correspondiente, proceder según lo señalado por el procurador que lo asistió, realizando la denuncia policial; no efectuó reparaciones ni cambios de piezas a la espera de la autorización respectiva. Mediane escrito adicional presentado, reitera que no está acredita la intencionalidad ni la supuesta ventaja que en otras condiciones o circunstancias no se habrían obtenido, añadiendo que la DEFASEG ya se ha pronunciado en diversas resoluciones en el sentido que no basta invocar la sola contradicción, sino que corresponde evidenciar la intencionalidad y presentar cuál es la ventaja indebida.</w:t>
      </w:r>
    </w:p>
    <w:p w:rsidRPr="00B3048B" w:rsidR="00B3048B" w:rsidP="00B3048B" w:rsidRDefault="00B3048B" w14:paraId="4E4C95F5" w14:textId="77777777">
      <w:pPr>
        <w:jc w:val="both"/>
        <w:outlineLvl w:val="0"/>
        <w:rPr>
          <w:lang w:val="es-PE"/>
        </w:rPr>
      </w:pPr>
    </w:p>
    <w:p w:rsidRPr="00B3048B" w:rsidR="00B3048B" w:rsidP="00B3048B" w:rsidRDefault="00B3048B" w14:paraId="6B21BB48" w14:textId="2E4E2A48">
      <w:pPr>
        <w:jc w:val="both"/>
        <w:outlineLvl w:val="0"/>
        <w:rPr>
          <w:lang w:val="es-PE"/>
        </w:rPr>
      </w:pPr>
      <w:r w:rsidRPr="5BF82683" w:rsidR="00B3048B">
        <w:rPr>
          <w:lang w:val="es-PE"/>
        </w:rPr>
        <w:t xml:space="preserve">Que, por su parte, la aseguradora, ratificando el rechazo de cobertura, solicita que la reclamación sea declarada infundada, de manera resumida por las razones siguientes: a)  </w:t>
      </w:r>
      <w:r w:rsidR="00B3048B">
        <w:rPr/>
        <w:t>de las declaraciones del propio asegurado en la comunicación con la Central de Emergencia de la compañía, el día 20 de octubre 2024 a las 18:16 horas, se registró una llamada telefónica del asegurado quien se identificó como conductor y propietario del vehículo</w:t>
      </w:r>
      <w:r w:rsidRPr="5BF82683" w:rsidR="00B3048B">
        <w:rPr>
          <w:lang w:val="es-PE"/>
        </w:rPr>
        <w:t xml:space="preserve">; b) </w:t>
      </w:r>
      <w:r w:rsidR="00B3048B">
        <w:rPr/>
        <w:t>durante la conversación, manifestó a la operadora que el accidente ocurrió mientras circulaba por la Av. Bocanegra, cuando “un vehículo lo cerró”, lo que provocó el impacto contra un vehículo estacionado a su derecha; c) ante este hecho, un asesor designado por la compañía acudió al lugar de los hechos donde entrevisto al asegurado y registró lo sucedido en el formato de atención; que en dicha declaración el asegurado manifestó que “(</w:t>
      </w:r>
      <w:r w:rsidRPr="5BF82683" w:rsidR="00B3048B">
        <w:rPr>
          <w:i w:val="1"/>
          <w:iCs w:val="1"/>
        </w:rPr>
        <w:t>un vehículo lo trató de cerrar y al voltear para evitar colisionar con ese vehículo chocó con dos vehículos estacionados (…)”</w:t>
      </w:r>
      <w:r w:rsidRPr="5BF82683" w:rsidR="00B3048B">
        <w:rPr>
          <w:lang w:val="es-PE"/>
        </w:rPr>
        <w:t xml:space="preserve">; d) </w:t>
      </w:r>
      <w:r w:rsidR="00B3048B">
        <w:rPr/>
        <w:t>en el Acta de Intervención Policial</w:t>
      </w:r>
      <w:r w:rsidRPr="5BF82683" w:rsidR="00B3048B">
        <w:rPr>
          <w:i w:val="1"/>
          <w:iCs w:val="1"/>
        </w:rPr>
        <w:t xml:space="preserve">, </w:t>
      </w:r>
      <w:r w:rsidR="00B3048B">
        <w:rPr/>
        <w:t xml:space="preserve">se dejó constancia que a las 22:00 horas del 20 de octubre 2024, se registró la participación de la unidad asegurada en un accidente de tránsito con subsecuentes lesiones personales y daños materiales; e) en su declaración ante la autoridad, el asegurado describió la forma y circunstancia en que ocurrió el accidente, precisando lo siguiente: “(…) </w:t>
      </w:r>
      <w:r w:rsidRPr="5BF82683" w:rsidR="00B3048B">
        <w:rPr>
          <w:i w:val="1"/>
          <w:iCs w:val="1"/>
        </w:rPr>
        <w:t>Un vehículo de color blanco lo cerró, por lo tanto, hizo la maniobra de girar rápidamente hacia la derecha para evitar impactarlo y producto de ello impactó en la parte posterior del vehículo que se encontraba estacionado (…)”</w:t>
      </w:r>
      <w:r w:rsidR="00B3048B">
        <w:rPr/>
        <w:t xml:space="preserve">; f) el 29 de octubre 2024, se llevó a cabo la declaración de </w:t>
      </w:r>
      <w:r w:rsidR="051FA4D3">
        <w:rPr/>
        <w:t>....................................................</w:t>
      </w:r>
      <w:r w:rsidR="00B3048B">
        <w:rPr/>
        <w:t xml:space="preserve"> ante las autoridades correspondientes; al ser consultado en la pregunta </w:t>
      </w:r>
      <w:r w:rsidR="00B3048B">
        <w:rPr/>
        <w:t>N°</w:t>
      </w:r>
      <w:r w:rsidR="00B3048B">
        <w:rPr/>
        <w:t xml:space="preserve"> 6 sobre la forma y circunstancia en las que ocurrió el accidente, el asegurado indicó que “(…) </w:t>
      </w:r>
      <w:r w:rsidRPr="5BF82683" w:rsidR="00B3048B">
        <w:rPr>
          <w:i w:val="1"/>
          <w:iCs w:val="1"/>
        </w:rPr>
        <w:t>me encontraba conversando con mi mamá sobre temas personales, me distraje e ingresé del carril izquierdo hacia el carril derecho manteniendo una velocidad constante, sin percatarme de que un vehículo se encontraba estacionado en el carril derecho…con el cual termino impactando por la parte posterior ocasionando daos materiales en ambos vehículos (…)”</w:t>
      </w:r>
      <w:r w:rsidR="00B3048B">
        <w:rPr/>
        <w:t>; g) la clara discordancia entre las versiones presentadas por el asegurado, genera interrogantes sobre la autenticidad de los hechos, generando asó una declaración fraudulenta, circunstancia que determina la pérdida del derecho indemnizatorio, tal como lo prevé la póliza y el artículo 73 de la Ley 29946.</w:t>
      </w:r>
    </w:p>
    <w:p w:rsidRPr="00B3048B" w:rsidR="00B3048B" w:rsidP="00B3048B" w:rsidRDefault="00B3048B" w14:paraId="081AACD9" w14:textId="77777777">
      <w:pPr>
        <w:jc w:val="both"/>
        <w:outlineLvl w:val="0"/>
        <w:rPr>
          <w:lang w:val="es-PE"/>
        </w:rPr>
      </w:pPr>
    </w:p>
    <w:p w:rsidRPr="00B3048B" w:rsidR="00B3048B" w:rsidP="00B3048B" w:rsidRDefault="00B3048B" w14:paraId="0265C5B2" w14:textId="77777777">
      <w:pPr>
        <w:jc w:val="both"/>
        <w:outlineLvl w:val="0"/>
        <w:rPr>
          <w:lang w:val="es-PE"/>
        </w:rPr>
      </w:pPr>
      <w:r w:rsidRPr="00B3048B">
        <w:rPr>
          <w:lang w:val="es-PE"/>
        </w:rPr>
        <w:t>Que, en la audiencia de vista se requirió a la aseguradora presentar un escrito complementario que sustente su posición; habiendo vencido en exceso el plazo otorgado para que cumpla con lo requerido.</w:t>
      </w:r>
    </w:p>
    <w:p w:rsidRPr="00B3048B" w:rsidR="00B3048B" w:rsidP="00B3048B" w:rsidRDefault="00B3048B" w14:paraId="155DEE5F" w14:textId="77777777">
      <w:pPr>
        <w:jc w:val="both"/>
        <w:outlineLvl w:val="0"/>
        <w:rPr>
          <w:lang w:val="es-PE"/>
        </w:rPr>
      </w:pPr>
    </w:p>
    <w:p w:rsidRPr="00B3048B" w:rsidR="00B3048B" w:rsidP="00B3048B" w:rsidRDefault="00B3048B" w14:paraId="4F8E6889" w14:textId="77777777">
      <w:pPr>
        <w:jc w:val="both"/>
        <w:outlineLvl w:val="0"/>
        <w:rPr>
          <w:lang w:val="es-PE"/>
        </w:rPr>
      </w:pPr>
      <w:r w:rsidRPr="00B3048B">
        <w:rPr>
          <w:lang w:val="es-PE"/>
        </w:rPr>
        <w:t>Que, dado el tiempo transcurrido, el proceso se encuentra en condiciones para que este colegiado resuelva la controversia sometida a su conocimiento, sobre la base de la documentación e información que obra en el expediente;</w:t>
      </w:r>
    </w:p>
    <w:p w:rsidRPr="00B3048B" w:rsidR="00B3048B" w:rsidP="00B3048B" w:rsidRDefault="00B3048B" w14:paraId="254D3F31" w14:textId="77777777">
      <w:pPr>
        <w:jc w:val="both"/>
        <w:outlineLvl w:val="0"/>
        <w:rPr>
          <w:lang w:val="es-PE"/>
        </w:rPr>
      </w:pPr>
    </w:p>
    <w:p w:rsidRPr="00B3048B" w:rsidR="00B3048B" w:rsidP="00B3048B" w:rsidRDefault="00B3048B" w14:paraId="1F7DF21A" w14:textId="77777777">
      <w:pPr>
        <w:jc w:val="both"/>
        <w:outlineLvl w:val="0"/>
        <w:rPr>
          <w:lang w:val="es-PE"/>
        </w:rPr>
      </w:pPr>
      <w:r w:rsidRPr="00B3048B">
        <w:rPr>
          <w:b/>
          <w:bCs/>
          <w:lang w:val="es-PE"/>
        </w:rPr>
        <w:t>Considerando:</w:t>
      </w:r>
    </w:p>
    <w:p w:rsidRPr="00B3048B" w:rsidR="00B3048B" w:rsidP="00B3048B" w:rsidRDefault="00B3048B" w14:paraId="3DBD84DF" w14:textId="77777777">
      <w:pPr>
        <w:jc w:val="both"/>
        <w:outlineLvl w:val="0"/>
        <w:rPr>
          <w:lang w:val="es-PE"/>
        </w:rPr>
      </w:pPr>
    </w:p>
    <w:p w:rsidRPr="00B3048B" w:rsidR="00B3048B" w:rsidP="00B3048B" w:rsidRDefault="00B3048B" w14:paraId="2A9F260C" w14:textId="77777777">
      <w:pPr>
        <w:jc w:val="both"/>
        <w:outlineLvl w:val="0"/>
        <w:rPr>
          <w:lang w:val="es-PE"/>
        </w:rPr>
      </w:pPr>
      <w:r w:rsidRPr="00B3048B">
        <w:rPr>
          <w:b/>
          <w:u w:val="single"/>
          <w:lang w:val="es-PE"/>
        </w:rPr>
        <w:t>Primero</w:t>
      </w:r>
      <w:r w:rsidRPr="00B3048B">
        <w:rPr>
          <w:b/>
          <w:lang w:val="es-PE"/>
        </w:rPr>
        <w:t xml:space="preserve">: </w:t>
      </w:r>
      <w:r w:rsidRPr="00B3048B">
        <w:rPr>
          <w:lang w:val="es-PE"/>
        </w:rPr>
        <w:t>Conforme a su Reglamento, la</w:t>
      </w:r>
      <w:r w:rsidRPr="00B3048B">
        <w:rPr>
          <w:b/>
          <w:bCs/>
          <w:lang w:val="es-PE"/>
        </w:rPr>
        <w:t xml:space="preserve"> </w:t>
      </w:r>
      <w:r w:rsidRPr="00B3048B">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B3048B" w:rsidR="00B3048B" w:rsidP="00B3048B" w:rsidRDefault="00B3048B" w14:paraId="36835554" w14:textId="77777777">
      <w:pPr>
        <w:jc w:val="both"/>
        <w:outlineLvl w:val="0"/>
        <w:rPr>
          <w:bCs/>
        </w:rPr>
      </w:pPr>
    </w:p>
    <w:p w:rsidRPr="00B3048B" w:rsidR="00B3048B" w:rsidP="00B3048B" w:rsidRDefault="00B3048B" w14:paraId="676D4F7B" w14:textId="77777777">
      <w:pPr>
        <w:jc w:val="both"/>
        <w:outlineLvl w:val="0"/>
        <w:rPr>
          <w:bCs/>
          <w:lang w:val="es-PE"/>
        </w:rPr>
      </w:pPr>
      <w:r w:rsidRPr="00B3048B">
        <w:rPr>
          <w:b/>
          <w:bCs/>
          <w:u w:val="single"/>
          <w:lang w:val="es-PE"/>
        </w:rPr>
        <w:t>Segundo</w:t>
      </w:r>
      <w:r w:rsidRPr="00B3048B">
        <w:rPr>
          <w:b/>
          <w:bCs/>
          <w:lang w:val="es-PE"/>
        </w:rPr>
        <w:t xml:space="preserve">: </w:t>
      </w:r>
      <w:r w:rsidRPr="00B3048B">
        <w:rPr>
          <w:lang w:val="es-PE"/>
        </w:rPr>
        <w:t xml:space="preserve">Asimismo, </w:t>
      </w:r>
      <w:proofErr w:type="gramStart"/>
      <w:r w:rsidRPr="00B3048B">
        <w:rPr>
          <w:lang w:val="es-PE"/>
        </w:rPr>
        <w:t>de acuerdo a</w:t>
      </w:r>
      <w:proofErr w:type="gramEnd"/>
      <w:r w:rsidRPr="00B3048B">
        <w:rPr>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consiguiente pago indemnizatorio por siniestros, como pueden ser las pretensiones indemnizatorias por daños y perjuicios, por reembolso de gastos o idoneidad de servicios, son ajenas a la competencia funcional de esta Defensoría.</w:t>
      </w:r>
    </w:p>
    <w:p w:rsidRPr="00B3048B" w:rsidR="00B3048B" w:rsidP="00B3048B" w:rsidRDefault="00B3048B" w14:paraId="678F04F6" w14:textId="77777777">
      <w:pPr>
        <w:jc w:val="both"/>
        <w:outlineLvl w:val="0"/>
      </w:pPr>
    </w:p>
    <w:p w:rsidRPr="00B3048B" w:rsidR="00B3048B" w:rsidP="00B3048B" w:rsidRDefault="00B3048B" w14:paraId="74BE450E" w14:textId="77777777">
      <w:pPr>
        <w:jc w:val="both"/>
        <w:outlineLvl w:val="0"/>
        <w:rPr>
          <w:lang w:val="es-PE"/>
        </w:rPr>
      </w:pPr>
      <w:r w:rsidRPr="00B3048B">
        <w:rPr>
          <w:b/>
          <w:bCs/>
          <w:u w:val="single"/>
          <w:lang w:val="es-PE"/>
        </w:rPr>
        <w:t>Tercero</w:t>
      </w:r>
      <w:r w:rsidRPr="00B3048B">
        <w:rPr>
          <w:b/>
          <w:bCs/>
          <w:lang w:val="es-PE"/>
        </w:rPr>
        <w:t>:</w:t>
      </w:r>
      <w:r w:rsidRPr="00B3048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B3048B" w:rsidR="00B3048B" w:rsidP="00B3048B" w:rsidRDefault="00B3048B" w14:paraId="426C154F" w14:textId="77777777">
      <w:pPr>
        <w:jc w:val="both"/>
        <w:outlineLvl w:val="0"/>
        <w:rPr>
          <w:bCs/>
        </w:rPr>
      </w:pPr>
    </w:p>
    <w:p w:rsidRPr="00B3048B" w:rsidR="00B3048B" w:rsidP="00B3048B" w:rsidRDefault="00B3048B" w14:paraId="477A4ED7" w14:textId="77777777">
      <w:pPr>
        <w:jc w:val="both"/>
        <w:outlineLvl w:val="0"/>
      </w:pPr>
      <w:r w:rsidRPr="00B3048B">
        <w:rPr>
          <w:b/>
          <w:bCs/>
          <w:u w:val="single"/>
          <w:lang w:val="es-PE"/>
        </w:rPr>
        <w:t>Cuarto</w:t>
      </w:r>
      <w:r w:rsidRPr="00B3048B">
        <w:rPr>
          <w:b/>
          <w:bCs/>
          <w:lang w:val="es-PE"/>
        </w:rPr>
        <w:t xml:space="preserve">: </w:t>
      </w:r>
      <w:r w:rsidRPr="00B3048B">
        <w:rPr>
          <w:lang w:val="es-PE"/>
        </w:rPr>
        <w:t>Que, conforme al</w:t>
      </w:r>
      <w:r w:rsidRPr="00B3048B">
        <w:rPr>
          <w:b/>
          <w:bCs/>
          <w:lang w:val="es-PE"/>
        </w:rPr>
        <w:t xml:space="preserve"> </w:t>
      </w:r>
      <w:r w:rsidRPr="00B3048B">
        <w:rPr>
          <w:lang w:val="es-PE"/>
        </w:rPr>
        <w:t>artículo 196 del Código Procesal Civil, corresponde a quien invoca hechos probar su existencia, así como a quien los contradice invocando nuevos hechos; sin perjuicio de aplicarse las presunciones legales correspondientes.</w:t>
      </w:r>
    </w:p>
    <w:p w:rsidRPr="00B3048B" w:rsidR="00B3048B" w:rsidP="00B3048B" w:rsidRDefault="00B3048B" w14:paraId="3A2F7176" w14:textId="77777777">
      <w:pPr>
        <w:jc w:val="both"/>
        <w:outlineLvl w:val="0"/>
        <w:rPr>
          <w:lang w:val="es-PE"/>
        </w:rPr>
      </w:pPr>
    </w:p>
    <w:p w:rsidRPr="00B3048B" w:rsidR="00B3048B" w:rsidP="00B3048B" w:rsidRDefault="00B3048B" w14:paraId="49209029" w14:textId="77777777">
      <w:pPr>
        <w:jc w:val="both"/>
        <w:outlineLvl w:val="0"/>
        <w:rPr>
          <w:lang w:val="es-PE"/>
        </w:rPr>
      </w:pPr>
      <w:r w:rsidRPr="00B3048B">
        <w:rPr>
          <w:b/>
          <w:u w:val="single"/>
          <w:lang w:val="es-PE"/>
        </w:rPr>
        <w:t>Quinto</w:t>
      </w:r>
      <w:r w:rsidRPr="00B3048B">
        <w:rPr>
          <w:b/>
          <w:lang w:val="es-PE"/>
        </w:rPr>
        <w:t>:</w:t>
      </w:r>
      <w:r w:rsidRPr="00B3048B">
        <w:rPr>
          <w:lang w:val="es-PE"/>
        </w:rPr>
        <w:t xml:space="preserve"> Que, atendiendo a la reclamación y a lo tratado en la audiencia de vista, la cuestión controvertida radica en determinar si es legítimo o no el rechazo de cobertura comunicado en su oportunidad por la aseguradora (mediante carta de fecha 13 de noviembre de 2024) consistente en que el asegurado habría incurrido en reclamación fraudulenta.  </w:t>
      </w:r>
    </w:p>
    <w:p w:rsidRPr="00B3048B" w:rsidR="00B3048B" w:rsidP="00B3048B" w:rsidRDefault="00B3048B" w14:paraId="01475C00" w14:textId="77777777">
      <w:pPr>
        <w:jc w:val="both"/>
        <w:outlineLvl w:val="0"/>
        <w:rPr>
          <w:lang w:val="es-PE"/>
        </w:rPr>
      </w:pPr>
    </w:p>
    <w:p w:rsidR="0024444A" w:rsidP="00B3048B" w:rsidRDefault="00B3048B" w14:paraId="3422B3BF" w14:textId="77777777">
      <w:pPr>
        <w:pStyle w:val="Prrafodelista"/>
        <w:numPr>
          <w:ilvl w:val="1"/>
          <w:numId w:val="50"/>
        </w:numPr>
        <w:jc w:val="both"/>
        <w:outlineLvl w:val="0"/>
        <w:rPr>
          <w:lang w:val="es-PE"/>
        </w:rPr>
      </w:pPr>
      <w:r w:rsidRPr="0024444A">
        <w:rPr>
          <w:lang w:val="es-PE"/>
        </w:rPr>
        <w:t>No es un hecho controvertido que la póliza establece en su artículo 16 que la compañía queda relevada de toda responsabilidad y se pierde todo derecho de indemnización si el asegurado presenta una reclamación fraudulenta o engañosa o apoyada en declaraciones falsas.</w:t>
      </w:r>
    </w:p>
    <w:p w:rsidR="0024444A" w:rsidP="0024444A" w:rsidRDefault="0024444A" w14:paraId="38828546" w14:textId="77777777">
      <w:pPr>
        <w:pStyle w:val="Prrafodelista"/>
        <w:ind w:left="376"/>
        <w:jc w:val="both"/>
        <w:outlineLvl w:val="0"/>
        <w:rPr>
          <w:lang w:val="es-PE"/>
        </w:rPr>
      </w:pPr>
    </w:p>
    <w:p w:rsidRPr="0024444A" w:rsidR="00B3048B" w:rsidP="0024444A" w:rsidRDefault="00B3048B" w14:paraId="0ECC24AB" w14:textId="32566C39">
      <w:pPr>
        <w:pStyle w:val="Prrafodelista"/>
        <w:ind w:left="376"/>
        <w:jc w:val="both"/>
        <w:outlineLvl w:val="0"/>
        <w:rPr>
          <w:lang w:val="es-PE"/>
        </w:rPr>
      </w:pPr>
      <w:r w:rsidRPr="0024444A">
        <w:rPr>
          <w:lang w:val="es-PE"/>
        </w:rPr>
        <w:t xml:space="preserve">Dicha disposición es consistente con lo establecido en artículo 73 de la Ley Nro. 29946 – Ley del Contrato de Seguro, que establece que </w:t>
      </w:r>
      <w:r w:rsidRPr="0024444A">
        <w:rPr>
          <w:i/>
          <w:iCs/>
          <w:lang w:val="es-PE"/>
        </w:rPr>
        <w:t xml:space="preserve">“el asegurado pierde el derecho a ser indemnizado si actúa fraudulentamente, exagera los daños o emplee medios falsos para probarlos”. </w:t>
      </w:r>
      <w:r w:rsidRPr="0024444A">
        <w:rPr>
          <w:lang w:val="es-PE"/>
        </w:rPr>
        <w:t xml:space="preserve">El fundamento de ello es que se está ante una actuación maliciosa, dado que el propio asegurado ha procurado intencionalmente, ya sea, la ocurrencia del siniestro, exagerado sus consecuencias o empleado medios falsos para justificar su reclamación de cobertura, con el propósito de obtener una indemnización que no le correspondería, con el consiguiente enriquecimiento indebido, por lo que se está ante una grave violación del principio rector de la buena fe en materia de seguros.  </w:t>
      </w:r>
      <w:r w:rsidRPr="0024444A">
        <w:rPr>
          <w:lang w:val="es-PE"/>
        </w:rPr>
        <w:lastRenderedPageBreak/>
        <w:t>Conforme a lo anterior, la reclamación fraudulenta se fundamenta en una inconducta del asegurado, en una actuación engañosa.</w:t>
      </w:r>
    </w:p>
    <w:p w:rsidRPr="00B3048B" w:rsidR="00B3048B" w:rsidP="00B3048B" w:rsidRDefault="00B3048B" w14:paraId="48A75EA5" w14:textId="77777777">
      <w:pPr>
        <w:jc w:val="both"/>
        <w:outlineLvl w:val="0"/>
        <w:rPr>
          <w:lang w:val="es-PE"/>
        </w:rPr>
      </w:pPr>
    </w:p>
    <w:p w:rsidRPr="0024444A" w:rsidR="0024444A" w:rsidP="00B3048B" w:rsidRDefault="00B3048B" w14:paraId="102FF611" w14:textId="77777777">
      <w:pPr>
        <w:pStyle w:val="Prrafodelista"/>
        <w:numPr>
          <w:ilvl w:val="1"/>
          <w:numId w:val="50"/>
        </w:numPr>
        <w:jc w:val="both"/>
        <w:outlineLvl w:val="0"/>
        <w:rPr>
          <w:lang w:val="es-PE"/>
        </w:rPr>
      </w:pPr>
      <w:r w:rsidRPr="00B3048B">
        <w:t xml:space="preserve">El contrato de seguro, como es destacado en doctrina, no sólo es un acuerdo negocial sustentado en la buena fe, sino en la buena fe llevada a su extremo superior o grado más alto o máximo: </w:t>
      </w:r>
      <w:r w:rsidRPr="0024444A">
        <w:rPr>
          <w:i/>
        </w:rPr>
        <w:t>ubirrimae fides</w:t>
      </w:r>
      <w:r w:rsidRPr="00B3048B">
        <w:t>.  Es así, como bien explica OSSA</w:t>
      </w:r>
      <w:r w:rsidRPr="00B3048B">
        <w:rPr>
          <w:vertAlign w:val="superscript"/>
        </w:rPr>
        <w:footnoteReference w:id="1"/>
      </w:r>
      <w:r w:rsidRPr="00B3048B">
        <w:t>, que “</w:t>
      </w:r>
      <w:r w:rsidRPr="0024444A">
        <w:rPr>
          <w:i/>
        </w:rPr>
        <w:t>En los preliminares del contrato, en su desenvolvimiento sucesivo y en su ejecución, el asegurador debe encomendarse a la lealtad del asegurado, de cuya honestidad y de cuya prudencia depende, por modo casi exclusivo, el equilibrio de la relación económico-jurídica que los vincula.  De ahí “la drasticidad de alguna de las sanciones –especialmente de las caducidades o de las que conciernen a la declaración del riesgo en que incurren los asegurados que no observan escrupulosamente sus obligaciones” (Picard et Besson, ob. Cit., p, 70)</w:t>
      </w:r>
      <w:r w:rsidRPr="00B3048B">
        <w:t>”.</w:t>
      </w:r>
    </w:p>
    <w:p w:rsidR="0024444A" w:rsidP="0024444A" w:rsidRDefault="0024444A" w14:paraId="30838EFB" w14:textId="77777777">
      <w:pPr>
        <w:pStyle w:val="Prrafodelista"/>
        <w:ind w:left="376"/>
        <w:jc w:val="both"/>
        <w:outlineLvl w:val="0"/>
      </w:pPr>
    </w:p>
    <w:p w:rsidR="00E74FEE" w:rsidP="00E74FEE" w:rsidRDefault="00B3048B" w14:paraId="482B71AF" w14:textId="77777777">
      <w:pPr>
        <w:pStyle w:val="Prrafodelista"/>
        <w:ind w:left="376"/>
        <w:jc w:val="both"/>
        <w:outlineLvl w:val="0"/>
      </w:pPr>
      <w:r w:rsidRPr="00B3048B">
        <w:t>Hay definitivamente una asimetría informativa entre asegurado y aseguradora, no sólo al momento de contratar sino de manera posterior.  Lo primero tiene suma importancia para definir la aceptación de los riesgos y la estimación de la prima; lo segundo para fines de concluir en la ocurrencia del siniestro indemnizable y en la procedencia del respectivo pago.  De manera literal, una empresa aseguradora se encomienda al asegurado, porque éste es quien sabe cuál es el verdadero estado del riesgo y cómo se produjo el siniestro.  Por ello, la práctica aseguradora, y la propia normativa, reconocen una serie de figuras que buscan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aseguradora de investigar lo ocurrido para confrontar las declaraciones del asegurado y/o el severo régimen de la caducidad de la pretensión indemnizatoria en caso de reclamación fraudulenta o engañosa.</w:t>
      </w:r>
    </w:p>
    <w:p w:rsidR="00E74FEE" w:rsidP="00E74FEE" w:rsidRDefault="00E74FEE" w14:paraId="4F1CA607" w14:textId="77777777">
      <w:pPr>
        <w:pStyle w:val="Prrafodelista"/>
        <w:ind w:left="376"/>
        <w:jc w:val="both"/>
        <w:outlineLvl w:val="0"/>
      </w:pPr>
    </w:p>
    <w:p w:rsidR="00E74FEE" w:rsidP="00E74FEE" w:rsidRDefault="00B3048B" w14:paraId="1113B6FE" w14:textId="77777777">
      <w:pPr>
        <w:pStyle w:val="Prrafodelista"/>
        <w:ind w:left="376"/>
        <w:jc w:val="both"/>
        <w:outlineLvl w:val="0"/>
      </w:pPr>
      <w:r w:rsidRPr="00B3048B">
        <w:t xml:space="preserve">Conforme a lo anterior, en el análisis de los hechos relativos al caso, debe mediar un adecuado equilibrio de juicio atendiendo a la indicada asimetría informativa sobre las circunstancias en las que habría ocurrido el siniestro; </w:t>
      </w:r>
      <w:proofErr w:type="gramStart"/>
      <w:r w:rsidRPr="00B3048B">
        <w:t>verificando</w:t>
      </w:r>
      <w:proofErr w:type="gramEnd"/>
      <w:r w:rsidRPr="00B3048B">
        <w:t xml:space="preserve"> asimismo, si se cumplen los supuestos bajo los cuales se pierde la cobertura.</w:t>
      </w:r>
    </w:p>
    <w:p w:rsidR="00E74FEE" w:rsidP="00E74FEE" w:rsidRDefault="00E74FEE" w14:paraId="44F43977" w14:textId="77777777">
      <w:pPr>
        <w:pStyle w:val="Prrafodelista"/>
        <w:ind w:left="376"/>
        <w:jc w:val="both"/>
        <w:outlineLvl w:val="0"/>
      </w:pPr>
    </w:p>
    <w:p w:rsidR="00E74FEE" w:rsidP="00E74FEE" w:rsidRDefault="00B3048B" w14:paraId="526ABC0F" w14:textId="77777777">
      <w:pPr>
        <w:pStyle w:val="Prrafodelista"/>
        <w:ind w:left="376"/>
        <w:jc w:val="both"/>
        <w:outlineLvl w:val="0"/>
      </w:pPr>
      <w:r w:rsidRPr="00B3048B">
        <w:t>La aseguradora no niega que el siniestro ocurrió, es solo que considera que el hecho que el asegurado haya indicado que un tercer auto lo cerró, para luego señalar que se distrajo conversando con su madre, constituye una reclamación fraudulenta, debido a que existieron dos versiones distintas sobre el siniestro, siendo que la segunda versión contradice la primera.</w:t>
      </w:r>
    </w:p>
    <w:p w:rsidR="00E74FEE" w:rsidP="00E74FEE" w:rsidRDefault="00E74FEE" w14:paraId="7626CF88" w14:textId="77777777">
      <w:pPr>
        <w:pStyle w:val="Prrafodelista"/>
        <w:ind w:left="376"/>
        <w:jc w:val="both"/>
        <w:outlineLvl w:val="0"/>
      </w:pPr>
    </w:p>
    <w:p w:rsidR="001A26F0" w:rsidP="00B3048B" w:rsidRDefault="00B3048B" w14:paraId="62ED75B1" w14:textId="77777777">
      <w:pPr>
        <w:pStyle w:val="Prrafodelista"/>
        <w:numPr>
          <w:ilvl w:val="1"/>
          <w:numId w:val="50"/>
        </w:numPr>
        <w:jc w:val="both"/>
        <w:outlineLvl w:val="0"/>
      </w:pPr>
      <w:r w:rsidRPr="00B3048B">
        <w:t xml:space="preserve">El artículo 77 de la Ley Nro. 29946 establece una regla fundamental en materia de seguros: </w:t>
      </w:r>
      <w:r w:rsidRPr="00B3048B">
        <w:rPr>
          <w:i/>
        </w:rPr>
        <w:t>“Corresponde al asegurado demostrar la ocurrencia del siniestro, así como la cuantía de la pérdida si fuera el caso, y al asegurador la carga de demostrar las causas que lo liberan de su prestación indemnizatoria”</w:t>
      </w:r>
      <w:r w:rsidRPr="00B3048B">
        <w:t xml:space="preserve">.  Los señalados deberes (en </w:t>
      </w:r>
      <w:r w:rsidRPr="00B3048B">
        <w:lastRenderedPageBreak/>
        <w:t>sentido lato) son una auténtica “carga”</w:t>
      </w:r>
      <w:r w:rsidRPr="00B3048B">
        <w:rPr>
          <w:vertAlign w:val="superscript"/>
        </w:rPr>
        <w:footnoteReference w:id="2"/>
      </w:r>
      <w:r w:rsidRPr="00B3048B">
        <w:t>, cuya observancia permite mantener el derecho o pretensión, pero cuya inobservancia, deriva en su pérdida o extinción.  Si el asegurado pretende ser indemnizado por la ocurrencia de un siniestro, debe obviamente demostrarlo.  Si la aseguradora pretende no indemnizar por invocar una exclusión de cobertura, también debe probarla.</w:t>
      </w:r>
    </w:p>
    <w:p w:rsidR="001A26F0" w:rsidP="001A26F0" w:rsidRDefault="001A26F0" w14:paraId="1AEA2BCA" w14:textId="77777777">
      <w:pPr>
        <w:pStyle w:val="Prrafodelista"/>
        <w:ind w:left="376"/>
        <w:jc w:val="both"/>
        <w:outlineLvl w:val="0"/>
      </w:pPr>
    </w:p>
    <w:p w:rsidR="001A26F0" w:rsidP="001A26F0" w:rsidRDefault="00B3048B" w14:paraId="7DFC1B97" w14:textId="77777777">
      <w:pPr>
        <w:pStyle w:val="Prrafodelista"/>
        <w:ind w:left="376"/>
        <w:jc w:val="both"/>
        <w:outlineLvl w:val="0"/>
      </w:pPr>
      <w:r w:rsidRPr="00B3048B">
        <w:t>La carga del asegurado, no se limita a probar la ocurrencia del siniestro,</w:t>
      </w:r>
      <w:r w:rsidRPr="001A26F0">
        <w:rPr>
          <w:b/>
        </w:rPr>
        <w:t xml:space="preserve"> </w:t>
      </w:r>
      <w:r w:rsidRPr="00B3048B">
        <w:t xml:space="preserve">sino además a que dicha ocurrencia sucedió conforme a lo declarado, ya que el artículo 69 de la Ley Nro. 29946 establece que el asegurado debe proporcionar al asegurador información </w:t>
      </w:r>
      <w:r w:rsidRPr="001A26F0">
        <w:rPr>
          <w:i/>
        </w:rPr>
        <w:t>“veraz, razonable y necesaria para verificar el siniestro o la extensión de la prestación a su cargo”</w:t>
      </w:r>
      <w:r w:rsidRPr="00B3048B">
        <w:t>, permitiéndole además realizar las investigaciones correspondientes para las verificaciones del caso.</w:t>
      </w:r>
    </w:p>
    <w:p w:rsidR="001A26F0" w:rsidP="001A26F0" w:rsidRDefault="001A26F0" w14:paraId="71173D92" w14:textId="77777777">
      <w:pPr>
        <w:pStyle w:val="Prrafodelista"/>
        <w:ind w:left="376"/>
        <w:jc w:val="both"/>
        <w:outlineLvl w:val="0"/>
      </w:pPr>
    </w:p>
    <w:p w:rsidRPr="00B3048B" w:rsidR="00B3048B" w:rsidP="001A26F0" w:rsidRDefault="00B3048B" w14:paraId="5253EC9D" w14:textId="4BBB7228">
      <w:pPr>
        <w:pStyle w:val="Prrafodelista"/>
        <w:ind w:left="376"/>
        <w:jc w:val="both"/>
        <w:outlineLvl w:val="0"/>
      </w:pPr>
      <w:r w:rsidRPr="00B3048B">
        <w:t xml:space="preserve">Se aprecia, por lo tanto, una consistencia entre los artículos 69 y 77 de la Ley del Contrato de Seguro: el asegurado debe probar que el siniestro ocurrió, y debe probar, de ser el caso, el valor o cuantía de la pérdida; pero al hacerlo debe proporcionar información cierta, razonable, verificable, de manera que la aseguradora pueda investigar lo ocurrido y constatar que el siniestro se produjo conforme a lo señalado y/o que la cuantía corresponde a lo declarado. </w:t>
      </w:r>
    </w:p>
    <w:p w:rsidRPr="00B3048B" w:rsidR="00B3048B" w:rsidP="00B3048B" w:rsidRDefault="00B3048B" w14:paraId="78A9129B" w14:textId="77777777">
      <w:pPr>
        <w:jc w:val="both"/>
        <w:outlineLvl w:val="0"/>
      </w:pPr>
    </w:p>
    <w:p w:rsidRPr="00B3048B" w:rsidR="00B3048B" w:rsidP="001A26F0" w:rsidRDefault="00B3048B" w14:paraId="093BC0C5" w14:textId="14725861">
      <w:pPr>
        <w:pStyle w:val="Prrafodelista"/>
        <w:numPr>
          <w:ilvl w:val="1"/>
          <w:numId w:val="50"/>
        </w:numPr>
        <w:jc w:val="both"/>
        <w:outlineLvl w:val="0"/>
      </w:pPr>
      <w:r w:rsidRPr="00B3048B">
        <w:t>No es un hecho controvertido que el reclamante primero indicó que otro auto lo cerró y por ello perdió el control, es solo que señala que ello fue debido a la confusión del evento. Asimismo, señala es que luego de revisar las cámaras que le mostraron las autoridades, que se determinó que no era claro que un auto lo hubiera cerrado, por lo que en la entrevista con las autoridades concluyó entonces que se habrá distraído conversando con su madre, por lo que fue eso lo que declaró, como se aprecia a continuación</w:t>
      </w:r>
    </w:p>
    <w:p w:rsidRPr="00B3048B" w:rsidR="00B3048B" w:rsidP="00B3048B" w:rsidRDefault="00B3048B" w14:paraId="545EEDCD" w14:textId="77777777">
      <w:pPr>
        <w:jc w:val="both"/>
        <w:outlineLvl w:val="0"/>
      </w:pPr>
    </w:p>
    <w:p w:rsidRPr="00B3048B" w:rsidR="00B3048B" w:rsidP="001A26F0" w:rsidRDefault="00B3048B" w14:paraId="58D5C011" w14:textId="72C2C64B">
      <w:pPr>
        <w:jc w:val="center"/>
        <w:outlineLvl w:val="0"/>
      </w:pPr>
      <w:r w:rsidR="503F350E">
        <w:rPr/>
        <w:t>.......................................................................................................................</w:t>
      </w:r>
    </w:p>
    <w:p w:rsidRPr="00B3048B" w:rsidR="00B3048B" w:rsidP="00B3048B" w:rsidRDefault="00B3048B" w14:paraId="1B3629EA" w14:textId="77777777">
      <w:pPr>
        <w:jc w:val="both"/>
        <w:outlineLvl w:val="0"/>
      </w:pPr>
    </w:p>
    <w:p w:rsidRPr="00B3048B" w:rsidR="00B3048B" w:rsidP="001A26F0" w:rsidRDefault="00B3048B" w14:paraId="07F2B267" w14:textId="77777777">
      <w:pPr>
        <w:numPr>
          <w:ilvl w:val="1"/>
          <w:numId w:val="50"/>
        </w:numPr>
        <w:jc w:val="both"/>
        <w:outlineLvl w:val="0"/>
      </w:pPr>
      <w:r w:rsidRPr="00B3048B">
        <w:t>En otras palabras, el asegurado no niega que brindó dos versiones, lo que indica es que la primera fue producto del estado de confusión en la que se encontró luego del evento, al ver las lesiones que había sufrido su madre, pero que no hubo intención de defraudar a la compañía, pues en ambos supuestos procedía la cobertura de seguro.</w:t>
      </w:r>
    </w:p>
    <w:p w:rsidRPr="00B3048B" w:rsidR="00B3048B" w:rsidP="00B3048B" w:rsidRDefault="00B3048B" w14:paraId="04B2DC55" w14:textId="77777777">
      <w:pPr>
        <w:jc w:val="both"/>
        <w:outlineLvl w:val="0"/>
      </w:pPr>
    </w:p>
    <w:p w:rsidRPr="00B3048B" w:rsidR="00B3048B" w:rsidP="001A26F0" w:rsidRDefault="00B3048B" w14:paraId="5CBB6438" w14:textId="77777777">
      <w:pPr>
        <w:numPr>
          <w:ilvl w:val="1"/>
          <w:numId w:val="50"/>
        </w:numPr>
        <w:jc w:val="both"/>
        <w:outlineLvl w:val="0"/>
      </w:pPr>
      <w:r w:rsidRPr="00B3048B">
        <w:t>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w:t>
      </w:r>
    </w:p>
    <w:p w:rsidRPr="00B3048B" w:rsidR="00B3048B" w:rsidP="001A26F0" w:rsidRDefault="00B3048B" w14:paraId="1C00B327" w14:textId="77777777">
      <w:pPr>
        <w:numPr>
          <w:ilvl w:val="1"/>
          <w:numId w:val="50"/>
        </w:numPr>
        <w:jc w:val="both"/>
        <w:outlineLvl w:val="0"/>
      </w:pPr>
      <w:r w:rsidRPr="00B3048B">
        <w:t>En el presente caso, la aseguradora no ha señalado cuáles serían esos indicios y/o es a ventaja indebida.  El reclamante, por su parte, sostiene que, sea que un tercero lo hubiera cerrado, o que el choque fue producto de su distracción, la aseguradora habría tenido que cubrir el siniestro, por lo que la declaración inicial no tuvo por objeto buscar obtener un beneficio indebido (la cobertura de seguro) que no se habría obtenido al conocerse los hechos verificados luego de ver el video; siendo que el error en la primera declaración fue producto de la confusión y estado en que se encontraba luego del choque, preocupado por la salud de su madre.</w:t>
      </w:r>
    </w:p>
    <w:p w:rsidRPr="00B3048B" w:rsidR="00B3048B" w:rsidP="00B3048B" w:rsidRDefault="00B3048B" w14:paraId="61E5ADD7" w14:textId="77777777">
      <w:pPr>
        <w:jc w:val="both"/>
        <w:outlineLvl w:val="0"/>
      </w:pPr>
    </w:p>
    <w:p w:rsidRPr="00B3048B" w:rsidR="00B3048B" w:rsidP="001A26F0" w:rsidRDefault="00B3048B" w14:paraId="434B06AB" w14:textId="77777777">
      <w:pPr>
        <w:numPr>
          <w:ilvl w:val="1"/>
          <w:numId w:val="50"/>
        </w:numPr>
        <w:jc w:val="both"/>
        <w:outlineLvl w:val="0"/>
      </w:pPr>
      <w:r w:rsidRPr="00B3048B">
        <w:t xml:space="preserve">Lo que este colegiado aprecia en este caso, es que si el asegurado manifestó que existía un video que registró el incidente, la aseguradora pudo verificar a través </w:t>
      </w:r>
      <w:proofErr w:type="gramStart"/>
      <w:r w:rsidRPr="00B3048B">
        <w:t>del mismo</w:t>
      </w:r>
      <w:proofErr w:type="gramEnd"/>
      <w:r w:rsidRPr="00B3048B">
        <w:t xml:space="preserve"> cómo habría ocurrido el siniestro. </w:t>
      </w:r>
    </w:p>
    <w:p w:rsidRPr="00B3048B" w:rsidR="00B3048B" w:rsidP="00B3048B" w:rsidRDefault="00B3048B" w14:paraId="304BA7BD" w14:textId="77777777">
      <w:pPr>
        <w:jc w:val="both"/>
        <w:outlineLvl w:val="0"/>
      </w:pPr>
    </w:p>
    <w:p w:rsidRPr="00B3048B" w:rsidR="00B3048B" w:rsidP="001A26F0" w:rsidRDefault="00B3048B" w14:paraId="616EBA6D" w14:textId="549632D1">
      <w:pPr>
        <w:numPr>
          <w:ilvl w:val="1"/>
          <w:numId w:val="50"/>
        </w:numPr>
        <w:jc w:val="both"/>
        <w:outlineLvl w:val="0"/>
        <w:rPr/>
      </w:pPr>
      <w:r w:rsidR="00B3048B">
        <w:rPr/>
        <w:t xml:space="preserve">A fin de contar con más elementos de juicio y a efectos que la aseguradora pudiera señalar cuál fue la ventaja indebida que se habría obtenido en función al invocado cambio de versión, se requirió a </w:t>
      </w:r>
      <w:r w:rsidR="0FCB45A0">
        <w:rPr/>
        <w:t>................</w:t>
      </w:r>
      <w:r w:rsidR="00B3048B">
        <w:rPr/>
        <w:t xml:space="preserve"> presentar un escrito complementario que sustente su posición. No obstante, ha vencido el plazo otorgado en exceso sin que haya cumplido con lo requerido.</w:t>
      </w:r>
    </w:p>
    <w:p w:rsidRPr="00B3048B" w:rsidR="00B3048B" w:rsidP="00B3048B" w:rsidRDefault="00B3048B" w14:paraId="6FF2CD59" w14:textId="77777777">
      <w:pPr>
        <w:jc w:val="both"/>
        <w:outlineLvl w:val="0"/>
      </w:pPr>
    </w:p>
    <w:p w:rsidRPr="00B3048B" w:rsidR="00B3048B" w:rsidP="001A26F0" w:rsidRDefault="00B3048B" w14:paraId="50BCC2CC" w14:textId="77777777">
      <w:pPr>
        <w:numPr>
          <w:ilvl w:val="1"/>
          <w:numId w:val="50"/>
        </w:numPr>
        <w:jc w:val="both"/>
        <w:outlineLvl w:val="0"/>
      </w:pPr>
      <w:r w:rsidRPr="00B3048B">
        <w:lastRenderedPageBreak/>
        <w:t>Atendiendo a lo destacado, este colegiado no advierte un fundamento objetivo y razonable para que la aseguradora concluya que se está ante una reclamación fraudulenta, por cuanto se ha limitado a señalar la existencia de dos versiones, pero sin señalar cuál sería la supuesta ventaja indebida que se pretendería lograr, y sin evidenciar indicios de fraude, sobre todo considerando que el aviso fue inmediato, asistiendo al asegurado en el lugar del evento y realizando las diligencias policiales correspondientes. El rechazo tendría asidero si, de haber conocido la versión real de los hechos (la que pudo verificarse con el video mencionado por el asegurado), no se hubiera otorgado cobertura de seguro.</w:t>
      </w:r>
    </w:p>
    <w:p w:rsidRPr="00B3048B" w:rsidR="00B3048B" w:rsidP="00B3048B" w:rsidRDefault="00B3048B" w14:paraId="7489E280" w14:textId="77777777">
      <w:pPr>
        <w:jc w:val="both"/>
        <w:outlineLvl w:val="0"/>
      </w:pPr>
    </w:p>
    <w:p w:rsidRPr="00B3048B" w:rsidR="00B3048B" w:rsidP="00B3048B" w:rsidRDefault="00B3048B" w14:paraId="68C332E5" w14:textId="77777777">
      <w:pPr>
        <w:jc w:val="both"/>
        <w:outlineLvl w:val="0"/>
      </w:pPr>
      <w:r w:rsidRPr="00B3048B">
        <w:t>Este colegiado no desconoce la existencia de dos versiones; sin embargo, considera que la aseguradora no cumplió con justificar la reclamación fraudulenta, pese a que en la audiencia de vista se le requirió sustentarla a través de un escrito complementario</w:t>
      </w:r>
    </w:p>
    <w:p w:rsidRPr="00B3048B" w:rsidR="00B3048B" w:rsidP="00B3048B" w:rsidRDefault="00B3048B" w14:paraId="238478B3" w14:textId="77777777">
      <w:pPr>
        <w:jc w:val="both"/>
        <w:outlineLvl w:val="0"/>
      </w:pPr>
    </w:p>
    <w:p w:rsidRPr="00B3048B" w:rsidR="00B3048B" w:rsidP="00B3048B" w:rsidRDefault="00B3048B" w14:paraId="2C172805" w14:textId="77777777">
      <w:pPr>
        <w:jc w:val="both"/>
        <w:outlineLvl w:val="0"/>
      </w:pPr>
      <w:r w:rsidRPr="00B3048B">
        <w:t>Conforme se aprecia del reclamo, el reclamante cuenta con una explicación sobre la razón de su primera declaración (errada); más allá que esta sea o no suficiente, lo cierto es que la aseguradora no se ha pronunciado sobre la ventaja indebida que se produce al conocer la causa del siniestro.  En consecuencia, a mérito de los argumentos de la parte reclamante, y de la falta de sustentación de la aseguradora, no se ha acreditado la ventaja indebida pretendida con el cambio de versión y por lo tanto no se aprecia que las inconsistencias permitan concluir que se está una reclamación engañosa y, por lo tanto, fraudulenta, que derive a su vez en la pérdida del derecho indemnizatorio.</w:t>
      </w:r>
    </w:p>
    <w:p w:rsidRPr="00B3048B" w:rsidR="00B3048B" w:rsidP="00B3048B" w:rsidRDefault="00B3048B" w14:paraId="0F671C1D" w14:textId="77777777">
      <w:pPr>
        <w:jc w:val="both"/>
        <w:outlineLvl w:val="0"/>
        <w:rPr>
          <w:lang w:val="es-PE"/>
        </w:rPr>
      </w:pPr>
    </w:p>
    <w:p w:rsidRPr="00B3048B" w:rsidR="00B3048B" w:rsidP="00B3048B" w:rsidRDefault="00B3048B" w14:paraId="01AE4547" w14:textId="77777777">
      <w:pPr>
        <w:jc w:val="both"/>
        <w:outlineLvl w:val="0"/>
        <w:rPr>
          <w:b/>
        </w:rPr>
      </w:pPr>
      <w:r w:rsidRPr="00B3048B">
        <w:rPr>
          <w:b/>
          <w:lang w:val="es-PE"/>
        </w:rPr>
        <w:t xml:space="preserve">Atendiendo a lo expresado, este colegiado </w:t>
      </w:r>
      <w:r w:rsidRPr="00B3048B">
        <w:rPr>
          <w:b/>
        </w:rPr>
        <w:t>concluye su apreciación razonada y conjunta al amparo de lo establecido en el Reglamento de la DEFASEG, por lo que</w:t>
      </w:r>
      <w:r w:rsidRPr="00B3048B">
        <w:rPr>
          <w:b/>
          <w:lang w:val="es-PE"/>
        </w:rPr>
        <w:t xml:space="preserve"> resuelve:</w:t>
      </w:r>
    </w:p>
    <w:p w:rsidRPr="00B3048B" w:rsidR="00B3048B" w:rsidP="00B3048B" w:rsidRDefault="00B3048B" w14:paraId="15A465E0" w14:textId="77777777">
      <w:pPr>
        <w:jc w:val="both"/>
        <w:outlineLvl w:val="0"/>
        <w:rPr>
          <w:lang w:val="es-PE"/>
        </w:rPr>
      </w:pPr>
    </w:p>
    <w:p w:rsidRPr="00B3048B" w:rsidR="00B3048B" w:rsidP="00B3048B" w:rsidRDefault="00B3048B" w14:paraId="5EE4F4E1" w14:textId="7D6B4D34">
      <w:pPr>
        <w:jc w:val="both"/>
        <w:outlineLvl w:val="0"/>
        <w:rPr>
          <w:lang w:val="es-PE"/>
        </w:rPr>
      </w:pPr>
      <w:r w:rsidRPr="5BF82683" w:rsidR="00B3048B">
        <w:rPr>
          <w:lang w:val="es-PE"/>
        </w:rPr>
        <w:t xml:space="preserve">Declarar </w:t>
      </w:r>
      <w:r w:rsidRPr="5BF82683" w:rsidR="00B3048B">
        <w:rPr>
          <w:b w:val="1"/>
          <w:bCs w:val="1"/>
          <w:lang w:val="es-PE"/>
        </w:rPr>
        <w:t xml:space="preserve">FUNDADA </w:t>
      </w:r>
      <w:r w:rsidRPr="5BF82683" w:rsidR="00B3048B">
        <w:rPr>
          <w:lang w:val="es-PE"/>
        </w:rPr>
        <w:t xml:space="preserve">la reclamación interpuesta por </w:t>
      </w:r>
      <w:r w:rsidRPr="5BF82683" w:rsidR="39698119">
        <w:rPr>
          <w:lang w:val="es-PE"/>
        </w:rPr>
        <w:t>..............................................................</w:t>
      </w:r>
      <w:r w:rsidRPr="5BF82683" w:rsidR="00B3048B">
        <w:rPr>
          <w:lang w:val="es-PE"/>
        </w:rPr>
        <w:t xml:space="preserve">  contra</w:t>
      </w:r>
      <w:r w:rsidRPr="5BF82683" w:rsidR="00B3048B">
        <w:rPr>
          <w:lang w:val="es-PE"/>
        </w:rPr>
        <w:t xml:space="preserve"> </w:t>
      </w:r>
      <w:r w:rsidRPr="5BF82683" w:rsidR="5A066C2B">
        <w:rPr>
          <w:lang w:val="es-PE"/>
        </w:rPr>
        <w:t>...................................</w:t>
      </w:r>
      <w:r w:rsidR="00B3048B">
        <w:rPr/>
        <w:t>, por lo que la aseguradora debe otorgar cobertura al respectivo siniestro, conforme a los términos y condiciones de la póliza contratada.</w:t>
      </w:r>
    </w:p>
    <w:p w:rsidRPr="00042E86" w:rsidR="00ED76D4" w:rsidP="009A624F" w:rsidRDefault="00ED76D4" w14:paraId="75C117BA" w14:textId="77777777">
      <w:pPr>
        <w:jc w:val="both"/>
        <w:outlineLvl w:val="0"/>
        <w:rPr>
          <w:lang w:val="es-PE"/>
        </w:rPr>
      </w:pPr>
    </w:p>
    <w:p w:rsidRPr="00042E86" w:rsidR="00804FBA" w:rsidP="00ED76D4" w:rsidRDefault="00F15FBA" w14:paraId="0B8F9BB3" w14:textId="6936B82C">
      <w:pPr>
        <w:jc w:val="right"/>
        <w:outlineLvl w:val="0"/>
        <w:rPr>
          <w:lang w:val="es-PE"/>
        </w:rPr>
      </w:pPr>
      <w:r w:rsidRPr="00042E86">
        <w:rPr>
          <w:lang w:val="es-PE"/>
        </w:rPr>
        <w:t>Lima,</w:t>
      </w:r>
      <w:r w:rsidRPr="00042E86" w:rsidR="009D4785">
        <w:rPr>
          <w:lang w:val="es-PE"/>
        </w:rPr>
        <w:t xml:space="preserve"> </w:t>
      </w:r>
      <w:r w:rsidRPr="00042E86" w:rsidR="00E84271">
        <w:rPr>
          <w:lang w:val="es-PE"/>
        </w:rPr>
        <w:t>1</w:t>
      </w:r>
      <w:r w:rsidR="00C9738A">
        <w:rPr>
          <w:lang w:val="es-PE"/>
        </w:rPr>
        <w:t>7</w:t>
      </w:r>
      <w:r w:rsidRPr="00042E86" w:rsidR="00C70C36">
        <w:rPr>
          <w:lang w:val="es-PE"/>
        </w:rPr>
        <w:t xml:space="preserve"> </w:t>
      </w:r>
      <w:r w:rsidRPr="00042E86">
        <w:rPr>
          <w:lang w:val="es-PE"/>
        </w:rPr>
        <w:t>de</w:t>
      </w:r>
      <w:r w:rsidRPr="00042E86" w:rsidR="001631D6">
        <w:rPr>
          <w:lang w:val="es-PE"/>
        </w:rPr>
        <w:t xml:space="preserve"> </w:t>
      </w:r>
      <w:r w:rsidRPr="00042E86" w:rsidR="005018BF">
        <w:rPr>
          <w:lang w:val="es-PE"/>
        </w:rPr>
        <w:t>junio</w:t>
      </w:r>
      <w:r w:rsidRPr="00042E86" w:rsidR="001631D6">
        <w:rPr>
          <w:lang w:val="es-PE"/>
        </w:rPr>
        <w:t xml:space="preserve"> </w:t>
      </w:r>
      <w:r w:rsidRPr="00042E86">
        <w:rPr>
          <w:lang w:val="es-PE"/>
        </w:rPr>
        <w:t>de 20</w:t>
      </w:r>
      <w:r w:rsidRPr="00042E86" w:rsidR="001631D6">
        <w:rPr>
          <w:lang w:val="es-PE"/>
        </w:rPr>
        <w:t>2</w:t>
      </w:r>
      <w:r w:rsidRPr="00042E86" w:rsidR="0073373B">
        <w:rPr>
          <w:lang w:val="es-PE"/>
        </w:rPr>
        <w:t>5</w:t>
      </w:r>
    </w:p>
    <w:p w:rsidRPr="00042E86" w:rsidR="00804FBA" w:rsidP="00E06FC0" w:rsidRDefault="00804FBA" w14:paraId="2C8A5CBC" w14:textId="77777777">
      <w:pPr>
        <w:jc w:val="both"/>
        <w:rPr>
          <w:b/>
          <w:bCs/>
          <w:i/>
          <w:iCs/>
          <w:lang w:val="es-ES_tradnl"/>
        </w:rPr>
      </w:pPr>
    </w:p>
    <w:p w:rsidRPr="00042E86" w:rsidR="003F73A8" w:rsidP="00E06FC0" w:rsidRDefault="003F73A8" w14:paraId="00714C2C" w14:textId="77777777">
      <w:pPr>
        <w:jc w:val="both"/>
        <w:rPr>
          <w:b/>
          <w:bCs/>
          <w:i/>
          <w:iCs/>
          <w:lang w:val="es-ES_tradnl"/>
        </w:rPr>
      </w:pPr>
      <w:r w:rsidRPr="00042E86">
        <w:rPr>
          <w:b/>
          <w:bCs/>
          <w:i/>
          <w:iCs/>
          <w:lang w:val="es-ES_tradnl"/>
        </w:rPr>
        <w:t>La Secretaría Técnica certifica que la presente resolución cuenta con el voto de los vocales cuyos nombres figuran en el presente documento.</w:t>
      </w:r>
    </w:p>
    <w:p w:rsidRPr="00042E86" w:rsidR="00707C3F" w:rsidP="00707C3F" w:rsidRDefault="00707C3F" w14:paraId="52D37E4A" w14:textId="77777777">
      <w:pPr>
        <w:jc w:val="both"/>
        <w:rPr>
          <w:b/>
          <w:bCs/>
          <w:i/>
          <w:iCs/>
          <w:lang w:val="es-ES_tradnl"/>
        </w:rPr>
      </w:pPr>
    </w:p>
    <w:p w:rsidRPr="00042E86" w:rsidR="00707C3F" w:rsidP="00707C3F" w:rsidRDefault="00707C3F" w14:paraId="30ED2D98" w14:textId="547A44C6">
      <w:pPr>
        <w:spacing w:line="360" w:lineRule="auto"/>
        <w:jc w:val="center"/>
        <w:rPr>
          <w:b/>
          <w:bCs/>
        </w:rPr>
      </w:pPr>
      <w:r w:rsidRPr="00042E86">
        <w:rPr>
          <w:b/>
          <w:bCs/>
        </w:rPr>
        <w:t xml:space="preserve">Rolando Eyzaguirre Maccan – </w:t>
      </w:r>
      <w:proofErr w:type="gramStart"/>
      <w:r w:rsidRPr="00042E86" w:rsidR="00E4456F">
        <w:rPr>
          <w:b/>
          <w:bCs/>
        </w:rPr>
        <w:t>Presidente</w:t>
      </w:r>
      <w:proofErr w:type="gramEnd"/>
    </w:p>
    <w:p w:rsidRPr="00042E86" w:rsidR="00BB4CEC" w:rsidP="00BB4CEC" w:rsidRDefault="00BB4CEC" w14:paraId="01720D6D" w14:textId="7AD41673">
      <w:pPr>
        <w:spacing w:line="360" w:lineRule="auto"/>
        <w:jc w:val="center"/>
        <w:rPr>
          <w:b/>
          <w:bCs/>
        </w:rPr>
      </w:pPr>
      <w:r w:rsidRPr="00042E86">
        <w:rPr>
          <w:b/>
          <w:bCs/>
        </w:rPr>
        <w:t>María Eugenia Valdez Fernández Baca –</w:t>
      </w:r>
      <w:r w:rsidRPr="00042E86" w:rsidR="00E4456F">
        <w:rPr>
          <w:b/>
          <w:bCs/>
        </w:rPr>
        <w:t xml:space="preserve"> Vocal</w:t>
      </w:r>
      <w:r w:rsidRPr="00042E86">
        <w:rPr>
          <w:b/>
          <w:bCs/>
        </w:rPr>
        <w:t xml:space="preserve"> </w:t>
      </w:r>
    </w:p>
    <w:p w:rsidRPr="00042E86" w:rsidR="00DD0E29" w:rsidP="00AD20C0" w:rsidRDefault="00AD20C0" w14:paraId="487074CF" w14:textId="11EAC2F0">
      <w:pPr>
        <w:spacing w:line="360" w:lineRule="auto"/>
        <w:jc w:val="center"/>
        <w:rPr>
          <w:b/>
          <w:bCs/>
        </w:rPr>
      </w:pPr>
      <w:r w:rsidRPr="00042E86">
        <w:rPr>
          <w:b/>
          <w:bCs/>
        </w:rPr>
        <w:t>Antonio José Rodríguez Lobatón – Vocal</w:t>
      </w:r>
    </w:p>
    <w:p w:rsidRPr="00742DA4"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2A17" w:rsidP="005F148C" w:rsidRDefault="00902A17" w14:paraId="343C7FF1" w14:textId="77777777">
      <w:r>
        <w:separator/>
      </w:r>
    </w:p>
  </w:endnote>
  <w:endnote w:type="continuationSeparator" w:id="0">
    <w:p w:rsidR="00902A17" w:rsidP="005F148C" w:rsidRDefault="00902A17" w14:paraId="2B150B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2A17" w:rsidP="005F148C" w:rsidRDefault="00902A17" w14:paraId="5E751565" w14:textId="77777777">
      <w:r>
        <w:separator/>
      </w:r>
    </w:p>
  </w:footnote>
  <w:footnote w:type="continuationSeparator" w:id="0">
    <w:p w:rsidR="00902A17" w:rsidP="005F148C" w:rsidRDefault="00902A17" w14:paraId="64B732D2" w14:textId="77777777">
      <w:r>
        <w:continuationSeparator/>
      </w:r>
    </w:p>
  </w:footnote>
  <w:footnote w:id="1">
    <w:p w:rsidR="00B3048B" w:rsidP="00B3048B" w:rsidRDefault="00B3048B" w14:paraId="1093368E" w14:textId="77777777">
      <w:pPr>
        <w:pStyle w:val="Textonotapie"/>
        <w:jc w:val="both"/>
        <w:rPr>
          <w:rFonts w:ascii="Arial" w:hAnsi="Arial" w:cs="Arial"/>
          <w:sz w:val="18"/>
          <w:szCs w:val="18"/>
        </w:rPr>
      </w:pPr>
      <w:r>
        <w:rPr>
          <w:rStyle w:val="Refdenotaalpie"/>
          <w:rFonts w:ascii="Arial" w:hAnsi="Arial" w:cs="Arial" w:eastAsiaTheme="majorEastAsia"/>
          <w:sz w:val="18"/>
          <w:szCs w:val="18"/>
        </w:rPr>
        <w:footnoteRef/>
      </w:r>
      <w:r>
        <w:rPr>
          <w:rFonts w:ascii="Arial" w:hAnsi="Arial" w:cs="Arial"/>
          <w:sz w:val="18"/>
          <w:szCs w:val="18"/>
        </w:rPr>
        <w:t xml:space="preserve"> OSSA, J. Efrén.  Tratado Elemental de Seguros, segunda edición corregida, aumentada, actualizada. Ediciones Lerner, Bogotá, 1963, pág. 277.</w:t>
      </w:r>
    </w:p>
  </w:footnote>
  <w:footnote w:id="2">
    <w:p w:rsidR="00B3048B" w:rsidP="00B3048B" w:rsidRDefault="00B3048B" w14:paraId="7AA09EC1" w14:textId="77777777">
      <w:pPr>
        <w:pStyle w:val="Textonotapie"/>
        <w:jc w:val="both"/>
        <w:rPr>
          <w:rFonts w:ascii="Arial" w:hAnsi="Arial" w:cs="Arial"/>
          <w:sz w:val="18"/>
          <w:szCs w:val="18"/>
        </w:rPr>
      </w:pPr>
      <w:r>
        <w:rPr>
          <w:rStyle w:val="Refdenotaalpie"/>
          <w:rFonts w:ascii="Arial" w:hAnsi="Arial" w:cs="Arial" w:eastAsiaTheme="majorEastAsia"/>
          <w:sz w:val="18"/>
          <w:szCs w:val="18"/>
        </w:rPr>
        <w:footnoteRef/>
      </w:r>
      <w:r>
        <w:rPr>
          <w:rFonts w:ascii="Arial" w:hAnsi="Arial" w:cs="Arial"/>
          <w:sz w:val="18"/>
          <w:szCs w:val="18"/>
        </w:rPr>
        <w:t xml:space="preserve"> MORALES HERVÍAS, Rómulo.  Patologías y remedios del contrato.  Jurista Editores E.I.R.L. Lima, julio 2011, págs. 119 a 121.  Resulta particularmente relevante lo expresado, sobre la misma materia y con la misma orientación, por reconocidos juristas como BRECCIA, Umberto, BIGLIAZZI GERI, Lina, NATOLI, Ugo y BUSNELLI, Francesco, en el sentido que: </w:t>
      </w:r>
      <w:r>
        <w:rPr>
          <w:rFonts w:ascii="Arial" w:hAnsi="Arial" w:cs="Arial"/>
          <w:i/>
          <w:sz w:val="18"/>
          <w:szCs w:val="18"/>
        </w:rPr>
        <w:t xml:space="preserve">“(La carga) …, definida también como “deber libre” y destinado a ubicarse entre la libertad y la obligación, se traduciría en un </w:t>
      </w:r>
      <w:r>
        <w:rPr>
          <w:rFonts w:ascii="Arial" w:hAnsi="Arial" w:cs="Arial"/>
          <w:b/>
          <w:i/>
          <w:sz w:val="18"/>
          <w:szCs w:val="18"/>
        </w:rPr>
        <w:t xml:space="preserve">comportamiento necesitado para la realización de un interés propio del titular.  Así que su incumplimiento eventual haría imposible la satisfacción de dicho interés, </w:t>
      </w:r>
      <w:r>
        <w:rPr>
          <w:rFonts w:ascii="Arial" w:hAnsi="Arial" w:cs="Arial"/>
          <w:i/>
          <w:sz w:val="18"/>
          <w:szCs w:val="18"/>
        </w:rPr>
        <w:t>pero no incidiría en la realización de un interés ajeno y no sería, entonces, fuente de responsabilidad para con nadie</w:t>
      </w:r>
      <w:r>
        <w:rPr>
          <w:rFonts w:ascii="Arial" w:hAnsi="Arial" w:cs="Arial"/>
          <w:sz w:val="18"/>
          <w:szCs w:val="18"/>
        </w:rPr>
        <w:t>”.  Lo destacado con negrita es del suscrito.  (Derecho Civil. Tomo I, Volumen 1 – Normas, Sujetos y Relación Jurídica, primera edición en español, traducción de Fernando Hinestroza. Universidad Externado de Colombia, Bogotá, 1992, págs. 447 y 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5"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4"/>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7"/>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7"/>
  </w:num>
  <w:num w:numId="25" w16cid:durableId="206340418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8"/>
  </w:num>
  <w:num w:numId="35" w16cid:durableId="1259676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43"/>
  </w:num>
  <w:num w:numId="39" w16cid:durableId="375400375">
    <w:abstractNumId w:val="0"/>
  </w:num>
  <w:num w:numId="40" w16cid:durableId="1536462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1"/>
  </w:num>
  <w:num w:numId="42" w16cid:durableId="1367632935">
    <w:abstractNumId w:val="4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0"/>
  </w:num>
  <w:num w:numId="48" w16cid:durableId="1820147613">
    <w:abstractNumId w:val="8"/>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28"/>
  </w:num>
  <w:num w:numId="50" w16cid:durableId="122193620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51125"/>
    <w:rsid w:val="00251C91"/>
    <w:rsid w:val="002605BB"/>
    <w:rsid w:val="002608DC"/>
    <w:rsid w:val="00266CCD"/>
    <w:rsid w:val="002671AE"/>
    <w:rsid w:val="00267932"/>
    <w:rsid w:val="002713C2"/>
    <w:rsid w:val="00275F4C"/>
    <w:rsid w:val="00280092"/>
    <w:rsid w:val="00281026"/>
    <w:rsid w:val="00284530"/>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3111"/>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A17"/>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4FEE"/>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51FA4D3"/>
    <w:rsid w:val="05556660"/>
    <w:rsid w:val="0FCB45A0"/>
    <w:rsid w:val="14324B8B"/>
    <w:rsid w:val="2571AB2F"/>
    <w:rsid w:val="2F334077"/>
    <w:rsid w:val="34370907"/>
    <w:rsid w:val="39698119"/>
    <w:rsid w:val="4487500F"/>
    <w:rsid w:val="503F350E"/>
    <w:rsid w:val="5A066C2B"/>
    <w:rsid w:val="5BF82683"/>
    <w:rsid w:val="602B34C8"/>
    <w:rsid w:val="6488B81D"/>
    <w:rsid w:val="6689AC09"/>
    <w:rsid w:val="7A315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3A09D74-E079-4B62-8CA5-ACDD5A4C7E1F}"/>
</file>

<file path=customXml/itemProps3.xml><?xml version="1.0" encoding="utf-8"?>
<ds:datastoreItem xmlns:ds="http://schemas.openxmlformats.org/officeDocument/2006/customXml" ds:itemID="{0C4F1E7E-F786-458B-B1A4-19468BAB2561}"/>
</file>

<file path=customXml/itemProps4.xml><?xml version="1.0" encoding="utf-8"?>
<ds:datastoreItem xmlns:ds="http://schemas.openxmlformats.org/officeDocument/2006/customXml" ds:itemID="{9A7B7DE1-7DA2-4B50-8D23-8497309E53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550</cp:revision>
  <cp:lastPrinted>2025-06-19T15:48:00Z</cp:lastPrinted>
  <dcterms:created xsi:type="dcterms:W3CDTF">2023-06-22T13:57:00Z</dcterms:created>
  <dcterms:modified xsi:type="dcterms:W3CDTF">2026-03-26T19:17:40Z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