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8E0099" w:rsidR="00B3048B" w:rsidP="008E0099" w:rsidRDefault="00F15FBA" w14:paraId="64A19C66" w14:textId="103C0D59">
      <w:pPr>
        <w:pStyle w:val="Ttulo"/>
        <w:outlineLvl w:val="0"/>
        <w:rPr>
          <w:lang w:val="es-PE"/>
        </w:rPr>
      </w:pPr>
      <w:r w:rsidRPr="008E0099">
        <w:rPr>
          <w:lang w:val="es-PE"/>
        </w:rPr>
        <w:t>RESOLUCIÓN N</w:t>
      </w:r>
      <w:r w:rsidRPr="008E0099" w:rsidR="001631D6">
        <w:rPr>
          <w:lang w:val="es-PE"/>
        </w:rPr>
        <w:t xml:space="preserve">° </w:t>
      </w:r>
      <w:r w:rsidRPr="008E0099" w:rsidR="00015A30">
        <w:rPr>
          <w:lang w:val="es-PE"/>
        </w:rPr>
        <w:t>0</w:t>
      </w:r>
      <w:r w:rsidRPr="008E0099" w:rsidR="00EC6672">
        <w:rPr>
          <w:lang w:val="es-PE"/>
        </w:rPr>
        <w:t>9</w:t>
      </w:r>
      <w:r w:rsidRPr="008E0099" w:rsidR="009507AE">
        <w:rPr>
          <w:lang w:val="es-PE"/>
        </w:rPr>
        <w:t>4</w:t>
      </w:r>
      <w:r w:rsidRPr="008E0099" w:rsidR="001272A9">
        <w:rPr>
          <w:lang w:val="es-PE"/>
        </w:rPr>
        <w:t>/</w:t>
      </w:r>
      <w:r w:rsidRPr="008E0099" w:rsidR="001631D6">
        <w:rPr>
          <w:lang w:val="es-PE"/>
        </w:rPr>
        <w:t>2</w:t>
      </w:r>
      <w:r w:rsidRPr="008E0099" w:rsidR="0073373B">
        <w:rPr>
          <w:lang w:val="es-PE"/>
        </w:rPr>
        <w:t>5</w:t>
      </w:r>
    </w:p>
    <w:p w:rsidRPr="008E0099" w:rsidR="008E0099" w:rsidP="008E0099" w:rsidRDefault="008E0099" w14:paraId="420D51C8" w14:textId="77777777">
      <w:pPr>
        <w:spacing w:after="200"/>
        <w:jc w:val="both"/>
        <w:outlineLvl w:val="0"/>
        <w:rPr>
          <w:b/>
          <w:bCs/>
          <w:lang w:val="es-MX"/>
        </w:rPr>
      </w:pPr>
      <w:r w:rsidRPr="008E0099">
        <w:rPr>
          <w:b/>
          <w:bCs/>
          <w:lang w:val="es-MX"/>
        </w:rPr>
        <w:t>VISTOS:</w:t>
      </w:r>
    </w:p>
    <w:p w:rsidRPr="008E0099" w:rsidR="008E0099" w:rsidP="008E0099" w:rsidRDefault="008E0099" w14:paraId="14072C51" w14:textId="2FB2310A">
      <w:pPr>
        <w:spacing w:after="200"/>
        <w:jc w:val="both"/>
        <w:rPr>
          <w:lang w:val="es-PE"/>
        </w:rPr>
      </w:pPr>
      <w:r w:rsidRPr="57C8CCB3" w:rsidR="008E0099">
        <w:rPr>
          <w:lang w:val="es-PE"/>
        </w:rPr>
        <w:t>Que, con fecha 30 de enero de 2025</w:t>
      </w:r>
      <w:bookmarkStart w:name="_Hlk107662905" w:id="0"/>
      <w:r w:rsidRPr="57C8CCB3" w:rsidR="008E0099">
        <w:rPr>
          <w:lang w:val="es-PE"/>
        </w:rPr>
        <w:t xml:space="preserve">, el señor </w:t>
      </w:r>
      <w:r w:rsidRPr="57C8CCB3" w:rsidR="2B4DA5B2">
        <w:rPr>
          <w:b w:val="1"/>
          <w:bCs w:val="1"/>
          <w:lang w:val="es-PE"/>
        </w:rPr>
        <w:t>..............................................................................</w:t>
      </w:r>
      <w:r w:rsidRPr="57C8CCB3" w:rsidR="008E0099">
        <w:rPr>
          <w:b w:val="1"/>
          <w:bCs w:val="1"/>
          <w:lang w:val="es-PE"/>
        </w:rPr>
        <w:t xml:space="preserve"> (el señor “</w:t>
      </w:r>
      <w:r w:rsidRPr="57C8CCB3" w:rsidR="30126F9F">
        <w:rPr>
          <w:b w:val="1"/>
          <w:bCs w:val="1"/>
          <w:lang w:val="es-PE"/>
        </w:rPr>
        <w:t>......................................</w:t>
      </w:r>
      <w:r w:rsidRPr="57C8CCB3" w:rsidR="008E0099">
        <w:rPr>
          <w:b w:val="1"/>
          <w:bCs w:val="1"/>
          <w:lang w:val="es-PE"/>
        </w:rPr>
        <w:t>”)</w:t>
      </w:r>
      <w:bookmarkEnd w:id="0"/>
      <w:r w:rsidRPr="57C8CCB3" w:rsidR="008E0099">
        <w:rPr>
          <w:lang w:val="es-PE"/>
        </w:rPr>
        <w:t xml:space="preserve"> interpuso un reclamo ante la Defensoría del Asegurado </w:t>
      </w:r>
      <w:r w:rsidRPr="57C8CCB3" w:rsidR="008E0099">
        <w:rPr>
          <w:b w:val="1"/>
          <w:bCs w:val="1"/>
          <w:lang w:val="es-PE"/>
        </w:rPr>
        <w:t>(“DEFASEG”</w:t>
      </w:r>
      <w:r w:rsidRPr="57C8CCB3" w:rsidR="008E0099">
        <w:rPr>
          <w:lang w:val="es-PE"/>
        </w:rPr>
        <w:t xml:space="preserve">) contra </w:t>
      </w:r>
      <w:r w:rsidRPr="57C8CCB3" w:rsidR="1EDEF7DB">
        <w:rPr>
          <w:b w:val="1"/>
          <w:bCs w:val="1"/>
          <w:color w:val="000000" w:themeColor="text1" w:themeTint="FF" w:themeShade="FF"/>
          <w:lang w:val="es-PE" w:eastAsia="es-PE"/>
        </w:rPr>
        <w:t>.................................................................................</w:t>
      </w:r>
      <w:r w:rsidRPr="57C8CCB3" w:rsidR="008E0099">
        <w:rPr>
          <w:b w:val="1"/>
          <w:bCs w:val="1"/>
          <w:color w:val="000000" w:themeColor="text1" w:themeTint="FF" w:themeShade="FF"/>
          <w:lang w:val="es-PE" w:eastAsia="es-PE"/>
        </w:rPr>
        <w:t xml:space="preserve"> (“</w:t>
      </w:r>
      <w:r w:rsidRPr="57C8CCB3" w:rsidR="1B9C17A3">
        <w:rPr>
          <w:b w:val="1"/>
          <w:bCs w:val="1"/>
          <w:color w:val="000000" w:themeColor="text1" w:themeTint="FF" w:themeShade="FF"/>
          <w:lang w:val="es-PE" w:eastAsia="es-PE"/>
        </w:rPr>
        <w:t>.............................</w:t>
      </w:r>
      <w:r w:rsidRPr="57C8CCB3" w:rsidR="008E0099">
        <w:rPr>
          <w:b w:val="1"/>
          <w:bCs w:val="1"/>
          <w:color w:val="000000" w:themeColor="text1" w:themeTint="FF" w:themeShade="FF"/>
          <w:lang w:val="es-PE" w:eastAsia="es-PE"/>
        </w:rPr>
        <w:t>”</w:t>
      </w:r>
      <w:r w:rsidRPr="57C8CCB3" w:rsidR="008E0099">
        <w:rPr>
          <w:b w:val="1"/>
          <w:bCs w:val="1"/>
          <w:lang w:val="es-MX"/>
        </w:rPr>
        <w:t xml:space="preserve">) </w:t>
      </w:r>
      <w:r w:rsidRPr="57C8CCB3" w:rsidR="008E0099">
        <w:rPr>
          <w:lang w:val="es-PE"/>
        </w:rPr>
        <w:t xml:space="preserve">para que se le otorgue cobertura con lo establecido en el Seguro de Tarjetas 360° contenido en la Póliza </w:t>
      </w:r>
      <w:r w:rsidRPr="57C8CCB3" w:rsidR="008E0099">
        <w:rPr>
          <w:lang w:val="es-PE"/>
        </w:rPr>
        <w:t>n.°</w:t>
      </w:r>
      <w:r w:rsidRPr="57C8CCB3" w:rsidR="008E0099">
        <w:rPr>
          <w:lang w:val="es-PE"/>
        </w:rPr>
        <w:t xml:space="preserve"> </w:t>
      </w:r>
      <w:r w:rsidRPr="57C8CCB3" w:rsidR="1AD499A8">
        <w:rPr>
          <w:lang w:val="es-PE"/>
        </w:rPr>
        <w:t>................</w:t>
      </w:r>
      <w:r w:rsidRPr="57C8CCB3" w:rsidR="008E0099">
        <w:rPr>
          <w:lang w:val="es-PE"/>
        </w:rPr>
        <w:t xml:space="preserve"> y el certificado </w:t>
      </w:r>
      <w:r w:rsidRPr="57C8CCB3" w:rsidR="008E0099">
        <w:rPr>
          <w:lang w:val="es-PE"/>
        </w:rPr>
        <w:t>n.°</w:t>
      </w:r>
      <w:r w:rsidRPr="57C8CCB3" w:rsidR="008E0099">
        <w:rPr>
          <w:lang w:val="es-PE"/>
        </w:rPr>
        <w:t xml:space="preserve"> </w:t>
      </w:r>
      <w:r w:rsidRPr="57C8CCB3" w:rsidR="69C1CF6A">
        <w:rPr>
          <w:lang w:val="es-PE"/>
        </w:rPr>
        <w:t>.............</w:t>
      </w:r>
      <w:r w:rsidRPr="57C8CCB3" w:rsidR="008E0099">
        <w:rPr>
          <w:lang w:val="es-PE"/>
        </w:rPr>
        <w:t xml:space="preserve"> (la “Póliza”). </w:t>
      </w:r>
    </w:p>
    <w:p w:rsidRPr="008E0099" w:rsidR="008E0099" w:rsidP="008E0099" w:rsidRDefault="008E0099" w14:paraId="723BDDEA" w14:textId="34DC405A">
      <w:pPr>
        <w:spacing w:after="200"/>
        <w:jc w:val="both"/>
        <w:rPr>
          <w:lang w:val="es-PE"/>
        </w:rPr>
      </w:pPr>
      <w:r w:rsidRPr="57C8CCB3" w:rsidR="008E0099">
        <w:rPr>
          <w:lang w:val="es-PE"/>
        </w:rPr>
        <w:t xml:space="preserve">Que, la reclamación interpuesta por el señor </w:t>
      </w:r>
      <w:r w:rsidRPr="57C8CCB3" w:rsidR="30126F9F">
        <w:rPr>
          <w:lang w:val="es-PE"/>
        </w:rPr>
        <w:t>......................................</w:t>
      </w:r>
      <w:r w:rsidRPr="57C8CCB3" w:rsidR="008E0099">
        <w:rPr>
          <w:lang w:val="es-PE"/>
        </w:rPr>
        <w:t xml:space="preserve"> se sustenta en los siguientes hechos y argumentos: </w:t>
      </w:r>
      <w:r w:rsidRPr="57C8CCB3" w:rsidR="008E0099">
        <w:rPr>
          <w:b w:val="1"/>
          <w:bCs w:val="1"/>
          <w:i w:val="1"/>
          <w:iCs w:val="1"/>
          <w:lang w:val="es-PE"/>
        </w:rPr>
        <w:t>a)</w:t>
      </w:r>
      <w:r w:rsidRPr="57C8CCB3" w:rsidR="008E0099">
        <w:rPr>
          <w:lang w:val="es-PE"/>
        </w:rPr>
        <w:t xml:space="preserve"> que, en la madrugada del 18 de agosto de 2024, el reclamante fue víctima de un asalto y robo con arma blanca mientras se encontraba a bordo de un taxi, cuando retornaba a su domicilio en Surquillo desde el distrito de Miraflores; </w:t>
      </w:r>
      <w:r w:rsidRPr="57C8CCB3" w:rsidR="008E0099">
        <w:rPr>
          <w:b w:val="1"/>
          <w:bCs w:val="1"/>
          <w:i w:val="1"/>
          <w:iCs w:val="1"/>
          <w:lang w:val="es-PE"/>
        </w:rPr>
        <w:t>b)</w:t>
      </w:r>
      <w:r w:rsidRPr="57C8CCB3" w:rsidR="008E0099">
        <w:rPr>
          <w:lang w:val="es-PE"/>
        </w:rPr>
        <w:t xml:space="preserve"> que, durante el asalto, el asegurado se vio obligado a desbloquear su teléfono móvil y a entregar su billetera, reloj, lentes y demás pertenencias; </w:t>
      </w:r>
      <w:r w:rsidRPr="57C8CCB3" w:rsidR="008E0099">
        <w:rPr>
          <w:b w:val="1"/>
          <w:bCs w:val="1"/>
          <w:i w:val="1"/>
          <w:iCs w:val="1"/>
          <w:lang w:val="es-PE"/>
        </w:rPr>
        <w:t>c)</w:t>
      </w:r>
      <w:r w:rsidRPr="57C8CCB3" w:rsidR="008E0099">
        <w:rPr>
          <w:lang w:val="es-PE"/>
        </w:rPr>
        <w:t xml:space="preserve"> que, producto del asalto, el señor </w:t>
      </w:r>
      <w:r w:rsidRPr="57C8CCB3" w:rsidR="30126F9F">
        <w:rPr>
          <w:lang w:val="es-PE"/>
        </w:rPr>
        <w:t>......................................</w:t>
      </w:r>
      <w:r w:rsidRPr="57C8CCB3" w:rsidR="008E0099">
        <w:rPr>
          <w:lang w:val="es-PE"/>
        </w:rPr>
        <w:t xml:space="preserve"> resultó con un pequeño corte en la garganta; </w:t>
      </w:r>
      <w:r w:rsidRPr="57C8CCB3" w:rsidR="008E0099">
        <w:rPr>
          <w:b w:val="1"/>
          <w:bCs w:val="1"/>
          <w:i w:val="1"/>
          <w:iCs w:val="1"/>
          <w:lang w:val="es-PE"/>
        </w:rPr>
        <w:t>d)</w:t>
      </w:r>
      <w:r w:rsidRPr="57C8CCB3" w:rsidR="008E0099">
        <w:rPr>
          <w:lang w:val="es-PE"/>
        </w:rPr>
        <w:t xml:space="preserve"> que, cuando retornó a su domicilio procedió a bloquear de sus tarjetas, además del teléfono móvil que había sido clonado, desde el cual se realizaron las operaciones que son materia de la solicitud de cobertura a la aseguradora; </w:t>
      </w:r>
      <w:r w:rsidRPr="57C8CCB3" w:rsidR="008E0099">
        <w:rPr>
          <w:b w:val="1"/>
          <w:bCs w:val="1"/>
          <w:i w:val="1"/>
          <w:iCs w:val="1"/>
          <w:lang w:val="es-PE"/>
        </w:rPr>
        <w:t>e</w:t>
      </w:r>
      <w:r w:rsidRPr="57C8CCB3" w:rsidR="008E0099">
        <w:rPr>
          <w:b w:val="1"/>
          <w:bCs w:val="1"/>
          <w:lang w:val="es-PE"/>
        </w:rPr>
        <w:t>)</w:t>
      </w:r>
      <w:r w:rsidRPr="57C8CCB3" w:rsidR="008E0099">
        <w:rPr>
          <w:lang w:val="es-PE"/>
        </w:rPr>
        <w:t xml:space="preserve"> una vez reportado el caso a </w:t>
      </w:r>
      <w:r w:rsidRPr="57C8CCB3" w:rsidR="1B9C17A3">
        <w:rPr>
          <w:lang w:val="es-PE"/>
        </w:rPr>
        <w:t>.............................</w:t>
      </w:r>
      <w:r w:rsidRPr="57C8CCB3" w:rsidR="008E0099">
        <w:rPr>
          <w:lang w:val="es-PE"/>
        </w:rPr>
        <w:t xml:space="preserve">, se le solicitó al asegurado alcanzar los resultados de la investigación fiscal y presentarse para que se le realizase una prueba de polígrafo; </w:t>
      </w:r>
      <w:r w:rsidRPr="57C8CCB3" w:rsidR="008E0099">
        <w:rPr>
          <w:b w:val="1"/>
          <w:bCs w:val="1"/>
          <w:i w:val="1"/>
          <w:iCs w:val="1"/>
          <w:lang w:val="es-PE"/>
        </w:rPr>
        <w:t>f)</w:t>
      </w:r>
      <w:r w:rsidRPr="57C8CCB3" w:rsidR="008E0099">
        <w:rPr>
          <w:lang w:val="es-PE"/>
        </w:rPr>
        <w:t xml:space="preserve"> que, </w:t>
      </w:r>
      <w:r w:rsidRPr="57C8CCB3" w:rsidR="1B9C17A3">
        <w:rPr>
          <w:lang w:val="es-PE"/>
        </w:rPr>
        <w:t>.............................</w:t>
      </w:r>
      <w:r w:rsidRPr="57C8CCB3" w:rsidR="008E0099">
        <w:rPr>
          <w:lang w:val="es-PE"/>
        </w:rPr>
        <w:t xml:space="preserve"> con fecha 19 de septiembre de 2024, rechazó el siniestro bajo el argumento que se trataba de un intento de fraude, adicionalmente,  se dio por resuelto el contrato de seguro; y, </w:t>
      </w:r>
      <w:r w:rsidRPr="57C8CCB3" w:rsidR="008E0099">
        <w:rPr>
          <w:b w:val="1"/>
          <w:bCs w:val="1"/>
          <w:i w:val="1"/>
          <w:iCs w:val="1"/>
          <w:lang w:val="es-PE"/>
        </w:rPr>
        <w:t xml:space="preserve">g) </w:t>
      </w:r>
      <w:r w:rsidRPr="57C8CCB3" w:rsidR="008E0099">
        <w:rPr>
          <w:lang w:val="es-PE"/>
        </w:rPr>
        <w:t xml:space="preserve">que, el señor </w:t>
      </w:r>
      <w:r w:rsidRPr="57C8CCB3" w:rsidR="30126F9F">
        <w:rPr>
          <w:lang w:val="es-PE"/>
        </w:rPr>
        <w:t>......................................</w:t>
      </w:r>
      <w:r w:rsidRPr="57C8CCB3" w:rsidR="008E0099">
        <w:rPr>
          <w:lang w:val="es-PE"/>
        </w:rPr>
        <w:t xml:space="preserve"> solicita que por el siniestro se le reconozca una indemnización ascendente a la suma de PEN 18 082 (dieciocho mil ochenta y dos soles y 00/100) desglosados de la siguiente manera: g.1) por las compras no reconocidas realizadas desde su equipo clonado, PEN 12 879 (doce mil ochocientos setentainueve soles y 00/100); g.2) compensación por intereses generados y pagados a Interbank, intereses generados con el Banco Interamericano de Finanzas (“</w:t>
      </w:r>
      <w:r w:rsidRPr="57C8CCB3" w:rsidR="008E0099">
        <w:rPr>
          <w:lang w:val="es-PE"/>
        </w:rPr>
        <w:t>Banbif</w:t>
      </w:r>
      <w:r w:rsidRPr="57C8CCB3" w:rsidR="008E0099">
        <w:rPr>
          <w:lang w:val="es-PE"/>
        </w:rPr>
        <w:t xml:space="preserve">”) por el préstamo facilitado para poder liquidar estos consumos, PEN 5 121 (cinco mil ciento veintiún nuevos soles y 00/100); g.3) devolución por los cobros que se continuaron haciendo por el seguro360 pese a que </w:t>
      </w:r>
      <w:r w:rsidRPr="57C8CCB3" w:rsidR="1B9C17A3">
        <w:rPr>
          <w:lang w:val="es-PE"/>
        </w:rPr>
        <w:t>.............................</w:t>
      </w:r>
      <w:r w:rsidRPr="57C8CCB3" w:rsidR="008E0099">
        <w:rPr>
          <w:lang w:val="es-PE"/>
        </w:rPr>
        <w:t xml:space="preserve"> resolvió el contrato, PEN 82 (ochenta y dos soles y 00/100).</w:t>
      </w:r>
    </w:p>
    <w:p w:rsidRPr="008E0099" w:rsidR="008E0099" w:rsidP="008E0099" w:rsidRDefault="008E0099" w14:paraId="7DBD4693" w14:textId="79B90F4B">
      <w:pPr>
        <w:spacing w:after="200"/>
        <w:jc w:val="both"/>
        <w:rPr>
          <w:lang w:val="es-PE"/>
        </w:rPr>
      </w:pPr>
      <w:r w:rsidRPr="57C8CCB3" w:rsidR="008E0099">
        <w:rPr>
          <w:lang w:val="es-PE"/>
        </w:rPr>
        <w:t xml:space="preserve">Que, con su reclamación, el señor </w:t>
      </w:r>
      <w:r w:rsidRPr="57C8CCB3" w:rsidR="30126F9F">
        <w:rPr>
          <w:lang w:val="es-PE"/>
        </w:rPr>
        <w:t>......................................</w:t>
      </w:r>
      <w:r w:rsidRPr="57C8CCB3" w:rsidR="008E0099">
        <w:rPr>
          <w:lang w:val="es-PE"/>
        </w:rPr>
        <w:t xml:space="preserve"> presenta los siguientes documentos: </w:t>
      </w:r>
      <w:r w:rsidRPr="57C8CCB3" w:rsidR="008E0099">
        <w:rPr>
          <w:b w:val="1"/>
          <w:bCs w:val="1"/>
          <w:i w:val="1"/>
          <w:iCs w:val="1"/>
          <w:lang w:val="es-PE"/>
        </w:rPr>
        <w:t xml:space="preserve">(i) </w:t>
      </w:r>
      <w:r w:rsidRPr="57C8CCB3" w:rsidR="008E0099">
        <w:rPr>
          <w:lang w:val="es-PE"/>
        </w:rPr>
        <w:t>copia del documento nacional de identidad del reclamante;</w:t>
      </w:r>
      <w:r w:rsidRPr="57C8CCB3" w:rsidR="008E0099">
        <w:rPr>
          <w:b w:val="1"/>
          <w:bCs w:val="1"/>
          <w:i w:val="1"/>
          <w:iCs w:val="1"/>
          <w:lang w:val="es-PE"/>
        </w:rPr>
        <w:t xml:space="preserve"> (</w:t>
      </w:r>
      <w:r w:rsidRPr="57C8CCB3" w:rsidR="008E0099">
        <w:rPr>
          <w:b w:val="1"/>
          <w:bCs w:val="1"/>
          <w:i w:val="1"/>
          <w:iCs w:val="1"/>
          <w:lang w:val="es-PE"/>
        </w:rPr>
        <w:t>ii</w:t>
      </w:r>
      <w:r w:rsidRPr="57C8CCB3" w:rsidR="008E0099">
        <w:rPr>
          <w:b w:val="1"/>
          <w:bCs w:val="1"/>
          <w:i w:val="1"/>
          <w:iCs w:val="1"/>
          <w:lang w:val="es-PE"/>
        </w:rPr>
        <w:t>)</w:t>
      </w:r>
      <w:r w:rsidRPr="57C8CCB3" w:rsidR="008E0099">
        <w:rPr>
          <w:lang w:val="es-PE"/>
        </w:rPr>
        <w:t xml:space="preserve"> copia de la comunicación </w:t>
      </w:r>
      <w:r w:rsidRPr="57C8CCB3" w:rsidR="008E0099">
        <w:rPr>
          <w:lang w:val="es-PE"/>
        </w:rPr>
        <w:t>n.°</w:t>
      </w:r>
      <w:r w:rsidRPr="57C8CCB3" w:rsidR="008E0099">
        <w:rPr>
          <w:lang w:val="es-PE"/>
        </w:rPr>
        <w:t xml:space="preserve"> </w:t>
      </w:r>
      <w:r w:rsidRPr="57C8CCB3" w:rsidR="326A8FE5">
        <w:rPr>
          <w:lang w:val="es-PE"/>
        </w:rPr>
        <w:t>........................................</w:t>
      </w:r>
      <w:r w:rsidRPr="57C8CCB3" w:rsidR="008E0099">
        <w:rPr>
          <w:lang w:val="es-PE"/>
        </w:rPr>
        <w:t xml:space="preserve"> de fecha 19 de septiembre del 2024, donde </w:t>
      </w:r>
      <w:r w:rsidRPr="57C8CCB3" w:rsidR="1B9C17A3">
        <w:rPr>
          <w:lang w:val="es-PE"/>
        </w:rPr>
        <w:t>.............................</w:t>
      </w:r>
      <w:r w:rsidRPr="57C8CCB3" w:rsidR="008E0099">
        <w:rPr>
          <w:lang w:val="es-PE"/>
        </w:rPr>
        <w:t xml:space="preserve"> informa al asegurado que su solicitud carece de cobertura, asimismo informa que el contrato se encuentra resuelto, habiendo perdido cualquier derecho emanado del mismo (“Carta de rechazo”); </w:t>
      </w:r>
      <w:r w:rsidRPr="57C8CCB3" w:rsidR="008E0099">
        <w:rPr>
          <w:b w:val="1"/>
          <w:bCs w:val="1"/>
          <w:i w:val="1"/>
          <w:iCs w:val="1"/>
          <w:lang w:val="es-PE"/>
        </w:rPr>
        <w:t>(</w:t>
      </w:r>
      <w:r w:rsidRPr="57C8CCB3" w:rsidR="008E0099">
        <w:rPr>
          <w:b w:val="1"/>
          <w:bCs w:val="1"/>
          <w:i w:val="1"/>
          <w:iCs w:val="1"/>
          <w:lang w:val="es-PE"/>
        </w:rPr>
        <w:t>iii</w:t>
      </w:r>
      <w:r w:rsidRPr="57C8CCB3" w:rsidR="008E0099">
        <w:rPr>
          <w:b w:val="1"/>
          <w:bCs w:val="1"/>
          <w:i w:val="1"/>
          <w:iCs w:val="1"/>
          <w:lang w:val="es-PE"/>
        </w:rPr>
        <w:t>)</w:t>
      </w:r>
      <w:r w:rsidRPr="57C8CCB3" w:rsidR="008E0099">
        <w:rPr>
          <w:lang w:val="es-PE"/>
        </w:rPr>
        <w:t xml:space="preserve"> copia de la comunicación </w:t>
      </w:r>
      <w:r w:rsidRPr="57C8CCB3" w:rsidR="008E0099">
        <w:rPr>
          <w:lang w:val="es-PE"/>
        </w:rPr>
        <w:t>n.°</w:t>
      </w:r>
      <w:r w:rsidRPr="57C8CCB3" w:rsidR="008E0099">
        <w:rPr>
          <w:lang w:val="es-PE"/>
        </w:rPr>
        <w:t xml:space="preserve"> </w:t>
      </w:r>
      <w:r w:rsidRPr="57C8CCB3" w:rsidR="7CE5B2E8">
        <w:rPr>
          <w:lang w:val="es-PE"/>
        </w:rPr>
        <w:t>........................................</w:t>
      </w:r>
      <w:r w:rsidRPr="57C8CCB3" w:rsidR="008E0099">
        <w:rPr>
          <w:lang w:val="es-PE"/>
        </w:rPr>
        <w:t xml:space="preserve">, de fecha 5 de septiembre del 2024, a través de la cual </w:t>
      </w:r>
      <w:r w:rsidRPr="57C8CCB3" w:rsidR="1B9C17A3">
        <w:rPr>
          <w:lang w:val="es-PE"/>
        </w:rPr>
        <w:t>.............................</w:t>
      </w:r>
      <w:r w:rsidRPr="57C8CCB3" w:rsidR="008E0099">
        <w:rPr>
          <w:lang w:val="es-PE"/>
        </w:rPr>
        <w:t xml:space="preserve"> informa al asegurado que será necesario realizar una entrevista personal a fin de obtener aclaraciones y precisiones acerca de las circunstancias en las que ocurrió el siniestro; </w:t>
      </w:r>
      <w:r w:rsidRPr="57C8CCB3" w:rsidR="008E0099">
        <w:rPr>
          <w:b w:val="1"/>
          <w:bCs w:val="1"/>
          <w:i w:val="1"/>
          <w:iCs w:val="1"/>
          <w:lang w:val="es-PE"/>
        </w:rPr>
        <w:t>(</w:t>
      </w:r>
      <w:r w:rsidRPr="57C8CCB3" w:rsidR="008E0099">
        <w:rPr>
          <w:b w:val="1"/>
          <w:bCs w:val="1"/>
          <w:i w:val="1"/>
          <w:iCs w:val="1"/>
          <w:lang w:val="es-PE"/>
        </w:rPr>
        <w:t>iv</w:t>
      </w:r>
      <w:r w:rsidRPr="57C8CCB3" w:rsidR="008E0099">
        <w:rPr>
          <w:b w:val="1"/>
          <w:bCs w:val="1"/>
          <w:i w:val="1"/>
          <w:iCs w:val="1"/>
          <w:lang w:val="es-PE"/>
        </w:rPr>
        <w:t xml:space="preserve">) </w:t>
      </w:r>
      <w:r w:rsidRPr="57C8CCB3" w:rsidR="008E0099">
        <w:rPr>
          <w:lang w:val="es-PE"/>
        </w:rPr>
        <w:t xml:space="preserve">copia de la constancia de retiro sin tarjeta del Banco Bilbao Vizcaya Argentaria (“BBVA”) por la suma de PEN 100 (cien soles y 00/100) del 18 de agosto de 2024; </w:t>
      </w:r>
      <w:r w:rsidRPr="57C8CCB3" w:rsidR="008E0099">
        <w:rPr>
          <w:b w:val="1"/>
          <w:bCs w:val="1"/>
          <w:i w:val="1"/>
          <w:iCs w:val="1"/>
          <w:lang w:val="es-PE"/>
        </w:rPr>
        <w:t>(v)</w:t>
      </w:r>
      <w:r w:rsidRPr="57C8CCB3" w:rsidR="008E0099">
        <w:rPr>
          <w:lang w:val="es-PE"/>
        </w:rPr>
        <w:t xml:space="preserve"> copia del mensaje de Telefónica al señor </w:t>
      </w:r>
      <w:r w:rsidRPr="57C8CCB3" w:rsidR="30126F9F">
        <w:rPr>
          <w:lang w:val="es-PE"/>
        </w:rPr>
        <w:t>......................................</w:t>
      </w:r>
      <w:r w:rsidRPr="57C8CCB3" w:rsidR="008E0099">
        <w:rPr>
          <w:lang w:val="es-PE"/>
        </w:rPr>
        <w:t xml:space="preserve"> </w:t>
      </w:r>
      <w:r w:rsidRPr="57C8CCB3" w:rsidR="008E0099">
        <w:rPr>
          <w:lang w:val="es-PE"/>
        </w:rPr>
        <w:t xml:space="preserve">donde señala que el 18 de agosto de 2024 su equipo móvil ha sido detectado como duplicado o clonado y por lo tanto será bloqueado; </w:t>
      </w:r>
      <w:r w:rsidRPr="57C8CCB3" w:rsidR="008E0099">
        <w:rPr>
          <w:b w:val="1"/>
          <w:bCs w:val="1"/>
          <w:i w:val="1"/>
          <w:iCs w:val="1"/>
          <w:lang w:val="es-PE"/>
        </w:rPr>
        <w:t>(vi)</w:t>
      </w:r>
      <w:r w:rsidRPr="57C8CCB3" w:rsidR="008E0099">
        <w:rPr>
          <w:lang w:val="es-PE"/>
        </w:rPr>
        <w:t xml:space="preserve"> copia de la constancia de pago del 27 de noviembre en favor de </w:t>
      </w:r>
      <w:r w:rsidRPr="57C8CCB3" w:rsidR="1B9C17A3">
        <w:rPr>
          <w:lang w:val="es-PE"/>
        </w:rPr>
        <w:t>.............................</w:t>
      </w:r>
      <w:r w:rsidRPr="57C8CCB3" w:rsidR="008E0099">
        <w:rPr>
          <w:lang w:val="es-PE"/>
        </w:rPr>
        <w:t xml:space="preserve"> por la suma de PEN 20 (veinte soles y 00/100); </w:t>
      </w:r>
      <w:r w:rsidRPr="57C8CCB3" w:rsidR="008E0099">
        <w:rPr>
          <w:b w:val="1"/>
          <w:bCs w:val="1"/>
          <w:i w:val="1"/>
          <w:iCs w:val="1"/>
          <w:lang w:val="es-PE"/>
        </w:rPr>
        <w:t>(</w:t>
      </w:r>
      <w:r w:rsidRPr="57C8CCB3" w:rsidR="008E0099">
        <w:rPr>
          <w:b w:val="1"/>
          <w:bCs w:val="1"/>
          <w:i w:val="1"/>
          <w:iCs w:val="1"/>
          <w:lang w:val="es-PE"/>
        </w:rPr>
        <w:t>vii</w:t>
      </w:r>
      <w:r w:rsidRPr="57C8CCB3" w:rsidR="008E0099">
        <w:rPr>
          <w:b w:val="1"/>
          <w:bCs w:val="1"/>
          <w:i w:val="1"/>
          <w:iCs w:val="1"/>
          <w:lang w:val="es-PE"/>
        </w:rPr>
        <w:t>)</w:t>
      </w:r>
      <w:r w:rsidRPr="57C8CCB3" w:rsidR="008E0099">
        <w:rPr>
          <w:lang w:val="es-PE"/>
        </w:rPr>
        <w:t xml:space="preserve"> copia de pantalla de </w:t>
      </w:r>
      <w:r w:rsidRPr="57C8CCB3" w:rsidR="008E0099">
        <w:rPr>
          <w:lang w:val="es-PE"/>
        </w:rPr>
        <w:t xml:space="preserve">bienvenida de Apple </w:t>
      </w:r>
      <w:r w:rsidRPr="57C8CCB3" w:rsidR="008E0099">
        <w:rPr>
          <w:lang w:val="es-PE"/>
        </w:rPr>
        <w:t>Pay</w:t>
      </w:r>
      <w:r w:rsidRPr="57C8CCB3" w:rsidR="008E0099">
        <w:rPr>
          <w:lang w:val="es-PE"/>
        </w:rPr>
        <w:t xml:space="preserve">; </w:t>
      </w:r>
      <w:r w:rsidRPr="57C8CCB3" w:rsidR="008E0099">
        <w:rPr>
          <w:b w:val="1"/>
          <w:bCs w:val="1"/>
          <w:i w:val="1"/>
          <w:iCs w:val="1"/>
          <w:lang w:val="es-PE"/>
        </w:rPr>
        <w:t>(</w:t>
      </w:r>
      <w:r w:rsidRPr="57C8CCB3" w:rsidR="008E0099">
        <w:rPr>
          <w:b w:val="1"/>
          <w:bCs w:val="1"/>
          <w:i w:val="1"/>
          <w:iCs w:val="1"/>
          <w:lang w:val="es-PE"/>
        </w:rPr>
        <w:t>viii</w:t>
      </w:r>
      <w:r w:rsidRPr="57C8CCB3" w:rsidR="008E0099">
        <w:rPr>
          <w:b w:val="1"/>
          <w:bCs w:val="1"/>
          <w:i w:val="1"/>
          <w:iCs w:val="1"/>
          <w:lang w:val="es-PE"/>
        </w:rPr>
        <w:t>)</w:t>
      </w:r>
      <w:r w:rsidRPr="57C8CCB3" w:rsidR="008E0099">
        <w:rPr>
          <w:lang w:val="es-PE"/>
        </w:rPr>
        <w:t xml:space="preserve"> copia de la constancia de pago de la tarjeta de crédito Amex Black de fecha 18 de agosto de 2024 por la suma de PEN 2 999 (dos mil novecientos noventa y nueve soles y 00/100); </w:t>
      </w:r>
      <w:r w:rsidRPr="57C8CCB3" w:rsidR="008E0099">
        <w:rPr>
          <w:b w:val="1"/>
          <w:bCs w:val="1"/>
          <w:i w:val="1"/>
          <w:iCs w:val="1"/>
          <w:lang w:val="es-PE"/>
        </w:rPr>
        <w:t>(</w:t>
      </w:r>
      <w:r w:rsidRPr="57C8CCB3" w:rsidR="008E0099">
        <w:rPr>
          <w:b w:val="1"/>
          <w:bCs w:val="1"/>
          <w:i w:val="1"/>
          <w:iCs w:val="1"/>
          <w:lang w:val="es-PE"/>
        </w:rPr>
        <w:t>ix</w:t>
      </w:r>
      <w:r w:rsidRPr="57C8CCB3" w:rsidR="008E0099">
        <w:rPr>
          <w:b w:val="1"/>
          <w:bCs w:val="1"/>
          <w:i w:val="1"/>
          <w:iCs w:val="1"/>
          <w:lang w:val="es-PE"/>
        </w:rPr>
        <w:t>)</w:t>
      </w:r>
      <w:r w:rsidRPr="57C8CCB3" w:rsidR="008E0099">
        <w:rPr>
          <w:lang w:val="es-PE"/>
        </w:rPr>
        <w:t xml:space="preserve"> copia de la constancia de pago de la tarjeta de crédito Amex Black del fecha 18 de agosto de 2024 por la suma de PEN 4 990 (cuatro mil novecientos noventa soles y 00/100); </w:t>
      </w:r>
      <w:r w:rsidRPr="57C8CCB3" w:rsidR="008E0099">
        <w:rPr>
          <w:b w:val="1"/>
          <w:bCs w:val="1"/>
          <w:i w:val="1"/>
          <w:iCs w:val="1"/>
          <w:lang w:val="es-PE"/>
        </w:rPr>
        <w:t>(x)</w:t>
      </w:r>
      <w:r w:rsidRPr="57C8CCB3" w:rsidR="008E0099">
        <w:rPr>
          <w:lang w:val="es-PE"/>
        </w:rPr>
        <w:t xml:space="preserve"> copia de la comunicación sin número y sin fecha donde se informa al señor </w:t>
      </w:r>
      <w:r w:rsidRPr="57C8CCB3" w:rsidR="30126F9F">
        <w:rPr>
          <w:lang w:val="es-PE"/>
        </w:rPr>
        <w:t>......................................</w:t>
      </w:r>
      <w:r w:rsidRPr="57C8CCB3" w:rsidR="008E0099">
        <w:rPr>
          <w:lang w:val="es-PE"/>
        </w:rPr>
        <w:t xml:space="preserve"> el detalle de consumo de la tarjeta de crédito Interbank por PEN 4,890 (cuatro mil ochocientos noventa soles y 00/100) el 18 de agosto de 2024; </w:t>
      </w:r>
      <w:r w:rsidRPr="57C8CCB3" w:rsidR="008E0099">
        <w:rPr>
          <w:b w:val="1"/>
          <w:bCs w:val="1"/>
          <w:i w:val="1"/>
          <w:iCs w:val="1"/>
          <w:lang w:val="es-PE"/>
        </w:rPr>
        <w:t>(xi)</w:t>
      </w:r>
      <w:r w:rsidRPr="57C8CCB3" w:rsidR="008E0099">
        <w:rPr>
          <w:lang w:val="es-PE"/>
        </w:rPr>
        <w:t xml:space="preserve"> copia de la comunicación sin número y sin fecha donde se informa al señor </w:t>
      </w:r>
      <w:r w:rsidRPr="57C8CCB3" w:rsidR="30126F9F">
        <w:rPr>
          <w:lang w:val="es-PE"/>
        </w:rPr>
        <w:t>......................................</w:t>
      </w:r>
      <w:r w:rsidRPr="57C8CCB3" w:rsidR="008E0099">
        <w:rPr>
          <w:lang w:val="es-PE"/>
        </w:rPr>
        <w:t xml:space="preserve"> el detalle de tres consumos de la tarjeta de crédito Interbank por la suma de PEN 12 879 (doce mil ochocientos setenta y nueve soles y 00/100) el 18 de agosto de 2024; </w:t>
      </w:r>
      <w:r w:rsidRPr="57C8CCB3" w:rsidR="008E0099">
        <w:rPr>
          <w:b w:val="1"/>
          <w:bCs w:val="1"/>
          <w:i w:val="1"/>
          <w:iCs w:val="1"/>
          <w:lang w:val="es-PE"/>
        </w:rPr>
        <w:t>(</w:t>
      </w:r>
      <w:r w:rsidRPr="57C8CCB3" w:rsidR="008E0099">
        <w:rPr>
          <w:b w:val="1"/>
          <w:bCs w:val="1"/>
          <w:i w:val="1"/>
          <w:iCs w:val="1"/>
          <w:lang w:val="es-PE"/>
        </w:rPr>
        <w:t>xii</w:t>
      </w:r>
      <w:r w:rsidRPr="57C8CCB3" w:rsidR="008E0099">
        <w:rPr>
          <w:b w:val="1"/>
          <w:bCs w:val="1"/>
          <w:i w:val="1"/>
          <w:iCs w:val="1"/>
          <w:lang w:val="es-PE"/>
        </w:rPr>
        <w:t>)</w:t>
      </w:r>
      <w:r w:rsidRPr="57C8CCB3" w:rsidR="008E0099">
        <w:rPr>
          <w:lang w:val="es-PE"/>
        </w:rPr>
        <w:t xml:space="preserve"> copia de la comunicación del 20 de agosto de 2024 del BBVA al señor </w:t>
      </w:r>
      <w:r w:rsidRPr="57C8CCB3" w:rsidR="30126F9F">
        <w:rPr>
          <w:lang w:val="es-PE"/>
        </w:rPr>
        <w:t>......................................</w:t>
      </w:r>
      <w:r w:rsidRPr="57C8CCB3" w:rsidR="008E0099">
        <w:rPr>
          <w:lang w:val="es-PE"/>
        </w:rPr>
        <w:t xml:space="preserve"> informando que han revisado detalladamente su reclamo del día 19 de agosto 2024 y que el caso se ha resuelto a su favor, procediendo con el abono de PEN 100 soles a su cuenta de ahorro; </w:t>
      </w:r>
      <w:r w:rsidRPr="57C8CCB3" w:rsidR="008E0099">
        <w:rPr>
          <w:b w:val="1"/>
          <w:bCs w:val="1"/>
          <w:i w:val="1"/>
          <w:iCs w:val="1"/>
          <w:lang w:val="es-PE"/>
        </w:rPr>
        <w:t>(</w:t>
      </w:r>
      <w:r w:rsidRPr="57C8CCB3" w:rsidR="008E0099">
        <w:rPr>
          <w:b w:val="1"/>
          <w:bCs w:val="1"/>
          <w:i w:val="1"/>
          <w:iCs w:val="1"/>
          <w:lang w:val="es-PE"/>
        </w:rPr>
        <w:t>xiii</w:t>
      </w:r>
      <w:r w:rsidRPr="57C8CCB3" w:rsidR="008E0099">
        <w:rPr>
          <w:b w:val="1"/>
          <w:bCs w:val="1"/>
          <w:i w:val="1"/>
          <w:iCs w:val="1"/>
          <w:lang w:val="es-PE"/>
        </w:rPr>
        <w:t>)</w:t>
      </w:r>
      <w:r w:rsidRPr="57C8CCB3" w:rsidR="008E0099">
        <w:rPr>
          <w:lang w:val="es-PE"/>
        </w:rPr>
        <w:t xml:space="preserve"> copia de la pantalla de trámite de duplicado de vía web de RENIEC del documento nacional de identidad del reclamante; </w:t>
      </w:r>
      <w:r w:rsidRPr="57C8CCB3" w:rsidR="008E0099">
        <w:rPr>
          <w:b w:val="1"/>
          <w:bCs w:val="1"/>
          <w:i w:val="1"/>
          <w:iCs w:val="1"/>
          <w:lang w:val="es-PE"/>
        </w:rPr>
        <w:t>(</w:t>
      </w:r>
      <w:r w:rsidRPr="57C8CCB3" w:rsidR="008E0099">
        <w:rPr>
          <w:b w:val="1"/>
          <w:bCs w:val="1"/>
          <w:i w:val="1"/>
          <w:iCs w:val="1"/>
          <w:lang w:val="es-PE"/>
        </w:rPr>
        <w:t>xiv</w:t>
      </w:r>
      <w:r w:rsidRPr="57C8CCB3" w:rsidR="008E0099">
        <w:rPr>
          <w:b w:val="1"/>
          <w:bCs w:val="1"/>
          <w:i w:val="1"/>
          <w:iCs w:val="1"/>
          <w:lang w:val="es-PE"/>
        </w:rPr>
        <w:t>)</w:t>
      </w:r>
      <w:r w:rsidRPr="57C8CCB3" w:rsidR="008E0099">
        <w:rPr>
          <w:lang w:val="es-PE"/>
        </w:rPr>
        <w:t xml:space="preserve">  copia del aviso de bloqueo de Interbank APP, Banca por internet y Money Exchange de Interbank desde el canal de banca telefónica el 18 de agosto de 2024; </w:t>
      </w:r>
      <w:r w:rsidRPr="57C8CCB3" w:rsidR="008E0099">
        <w:rPr>
          <w:b w:val="1"/>
          <w:bCs w:val="1"/>
          <w:i w:val="1"/>
          <w:iCs w:val="1"/>
          <w:lang w:val="es-PE"/>
        </w:rPr>
        <w:t>(</w:t>
      </w:r>
      <w:r w:rsidRPr="57C8CCB3" w:rsidR="008E0099">
        <w:rPr>
          <w:b w:val="1"/>
          <w:bCs w:val="1"/>
          <w:i w:val="1"/>
          <w:iCs w:val="1"/>
          <w:lang w:val="es-PE"/>
        </w:rPr>
        <w:t>xv</w:t>
      </w:r>
      <w:r w:rsidRPr="57C8CCB3" w:rsidR="008E0099">
        <w:rPr>
          <w:b w:val="1"/>
          <w:bCs w:val="1"/>
          <w:i w:val="1"/>
          <w:iCs w:val="1"/>
          <w:lang w:val="es-PE"/>
        </w:rPr>
        <w:t>)</w:t>
      </w:r>
      <w:r w:rsidRPr="57C8CCB3" w:rsidR="008E0099">
        <w:rPr>
          <w:lang w:val="es-PE"/>
        </w:rPr>
        <w:t xml:space="preserve"> copia de la constancia de bloqueo de tarjeta de débito y tarjeta de crédito de </w:t>
      </w:r>
      <w:r w:rsidRPr="57C8CCB3" w:rsidR="008E0099">
        <w:rPr>
          <w:lang w:val="es-PE"/>
        </w:rPr>
        <w:t>Interbak</w:t>
      </w:r>
      <w:r w:rsidRPr="57C8CCB3" w:rsidR="008E0099">
        <w:rPr>
          <w:lang w:val="es-PE"/>
        </w:rPr>
        <w:t xml:space="preserve"> desde banca telefónica del 18 de agosto de 2024; </w:t>
      </w:r>
      <w:r w:rsidRPr="57C8CCB3" w:rsidR="008E0099">
        <w:rPr>
          <w:b w:val="1"/>
          <w:bCs w:val="1"/>
          <w:i w:val="1"/>
          <w:iCs w:val="1"/>
          <w:lang w:val="es-PE"/>
        </w:rPr>
        <w:t>(</w:t>
      </w:r>
      <w:r w:rsidRPr="57C8CCB3" w:rsidR="008E0099">
        <w:rPr>
          <w:b w:val="1"/>
          <w:bCs w:val="1"/>
          <w:i w:val="1"/>
          <w:iCs w:val="1"/>
          <w:lang w:val="es-PE"/>
        </w:rPr>
        <w:t>xvi</w:t>
      </w:r>
      <w:r w:rsidRPr="57C8CCB3" w:rsidR="008E0099">
        <w:rPr>
          <w:b w:val="1"/>
          <w:bCs w:val="1"/>
          <w:i w:val="1"/>
          <w:iCs w:val="1"/>
          <w:lang w:val="es-PE"/>
        </w:rPr>
        <w:t>)</w:t>
      </w:r>
      <w:r w:rsidRPr="57C8CCB3" w:rsidR="008E0099">
        <w:rPr>
          <w:lang w:val="es-PE"/>
        </w:rPr>
        <w:t xml:space="preserve"> copia de la notificación de bloqueo de tarjeta de débito y tarjeta de crédito de Scotiabank del 18 de agosto de 2024; </w:t>
      </w:r>
      <w:r w:rsidRPr="57C8CCB3" w:rsidR="008E0099">
        <w:rPr>
          <w:b w:val="1"/>
          <w:bCs w:val="1"/>
          <w:i w:val="1"/>
          <w:iCs w:val="1"/>
          <w:lang w:val="es-PE"/>
        </w:rPr>
        <w:t>(</w:t>
      </w:r>
      <w:r w:rsidRPr="57C8CCB3" w:rsidR="008E0099">
        <w:rPr>
          <w:b w:val="1"/>
          <w:bCs w:val="1"/>
          <w:i w:val="1"/>
          <w:iCs w:val="1"/>
          <w:lang w:val="es-PE"/>
        </w:rPr>
        <w:t>xvii</w:t>
      </w:r>
      <w:r w:rsidRPr="57C8CCB3" w:rsidR="008E0099">
        <w:rPr>
          <w:b w:val="1"/>
          <w:bCs w:val="1"/>
          <w:i w:val="1"/>
          <w:iCs w:val="1"/>
          <w:lang w:val="es-PE"/>
        </w:rPr>
        <w:t>)</w:t>
      </w:r>
      <w:r w:rsidRPr="57C8CCB3" w:rsidR="008E0099">
        <w:rPr>
          <w:lang w:val="es-PE"/>
        </w:rPr>
        <w:t xml:space="preserve"> copia del aviso de bloqueo de tarjeta de débito y tarjeta de crédito del Banco Falabella del 18 de agosto de 2024; </w:t>
      </w:r>
      <w:r w:rsidRPr="57C8CCB3" w:rsidR="008E0099">
        <w:rPr>
          <w:b w:val="1"/>
          <w:bCs w:val="1"/>
          <w:i w:val="1"/>
          <w:iCs w:val="1"/>
          <w:lang w:val="es-PE"/>
        </w:rPr>
        <w:t>(</w:t>
      </w:r>
      <w:r w:rsidRPr="57C8CCB3" w:rsidR="008E0099">
        <w:rPr>
          <w:b w:val="1"/>
          <w:bCs w:val="1"/>
          <w:i w:val="1"/>
          <w:iCs w:val="1"/>
          <w:lang w:val="es-PE"/>
        </w:rPr>
        <w:t>xvii</w:t>
      </w:r>
      <w:r w:rsidRPr="57C8CCB3" w:rsidR="008E0099">
        <w:rPr>
          <w:b w:val="1"/>
          <w:bCs w:val="1"/>
          <w:i w:val="1"/>
          <w:iCs w:val="1"/>
          <w:lang w:val="es-PE"/>
        </w:rPr>
        <w:t>)</w:t>
      </w:r>
      <w:r w:rsidRPr="57C8CCB3" w:rsidR="008E0099">
        <w:rPr>
          <w:lang w:val="es-PE"/>
        </w:rPr>
        <w:t xml:space="preserve"> copia de la confirmación de bloqueo de la tarjeta de crédito del Banco de Crédito del Perú del 18 agosto del 2024; </w:t>
      </w:r>
      <w:r w:rsidRPr="57C8CCB3" w:rsidR="008E0099">
        <w:rPr>
          <w:b w:val="1"/>
          <w:bCs w:val="1"/>
          <w:i w:val="1"/>
          <w:iCs w:val="1"/>
          <w:lang w:val="es-PE"/>
        </w:rPr>
        <w:t>(</w:t>
      </w:r>
      <w:r w:rsidRPr="57C8CCB3" w:rsidR="008E0099">
        <w:rPr>
          <w:b w:val="1"/>
          <w:bCs w:val="1"/>
          <w:i w:val="1"/>
          <w:iCs w:val="1"/>
          <w:lang w:val="es-PE"/>
        </w:rPr>
        <w:t>xviii</w:t>
      </w:r>
      <w:r w:rsidRPr="57C8CCB3" w:rsidR="008E0099">
        <w:rPr>
          <w:b w:val="1"/>
          <w:bCs w:val="1"/>
          <w:i w:val="1"/>
          <w:iCs w:val="1"/>
          <w:lang w:val="es-PE"/>
        </w:rPr>
        <w:t>)</w:t>
      </w:r>
      <w:r w:rsidRPr="57C8CCB3" w:rsidR="008E0099">
        <w:rPr>
          <w:lang w:val="es-PE"/>
        </w:rPr>
        <w:t xml:space="preserve"> copia de la confirmación de bloqueo del usuario del </w:t>
      </w:r>
      <w:r w:rsidRPr="57C8CCB3" w:rsidR="008E0099">
        <w:rPr>
          <w:lang w:val="es-PE"/>
        </w:rPr>
        <w:t>Banbif</w:t>
      </w:r>
      <w:r w:rsidRPr="57C8CCB3" w:rsidR="008E0099">
        <w:rPr>
          <w:lang w:val="es-PE"/>
        </w:rPr>
        <w:t xml:space="preserve"> del 18 agosto de 2024; </w:t>
      </w:r>
      <w:r w:rsidRPr="57C8CCB3" w:rsidR="008E0099">
        <w:rPr>
          <w:b w:val="1"/>
          <w:bCs w:val="1"/>
          <w:i w:val="1"/>
          <w:iCs w:val="1"/>
          <w:lang w:val="es-PE"/>
        </w:rPr>
        <w:t>(</w:t>
      </w:r>
      <w:r w:rsidRPr="57C8CCB3" w:rsidR="008E0099">
        <w:rPr>
          <w:b w:val="1"/>
          <w:bCs w:val="1"/>
          <w:i w:val="1"/>
          <w:iCs w:val="1"/>
          <w:lang w:val="es-PE"/>
        </w:rPr>
        <w:t>xix</w:t>
      </w:r>
      <w:r w:rsidRPr="57C8CCB3" w:rsidR="008E0099">
        <w:rPr>
          <w:b w:val="1"/>
          <w:bCs w:val="1"/>
          <w:i w:val="1"/>
          <w:iCs w:val="1"/>
          <w:lang w:val="es-PE"/>
        </w:rPr>
        <w:t xml:space="preserve">) </w:t>
      </w:r>
      <w:r w:rsidRPr="57C8CCB3" w:rsidR="008E0099">
        <w:rPr>
          <w:lang w:val="es-PE"/>
        </w:rPr>
        <w:t xml:space="preserve">copia de la solicitud de atención múltiple de Financiera Oh! del bloqueo de la tarjeta Oh! del 18 de agosto de 2024; </w:t>
      </w:r>
      <w:r w:rsidRPr="57C8CCB3" w:rsidR="008E0099">
        <w:rPr>
          <w:b w:val="1"/>
          <w:bCs w:val="1"/>
          <w:i w:val="1"/>
          <w:iCs w:val="1"/>
          <w:lang w:val="es-PE"/>
        </w:rPr>
        <w:t>(</w:t>
      </w:r>
      <w:r w:rsidRPr="57C8CCB3" w:rsidR="008E0099">
        <w:rPr>
          <w:b w:val="1"/>
          <w:bCs w:val="1"/>
          <w:i w:val="1"/>
          <w:iCs w:val="1"/>
          <w:lang w:val="es-PE"/>
        </w:rPr>
        <w:t>xx</w:t>
      </w:r>
      <w:r w:rsidRPr="57C8CCB3" w:rsidR="008E0099">
        <w:rPr>
          <w:b w:val="1"/>
          <w:bCs w:val="1"/>
          <w:i w:val="1"/>
          <w:iCs w:val="1"/>
          <w:lang w:val="es-PE"/>
        </w:rPr>
        <w:t>)</w:t>
      </w:r>
      <w:r w:rsidRPr="57C8CCB3" w:rsidR="008E0099">
        <w:rPr>
          <w:lang w:val="es-PE"/>
        </w:rPr>
        <w:t xml:space="preserve"> captura de pantalla de mensajes del aplicativo de mensajería WhatsApp pidiendo dinero, los mensajes no tienen fecha y no es posible identificar el número del titular del servicio telefónico móvil; se incluye una constancia de envío de dinero por PEN 500 (quinientos soles y 00/100) del aplicativo de monedero electrónico Yape; </w:t>
      </w:r>
      <w:r w:rsidRPr="57C8CCB3" w:rsidR="008E0099">
        <w:rPr>
          <w:b w:val="1"/>
          <w:bCs w:val="1"/>
          <w:i w:val="1"/>
          <w:iCs w:val="1"/>
          <w:lang w:val="es-PE"/>
        </w:rPr>
        <w:t>(</w:t>
      </w:r>
      <w:r w:rsidRPr="57C8CCB3" w:rsidR="008E0099">
        <w:rPr>
          <w:b w:val="1"/>
          <w:bCs w:val="1"/>
          <w:i w:val="1"/>
          <w:iCs w:val="1"/>
          <w:lang w:val="es-PE"/>
        </w:rPr>
        <w:t>xxi</w:t>
      </w:r>
      <w:r w:rsidRPr="57C8CCB3" w:rsidR="008E0099">
        <w:rPr>
          <w:b w:val="1"/>
          <w:bCs w:val="1"/>
          <w:i w:val="1"/>
          <w:iCs w:val="1"/>
          <w:lang w:val="es-PE"/>
        </w:rPr>
        <w:t>)</w:t>
      </w:r>
      <w:r w:rsidRPr="57C8CCB3" w:rsidR="008E0099">
        <w:rPr>
          <w:lang w:val="es-PE"/>
        </w:rPr>
        <w:t xml:space="preserve"> copia de la notificación virtual de disposición de la 2ª Fiscalía Corporativa Penal de Miraflores – Surquillo – San Borja disponiendo el inicio de diligencias preliminares correspondiente a la carpeta fiscal </w:t>
      </w:r>
      <w:r w:rsidRPr="57C8CCB3" w:rsidR="008E0099">
        <w:rPr>
          <w:lang w:val="es-PE"/>
        </w:rPr>
        <w:t>n.°</w:t>
      </w:r>
      <w:r w:rsidRPr="57C8CCB3" w:rsidR="008E0099">
        <w:rPr>
          <w:lang w:val="es-PE"/>
        </w:rPr>
        <w:t xml:space="preserve"> 4201-2024 del 23 de septiembre de 2024; y, </w:t>
      </w:r>
      <w:r w:rsidRPr="57C8CCB3" w:rsidR="008E0099">
        <w:rPr>
          <w:b w:val="1"/>
          <w:bCs w:val="1"/>
          <w:i w:val="1"/>
          <w:iCs w:val="1"/>
          <w:lang w:val="es-PE"/>
        </w:rPr>
        <w:t>(</w:t>
      </w:r>
      <w:r w:rsidRPr="57C8CCB3" w:rsidR="008E0099">
        <w:rPr>
          <w:b w:val="1"/>
          <w:bCs w:val="1"/>
          <w:i w:val="1"/>
          <w:iCs w:val="1"/>
          <w:lang w:val="es-PE"/>
        </w:rPr>
        <w:t>xxii</w:t>
      </w:r>
      <w:r w:rsidRPr="57C8CCB3" w:rsidR="008E0099">
        <w:rPr>
          <w:b w:val="1"/>
          <w:bCs w:val="1"/>
          <w:i w:val="1"/>
          <w:iCs w:val="1"/>
          <w:lang w:val="es-PE"/>
        </w:rPr>
        <w:t>)</w:t>
      </w:r>
      <w:r w:rsidRPr="57C8CCB3" w:rsidR="008E0099">
        <w:rPr>
          <w:lang w:val="es-PE"/>
        </w:rPr>
        <w:t xml:space="preserve"> copia de pantallazo de ubicación de equipo móvil del 18 de agosto de 2024.  </w:t>
      </w:r>
    </w:p>
    <w:p w:rsidRPr="008E0099" w:rsidR="008E0099" w:rsidP="008E0099" w:rsidRDefault="008E0099" w14:paraId="61497D3F" w14:textId="6547006A">
      <w:pPr>
        <w:spacing w:after="200"/>
        <w:jc w:val="both"/>
        <w:rPr>
          <w:lang w:val="es-PE"/>
        </w:rPr>
      </w:pPr>
      <w:r w:rsidRPr="57C8CCB3" w:rsidR="008E0099">
        <w:rPr>
          <w:lang w:val="es-PE"/>
        </w:rPr>
        <w:t xml:space="preserve">Que, </w:t>
      </w:r>
      <w:r w:rsidRPr="57C8CCB3" w:rsidR="1B9C17A3">
        <w:rPr>
          <w:lang w:val="es-PE"/>
        </w:rPr>
        <w:t>.............................</w:t>
      </w:r>
      <w:r w:rsidRPr="57C8CCB3" w:rsidR="008E0099">
        <w:rPr>
          <w:lang w:val="es-PE"/>
        </w:rPr>
        <w:t xml:space="preserve"> presentó su descargo el día 26 de marzo de 2025, solicitando que el reclamo de la señora </w:t>
      </w:r>
      <w:r w:rsidRPr="57C8CCB3" w:rsidR="30126F9F">
        <w:rPr>
          <w:lang w:val="es-PE"/>
        </w:rPr>
        <w:t>......................................</w:t>
      </w:r>
      <w:r w:rsidRPr="57C8CCB3" w:rsidR="008E0099">
        <w:rPr>
          <w:lang w:val="es-PE"/>
        </w:rPr>
        <w:t xml:space="preserve"> sea declarado infundado, sobre la base de los argumentos que pasaremos a detallar a continuación: </w:t>
      </w:r>
      <w:r w:rsidRPr="57C8CCB3" w:rsidR="008E0099">
        <w:rPr>
          <w:b w:val="1"/>
          <w:bCs w:val="1"/>
          <w:i w:val="1"/>
          <w:iCs w:val="1"/>
          <w:lang w:val="es-PE"/>
        </w:rPr>
        <w:t>a)</w:t>
      </w:r>
      <w:r w:rsidRPr="57C8CCB3" w:rsidR="008E0099">
        <w:rPr>
          <w:lang w:val="es-PE"/>
        </w:rPr>
        <w:t xml:space="preserve"> que, el señor </w:t>
      </w:r>
      <w:r w:rsidRPr="57C8CCB3" w:rsidR="1D007383">
        <w:rPr>
          <w:lang w:val="es-PE"/>
        </w:rPr>
        <w:t>.............</w:t>
      </w:r>
      <w:r w:rsidRPr="57C8CCB3" w:rsidR="008E0099">
        <w:rPr>
          <w:lang w:val="es-PE"/>
        </w:rPr>
        <w:t xml:space="preserve"> (sic) contrató un Seguro de Tarjetas 360°, con la Póliza </w:t>
      </w:r>
      <w:r w:rsidRPr="57C8CCB3" w:rsidR="008E0099">
        <w:rPr>
          <w:lang w:val="es-PE"/>
        </w:rPr>
        <w:t>n.°</w:t>
      </w:r>
      <w:r w:rsidRPr="57C8CCB3" w:rsidR="008E0099">
        <w:rPr>
          <w:lang w:val="es-PE"/>
        </w:rPr>
        <w:t xml:space="preserve"> </w:t>
      </w:r>
      <w:r w:rsidRPr="57C8CCB3" w:rsidR="69C1CF6A">
        <w:rPr>
          <w:lang w:val="es-PE"/>
        </w:rPr>
        <w:t>.............</w:t>
      </w:r>
      <w:r w:rsidRPr="57C8CCB3" w:rsidR="008E0099">
        <w:rPr>
          <w:lang w:val="es-PE"/>
        </w:rPr>
        <w:t xml:space="preserve"> el 28 de agosto del 2024; </w:t>
      </w:r>
      <w:r w:rsidRPr="57C8CCB3" w:rsidR="008E0099">
        <w:rPr>
          <w:b w:val="1"/>
          <w:bCs w:val="1"/>
          <w:i w:val="1"/>
          <w:iCs w:val="1"/>
          <w:lang w:val="es-PE"/>
        </w:rPr>
        <w:t xml:space="preserve">b) </w:t>
      </w:r>
      <w:r w:rsidRPr="57C8CCB3" w:rsidR="008E0099">
        <w:rPr>
          <w:lang w:val="es-PE"/>
        </w:rPr>
        <w:t xml:space="preserve">que, el 3 de septiembre del 2024, </w:t>
      </w:r>
      <w:r w:rsidRPr="57C8CCB3" w:rsidR="1B9C17A3">
        <w:rPr>
          <w:lang w:val="es-PE"/>
        </w:rPr>
        <w:t>.............................</w:t>
      </w:r>
      <w:r w:rsidRPr="57C8CCB3" w:rsidR="008E0099">
        <w:rPr>
          <w:lang w:val="es-PE"/>
        </w:rPr>
        <w:t xml:space="preserve"> recibió la solicitud de cobertura del señor</w:t>
      </w:r>
      <w:r w:rsidRPr="57C8CCB3" w:rsidR="18A2C045">
        <w:rPr>
          <w:lang w:val="es-PE"/>
        </w:rPr>
        <w:t>...........................................</w:t>
      </w:r>
      <w:r w:rsidRPr="57C8CCB3" w:rsidR="008E0099">
        <w:rPr>
          <w:lang w:val="es-PE"/>
        </w:rPr>
        <w:t xml:space="preserve">, a través del Banco Internacional del Perú (“Interbank”); </w:t>
      </w:r>
      <w:r w:rsidRPr="57C8CCB3" w:rsidR="008E0099">
        <w:rPr>
          <w:b w:val="1"/>
          <w:bCs w:val="1"/>
          <w:i w:val="1"/>
          <w:iCs w:val="1"/>
          <w:lang w:val="es-PE"/>
        </w:rPr>
        <w:t>c)</w:t>
      </w:r>
      <w:r w:rsidRPr="57C8CCB3" w:rsidR="008E0099">
        <w:rPr>
          <w:lang w:val="es-PE"/>
        </w:rPr>
        <w:t xml:space="preserve"> que, mediante carta </w:t>
      </w:r>
      <w:r w:rsidRPr="57C8CCB3" w:rsidR="008E0099">
        <w:rPr>
          <w:lang w:val="es-PE"/>
        </w:rPr>
        <w:t>n.°</w:t>
      </w:r>
      <w:r w:rsidRPr="57C8CCB3" w:rsidR="008E0099">
        <w:rPr>
          <w:lang w:val="es-PE"/>
        </w:rPr>
        <w:t xml:space="preserve"> </w:t>
      </w:r>
      <w:r w:rsidRPr="57C8CCB3" w:rsidR="7CE5B2E8">
        <w:rPr>
          <w:lang w:val="es-PE"/>
        </w:rPr>
        <w:t>........................................</w:t>
      </w:r>
      <w:r w:rsidRPr="57C8CCB3" w:rsidR="008E0099">
        <w:rPr>
          <w:lang w:val="es-PE"/>
        </w:rPr>
        <w:t xml:space="preserve"> del 5 septiembre del 2024, </w:t>
      </w:r>
      <w:r w:rsidRPr="57C8CCB3" w:rsidR="1B9C17A3">
        <w:rPr>
          <w:lang w:val="es-PE"/>
        </w:rPr>
        <w:t>.............................</w:t>
      </w:r>
      <w:r w:rsidRPr="57C8CCB3" w:rsidR="008E0099">
        <w:rPr>
          <w:lang w:val="es-PE"/>
        </w:rPr>
        <w:t xml:space="preserve"> informó al señor </w:t>
      </w:r>
      <w:r w:rsidRPr="57C8CCB3" w:rsidR="30126F9F">
        <w:rPr>
          <w:lang w:val="es-PE"/>
        </w:rPr>
        <w:t>......................................</w:t>
      </w:r>
      <w:r w:rsidRPr="57C8CCB3" w:rsidR="008E0099">
        <w:rPr>
          <w:lang w:val="es-PE"/>
        </w:rPr>
        <w:t xml:space="preserve"> que, con la finalidad de continuar con el proceso de evaluación de su caso, sería necesario seguir el procedimiento establecido en la sección “Aviso de Siniestro y Solicitud de Cobertura” de la Póliza, el cual dispone que cuando la compañía aseguradora lo estime conveniente y dentro de los 20 días contados desde la fecha en que se completó la entrega de los documentos necesarios en caso de siniestro, realizará una entrevista personal con el asegurado, con el fin de obtener las aclaraciones y precisiones necesarias acerca del siniestro ocurrido y/o someterse a una prueba poligráfica </w:t>
      </w:r>
      <w:r w:rsidRPr="57C8CCB3" w:rsidR="008E0099">
        <w:rPr>
          <w:lang w:val="es-PE"/>
        </w:rPr>
        <w:t xml:space="preserve">con el fin de establecer la veracidad de los hechos declarados; </w:t>
      </w:r>
      <w:r w:rsidRPr="57C8CCB3" w:rsidR="008E0099">
        <w:rPr>
          <w:b w:val="1"/>
          <w:bCs w:val="1"/>
          <w:i w:val="1"/>
          <w:iCs w:val="1"/>
          <w:lang w:val="es-PE"/>
        </w:rPr>
        <w:t>d)</w:t>
      </w:r>
      <w:r w:rsidRPr="57C8CCB3" w:rsidR="008E0099">
        <w:rPr>
          <w:lang w:val="es-PE"/>
        </w:rPr>
        <w:t xml:space="preserve"> que, en los resultados de la prueba poligráfica se identificaron respuestas significativas de engaño; </w:t>
      </w:r>
      <w:r w:rsidRPr="57C8CCB3" w:rsidR="008E0099">
        <w:rPr>
          <w:b w:val="1"/>
          <w:bCs w:val="1"/>
          <w:i w:val="1"/>
          <w:iCs w:val="1"/>
          <w:lang w:val="es-PE"/>
        </w:rPr>
        <w:t>e)</w:t>
      </w:r>
      <w:r w:rsidRPr="57C8CCB3" w:rsidR="008E0099">
        <w:rPr>
          <w:lang w:val="es-PE"/>
        </w:rPr>
        <w:t xml:space="preserve"> que, mediante la Carta de rechazo </w:t>
      </w:r>
      <w:r w:rsidRPr="57C8CCB3" w:rsidR="1B9C17A3">
        <w:rPr>
          <w:lang w:val="es-PE"/>
        </w:rPr>
        <w:t>.............................</w:t>
      </w:r>
      <w:r w:rsidRPr="57C8CCB3" w:rsidR="008E0099">
        <w:rPr>
          <w:lang w:val="es-PE"/>
        </w:rPr>
        <w:t xml:space="preserve"> informó al señor </w:t>
      </w:r>
      <w:r w:rsidRPr="57C8CCB3" w:rsidR="30126F9F">
        <w:rPr>
          <w:lang w:val="es-PE"/>
        </w:rPr>
        <w:t>......................................</w:t>
      </w:r>
      <w:r w:rsidRPr="57C8CCB3" w:rsidR="008E0099">
        <w:rPr>
          <w:lang w:val="es-PE"/>
        </w:rPr>
        <w:t xml:space="preserve"> que su solicitud de cobertura es improcedente y se procedería a anular la Póliza; </w:t>
      </w:r>
      <w:r w:rsidRPr="57C8CCB3" w:rsidR="008E0099">
        <w:rPr>
          <w:b w:val="1"/>
          <w:bCs w:val="1"/>
          <w:i w:val="1"/>
          <w:iCs w:val="1"/>
          <w:lang w:val="es-PE"/>
        </w:rPr>
        <w:t>f)</w:t>
      </w:r>
      <w:r w:rsidRPr="57C8CCB3" w:rsidR="008E0099">
        <w:rPr>
          <w:lang w:val="es-PE"/>
        </w:rPr>
        <w:t xml:space="preserve"> que, la decisión de </w:t>
      </w:r>
      <w:r w:rsidRPr="57C8CCB3" w:rsidR="1B9C17A3">
        <w:rPr>
          <w:lang w:val="es-PE"/>
        </w:rPr>
        <w:t>.............................</w:t>
      </w:r>
      <w:r w:rsidRPr="57C8CCB3" w:rsidR="008E0099">
        <w:rPr>
          <w:lang w:val="es-PE"/>
        </w:rPr>
        <w:t xml:space="preserve"> está fundamentada en lo establecido en el artículo 9 (Causales de resolución del contrato) del Condicionado general de la Póliza, que establece que cuando se presente fraudulentamente una solicitud de cobertura basadas en documentos o declaraciones falsas, según lo establecido en el artículo 10, la aseguradora comunicará la resolución del Contrato; </w:t>
      </w:r>
      <w:r w:rsidRPr="57C8CCB3" w:rsidR="008E0099">
        <w:rPr>
          <w:b w:val="1"/>
          <w:bCs w:val="1"/>
          <w:i w:val="1"/>
          <w:iCs w:val="1"/>
          <w:lang w:val="es-PE"/>
        </w:rPr>
        <w:t>g)</w:t>
      </w:r>
      <w:r w:rsidRPr="57C8CCB3" w:rsidR="008E0099">
        <w:rPr>
          <w:lang w:val="es-PE"/>
        </w:rPr>
        <w:t xml:space="preserve"> que, el artículo 10 del Condicionado general, reproduce los términos establecidos en la sección “Aviso de Siniestro y Solicitud de Cobertura” de la Solicitud Certificado; y, </w:t>
      </w:r>
      <w:r w:rsidRPr="57C8CCB3" w:rsidR="008E0099">
        <w:rPr>
          <w:b w:val="1"/>
          <w:bCs w:val="1"/>
          <w:i w:val="1"/>
          <w:iCs w:val="1"/>
          <w:lang w:val="es-PE"/>
        </w:rPr>
        <w:t>h)</w:t>
      </w:r>
      <w:r w:rsidRPr="57C8CCB3" w:rsidR="008E0099">
        <w:rPr>
          <w:lang w:val="es-PE"/>
        </w:rPr>
        <w:t xml:space="preserve"> que, resumidamente, </w:t>
      </w:r>
      <w:r w:rsidRPr="57C8CCB3" w:rsidR="1B9C17A3">
        <w:rPr>
          <w:lang w:val="es-PE"/>
        </w:rPr>
        <w:t>.............................</w:t>
      </w:r>
      <w:r w:rsidRPr="57C8CCB3" w:rsidR="008E0099">
        <w:rPr>
          <w:lang w:val="es-PE"/>
        </w:rPr>
        <w:t xml:space="preserve"> señala que ha aplicado las Condiciones generales de la Póliza; siendo que las mismas establecen que en caso de declaraciones falsas, la Póliza será resuelta; en este caso, las declaraciones falsas fueron identificadas en base la prueba de polígrafo realizada con sustento en la Solicitud Certificado de la Póliza. </w:t>
      </w:r>
    </w:p>
    <w:p w:rsidRPr="008E0099" w:rsidR="008E0099" w:rsidP="008E0099" w:rsidRDefault="008E0099" w14:paraId="5B56BFDD" w14:textId="6CC3476C">
      <w:pPr>
        <w:spacing w:after="200"/>
        <w:jc w:val="both"/>
        <w:rPr>
          <w:lang w:val="es-PE"/>
        </w:rPr>
      </w:pPr>
      <w:r w:rsidRPr="57C8CCB3" w:rsidR="008E0099">
        <w:rPr>
          <w:lang w:val="es-PE"/>
        </w:rPr>
        <w:t xml:space="preserve">Que, con la absolución del reclamo, </w:t>
      </w:r>
      <w:r w:rsidRPr="57C8CCB3" w:rsidR="1B9C17A3">
        <w:rPr>
          <w:lang w:val="es-PE"/>
        </w:rPr>
        <w:t>.............................</w:t>
      </w:r>
      <w:r w:rsidRPr="57C8CCB3" w:rsidR="008E0099">
        <w:rPr>
          <w:lang w:val="es-PE"/>
        </w:rPr>
        <w:t xml:space="preserve"> presentó los siguientes documentos: </w:t>
      </w:r>
      <w:r w:rsidRPr="57C8CCB3" w:rsidR="008E0099">
        <w:rPr>
          <w:b w:val="1"/>
          <w:bCs w:val="1"/>
          <w:i w:val="1"/>
          <w:iCs w:val="1"/>
          <w:lang w:val="es-PE"/>
        </w:rPr>
        <w:t>(i)</w:t>
      </w:r>
      <w:r w:rsidRPr="57C8CCB3" w:rsidR="008E0099">
        <w:rPr>
          <w:lang w:val="es-PE"/>
        </w:rPr>
        <w:t xml:space="preserve"> copia del documento nacional de identidad del representante de </w:t>
      </w:r>
      <w:r w:rsidRPr="57C8CCB3" w:rsidR="1B9C17A3">
        <w:rPr>
          <w:lang w:val="es-PE"/>
        </w:rPr>
        <w:t>.............................</w:t>
      </w:r>
      <w:r w:rsidRPr="57C8CCB3" w:rsidR="008E0099">
        <w:rPr>
          <w:lang w:val="es-PE"/>
        </w:rPr>
        <w:t xml:space="preserve">; </w:t>
      </w:r>
      <w:r w:rsidRPr="57C8CCB3" w:rsidR="008E0099">
        <w:rPr>
          <w:b w:val="1"/>
          <w:bCs w:val="1"/>
          <w:i w:val="1"/>
          <w:iCs w:val="1"/>
          <w:lang w:val="es-PE"/>
        </w:rPr>
        <w:t>(</w:t>
      </w:r>
      <w:r w:rsidRPr="57C8CCB3" w:rsidR="008E0099">
        <w:rPr>
          <w:b w:val="1"/>
          <w:bCs w:val="1"/>
          <w:i w:val="1"/>
          <w:iCs w:val="1"/>
          <w:lang w:val="es-PE"/>
        </w:rPr>
        <w:t>ii</w:t>
      </w:r>
      <w:r w:rsidRPr="57C8CCB3" w:rsidR="008E0099">
        <w:rPr>
          <w:b w:val="1"/>
          <w:bCs w:val="1"/>
          <w:i w:val="1"/>
          <w:iCs w:val="1"/>
          <w:lang w:val="es-PE"/>
        </w:rPr>
        <w:t>)</w:t>
      </w:r>
      <w:r w:rsidRPr="57C8CCB3" w:rsidR="008E0099">
        <w:rPr>
          <w:lang w:val="es-PE"/>
        </w:rPr>
        <w:t xml:space="preserve"> copia de la vigencia de poder del representante de </w:t>
      </w:r>
      <w:r w:rsidRPr="57C8CCB3" w:rsidR="1B9C17A3">
        <w:rPr>
          <w:lang w:val="es-PE"/>
        </w:rPr>
        <w:t>.............................</w:t>
      </w:r>
      <w:r w:rsidRPr="57C8CCB3" w:rsidR="008E0099">
        <w:rPr>
          <w:lang w:val="es-PE"/>
        </w:rPr>
        <w:t xml:space="preserve">; </w:t>
      </w:r>
      <w:r w:rsidRPr="57C8CCB3" w:rsidR="008E0099">
        <w:rPr>
          <w:b w:val="1"/>
          <w:bCs w:val="1"/>
          <w:i w:val="1"/>
          <w:iCs w:val="1"/>
          <w:lang w:val="es-PE"/>
        </w:rPr>
        <w:t>(</w:t>
      </w:r>
      <w:r w:rsidRPr="57C8CCB3" w:rsidR="008E0099">
        <w:rPr>
          <w:b w:val="1"/>
          <w:bCs w:val="1"/>
          <w:i w:val="1"/>
          <w:iCs w:val="1"/>
          <w:lang w:val="es-PE"/>
        </w:rPr>
        <w:t>iii</w:t>
      </w:r>
      <w:r w:rsidRPr="57C8CCB3" w:rsidR="008E0099">
        <w:rPr>
          <w:b w:val="1"/>
          <w:bCs w:val="1"/>
          <w:i w:val="1"/>
          <w:iCs w:val="1"/>
          <w:lang w:val="es-PE"/>
        </w:rPr>
        <w:t>)</w:t>
      </w:r>
      <w:r w:rsidRPr="57C8CCB3" w:rsidR="008E0099">
        <w:rPr>
          <w:lang w:val="es-PE"/>
        </w:rPr>
        <w:t xml:space="preserve"> copia de la ficha RUC de </w:t>
      </w:r>
      <w:r w:rsidRPr="57C8CCB3" w:rsidR="1B9C17A3">
        <w:rPr>
          <w:lang w:val="es-PE"/>
        </w:rPr>
        <w:t>.............................</w:t>
      </w:r>
      <w:r w:rsidRPr="57C8CCB3" w:rsidR="008E0099">
        <w:rPr>
          <w:lang w:val="es-PE"/>
        </w:rPr>
        <w:t xml:space="preserve">; </w:t>
      </w:r>
      <w:r w:rsidRPr="57C8CCB3" w:rsidR="008E0099">
        <w:rPr>
          <w:b w:val="1"/>
          <w:bCs w:val="1"/>
          <w:i w:val="1"/>
          <w:iCs w:val="1"/>
          <w:lang w:val="es-PE"/>
        </w:rPr>
        <w:t>(</w:t>
      </w:r>
      <w:r w:rsidRPr="57C8CCB3" w:rsidR="008E0099">
        <w:rPr>
          <w:b w:val="1"/>
          <w:bCs w:val="1"/>
          <w:i w:val="1"/>
          <w:iCs w:val="1"/>
          <w:lang w:val="es-PE"/>
        </w:rPr>
        <w:t>iv</w:t>
      </w:r>
      <w:r w:rsidRPr="57C8CCB3" w:rsidR="008E0099">
        <w:rPr>
          <w:b w:val="1"/>
          <w:bCs w:val="1"/>
          <w:i w:val="1"/>
          <w:iCs w:val="1"/>
          <w:lang w:val="es-PE"/>
        </w:rPr>
        <w:t>)</w:t>
      </w:r>
      <w:r w:rsidRPr="57C8CCB3" w:rsidR="008E0099">
        <w:rPr>
          <w:lang w:val="es-PE"/>
        </w:rPr>
        <w:t xml:space="preserve"> copia de la Póliza; </w:t>
      </w:r>
      <w:r w:rsidRPr="57C8CCB3" w:rsidR="008E0099">
        <w:rPr>
          <w:b w:val="1"/>
          <w:bCs w:val="1"/>
          <w:i w:val="1"/>
          <w:iCs w:val="1"/>
          <w:lang w:val="es-PE"/>
        </w:rPr>
        <w:t>(v)</w:t>
      </w:r>
      <w:r w:rsidRPr="57C8CCB3" w:rsidR="008E0099">
        <w:rPr>
          <w:lang w:val="es-PE"/>
        </w:rPr>
        <w:t xml:space="preserve"> copia de las Condiciones generales del seguro de Tarjetas 360 </w:t>
      </w:r>
      <w:r w:rsidRPr="57C8CCB3" w:rsidR="008E0099">
        <w:rPr>
          <w:b w:val="1"/>
          <w:bCs w:val="1"/>
          <w:i w:val="1"/>
          <w:iCs w:val="1"/>
          <w:lang w:val="es-PE"/>
        </w:rPr>
        <w:t>(vi)</w:t>
      </w:r>
      <w:r w:rsidRPr="57C8CCB3" w:rsidR="008E0099">
        <w:rPr>
          <w:lang w:val="es-PE"/>
        </w:rPr>
        <w:t xml:space="preserve"> copia del mensaje electrónico de envío de la Póliza, en el cual se indica que se adjunta el certificado del seguro; </w:t>
      </w:r>
      <w:r w:rsidRPr="57C8CCB3" w:rsidR="008E0099">
        <w:rPr>
          <w:b w:val="1"/>
          <w:bCs w:val="1"/>
          <w:i w:val="1"/>
          <w:iCs w:val="1"/>
          <w:lang w:val="es-PE"/>
        </w:rPr>
        <w:t>(</w:t>
      </w:r>
      <w:r w:rsidRPr="57C8CCB3" w:rsidR="008E0099">
        <w:rPr>
          <w:b w:val="1"/>
          <w:bCs w:val="1"/>
          <w:i w:val="1"/>
          <w:iCs w:val="1"/>
          <w:lang w:val="es-PE"/>
        </w:rPr>
        <w:t>vii</w:t>
      </w:r>
      <w:r w:rsidRPr="57C8CCB3" w:rsidR="008E0099">
        <w:rPr>
          <w:b w:val="1"/>
          <w:bCs w:val="1"/>
          <w:i w:val="1"/>
          <w:iCs w:val="1"/>
          <w:lang w:val="es-PE"/>
        </w:rPr>
        <w:t>)</w:t>
      </w:r>
      <w:r w:rsidRPr="57C8CCB3" w:rsidR="008E0099">
        <w:rPr>
          <w:lang w:val="es-PE"/>
        </w:rPr>
        <w:t xml:space="preserve"> declaración jurada del señor </w:t>
      </w:r>
      <w:r w:rsidRPr="57C8CCB3" w:rsidR="30126F9F">
        <w:rPr>
          <w:lang w:val="es-PE"/>
        </w:rPr>
        <w:t>......................................</w:t>
      </w:r>
      <w:r w:rsidRPr="57C8CCB3" w:rsidR="008E0099">
        <w:rPr>
          <w:lang w:val="es-PE"/>
        </w:rPr>
        <w:t xml:space="preserve"> en el cual declara no haber contratado o tramitado cobertura de alguna póliza de seguro con coberturas de la misma naturaleza; </w:t>
      </w:r>
      <w:r w:rsidRPr="57C8CCB3" w:rsidR="008E0099">
        <w:rPr>
          <w:b w:val="1"/>
          <w:bCs w:val="1"/>
          <w:i w:val="1"/>
          <w:iCs w:val="1"/>
          <w:lang w:val="es-PE"/>
        </w:rPr>
        <w:t>(</w:t>
      </w:r>
      <w:r w:rsidRPr="57C8CCB3" w:rsidR="008E0099">
        <w:rPr>
          <w:b w:val="1"/>
          <w:bCs w:val="1"/>
          <w:i w:val="1"/>
          <w:iCs w:val="1"/>
          <w:lang w:val="es-PE"/>
        </w:rPr>
        <w:t>viii</w:t>
      </w:r>
      <w:r w:rsidRPr="57C8CCB3" w:rsidR="008E0099">
        <w:rPr>
          <w:b w:val="1"/>
          <w:bCs w:val="1"/>
          <w:i w:val="1"/>
          <w:iCs w:val="1"/>
          <w:lang w:val="es-PE"/>
        </w:rPr>
        <w:t>)</w:t>
      </w:r>
      <w:r w:rsidRPr="57C8CCB3" w:rsidR="008E0099">
        <w:rPr>
          <w:lang w:val="es-PE"/>
        </w:rPr>
        <w:t xml:space="preserve"> copia de la denuncia policial del siniestro; </w:t>
      </w:r>
      <w:r w:rsidRPr="57C8CCB3" w:rsidR="008E0099">
        <w:rPr>
          <w:b w:val="1"/>
          <w:bCs w:val="1"/>
          <w:i w:val="1"/>
          <w:iCs w:val="1"/>
          <w:lang w:val="es-PE"/>
        </w:rPr>
        <w:t>(</w:t>
      </w:r>
      <w:r w:rsidRPr="57C8CCB3" w:rsidR="008E0099">
        <w:rPr>
          <w:b w:val="1"/>
          <w:bCs w:val="1"/>
          <w:i w:val="1"/>
          <w:iCs w:val="1"/>
          <w:lang w:val="es-PE"/>
        </w:rPr>
        <w:t>ix</w:t>
      </w:r>
      <w:r w:rsidRPr="57C8CCB3" w:rsidR="008E0099">
        <w:rPr>
          <w:b w:val="1"/>
          <w:bCs w:val="1"/>
          <w:i w:val="1"/>
          <w:iCs w:val="1"/>
          <w:lang w:val="es-PE"/>
        </w:rPr>
        <w:t>)</w:t>
      </w:r>
      <w:r w:rsidRPr="57C8CCB3" w:rsidR="008E0099">
        <w:rPr>
          <w:lang w:val="es-PE"/>
        </w:rPr>
        <w:t xml:space="preserve"> información de consulta de la tarjeta de crédito marca American Express (“Amex”) con tres consumos realizados el día 18 de agosto de 2024 por una suma total de PEN 12 879 (doce mil ochocientos setenta y nueve soles y 00/100); </w:t>
      </w:r>
      <w:r w:rsidRPr="57C8CCB3" w:rsidR="008E0099">
        <w:rPr>
          <w:b w:val="1"/>
          <w:bCs w:val="1"/>
          <w:i w:val="1"/>
          <w:iCs w:val="1"/>
          <w:lang w:val="es-PE"/>
        </w:rPr>
        <w:t>(xi)</w:t>
      </w:r>
      <w:r w:rsidRPr="57C8CCB3" w:rsidR="008E0099">
        <w:rPr>
          <w:lang w:val="es-PE"/>
        </w:rPr>
        <w:t xml:space="preserve"> copia de la comunicación </w:t>
      </w:r>
      <w:r w:rsidRPr="57C8CCB3" w:rsidR="008E0099">
        <w:rPr>
          <w:lang w:val="es-PE"/>
        </w:rPr>
        <w:t>n.°</w:t>
      </w:r>
      <w:r w:rsidRPr="57C8CCB3" w:rsidR="008E0099">
        <w:rPr>
          <w:lang w:val="es-PE"/>
        </w:rPr>
        <w:t xml:space="preserve"> </w:t>
      </w:r>
      <w:r w:rsidRPr="57C8CCB3" w:rsidR="7CE5B2E8">
        <w:rPr>
          <w:lang w:val="es-PE"/>
        </w:rPr>
        <w:t>........................................</w:t>
      </w:r>
      <w:r w:rsidRPr="57C8CCB3" w:rsidR="008E0099">
        <w:rPr>
          <w:lang w:val="es-PE"/>
        </w:rPr>
        <w:t xml:space="preserve">, de fecha 5 de septiembre del 2024, a través de la cual </w:t>
      </w:r>
      <w:r w:rsidRPr="57C8CCB3" w:rsidR="1B9C17A3">
        <w:rPr>
          <w:lang w:val="es-PE"/>
        </w:rPr>
        <w:t>.............................</w:t>
      </w:r>
      <w:r w:rsidRPr="57C8CCB3" w:rsidR="008E0099">
        <w:rPr>
          <w:lang w:val="es-PE"/>
        </w:rPr>
        <w:t xml:space="preserve"> informa al asegurado que será necesario realizar una entrevista personal a fin de obtener aclaraciones y precisiones acerca de las circunstancias en las que ocurrió el siniestro; y, </w:t>
      </w:r>
      <w:r w:rsidRPr="57C8CCB3" w:rsidR="008E0099">
        <w:rPr>
          <w:b w:val="1"/>
          <w:bCs w:val="1"/>
          <w:i w:val="1"/>
          <w:iCs w:val="1"/>
          <w:lang w:val="es-PE"/>
        </w:rPr>
        <w:t>(xi)</w:t>
      </w:r>
      <w:r w:rsidRPr="57C8CCB3" w:rsidR="008E0099">
        <w:rPr>
          <w:lang w:val="es-PE"/>
        </w:rPr>
        <w:t xml:space="preserve"> copia de la comunicación </w:t>
      </w:r>
      <w:r w:rsidRPr="57C8CCB3" w:rsidR="008E0099">
        <w:rPr>
          <w:lang w:val="es-PE"/>
        </w:rPr>
        <w:t>n.°</w:t>
      </w:r>
      <w:r w:rsidRPr="57C8CCB3" w:rsidR="008E0099">
        <w:rPr>
          <w:lang w:val="es-PE"/>
        </w:rPr>
        <w:t xml:space="preserve"> </w:t>
      </w:r>
      <w:r w:rsidRPr="57C8CCB3" w:rsidR="326A8FE5">
        <w:rPr>
          <w:lang w:val="es-PE"/>
        </w:rPr>
        <w:t>........................................</w:t>
      </w:r>
      <w:r w:rsidRPr="57C8CCB3" w:rsidR="008E0099">
        <w:rPr>
          <w:lang w:val="es-PE"/>
        </w:rPr>
        <w:t xml:space="preserve">, Carta de rechazo. </w:t>
      </w:r>
    </w:p>
    <w:p w:rsidRPr="008E0099" w:rsidR="008E0099" w:rsidP="008E0099" w:rsidRDefault="008E0099" w14:paraId="2A0B634B" w14:textId="51754805">
      <w:pPr>
        <w:spacing w:after="200"/>
        <w:jc w:val="both"/>
        <w:rPr>
          <w:lang w:val="es-PE"/>
        </w:rPr>
      </w:pPr>
      <w:r w:rsidRPr="57C8CCB3" w:rsidR="008E0099">
        <w:rPr>
          <w:lang w:val="es-PE"/>
        </w:rPr>
        <w:t xml:space="preserve">Que, el día 6 de mayo de 2025, </w:t>
      </w:r>
      <w:bookmarkStart w:name="_Hlk200727566" w:id="1"/>
      <w:r w:rsidRPr="57C8CCB3" w:rsidR="008E0099">
        <w:rPr>
          <w:lang w:val="es-PE"/>
        </w:rPr>
        <w:t xml:space="preserve">el SEÑOR </w:t>
      </w:r>
      <w:r w:rsidRPr="57C8CCB3" w:rsidR="30126F9F">
        <w:rPr>
          <w:lang w:val="es-PE"/>
        </w:rPr>
        <w:t>......................................</w:t>
      </w:r>
      <w:bookmarkEnd w:id="1"/>
      <w:r w:rsidRPr="57C8CCB3" w:rsidR="008E0099">
        <w:rPr>
          <w:lang w:val="es-PE"/>
        </w:rPr>
        <w:t xml:space="preserve">, presentó vía correo electrónico argumentos adicionales, los cuales resumimos a continuación: </w:t>
      </w:r>
      <w:r w:rsidRPr="57C8CCB3" w:rsidR="008E0099">
        <w:rPr>
          <w:b w:val="1"/>
          <w:bCs w:val="1"/>
          <w:i w:val="1"/>
          <w:iCs w:val="1"/>
          <w:lang w:val="es-PE"/>
        </w:rPr>
        <w:t>a)</w:t>
      </w:r>
      <w:r w:rsidRPr="57C8CCB3" w:rsidR="008E0099">
        <w:rPr>
          <w:lang w:val="es-PE"/>
        </w:rPr>
        <w:t xml:space="preserve"> que, en sus descargos, </w:t>
      </w:r>
      <w:r w:rsidRPr="57C8CCB3" w:rsidR="1B9C17A3">
        <w:rPr>
          <w:lang w:val="es-PE"/>
        </w:rPr>
        <w:t>.............................</w:t>
      </w:r>
      <w:r w:rsidRPr="57C8CCB3" w:rsidR="008E0099">
        <w:rPr>
          <w:lang w:val="es-PE"/>
        </w:rPr>
        <w:t xml:space="preserve"> </w:t>
      </w:r>
      <w:r w:rsidRPr="57C8CCB3" w:rsidR="008E0099">
        <w:rPr>
          <w:lang w:val="es-PE"/>
        </w:rPr>
        <w:t>hace mención de</w:t>
      </w:r>
      <w:r w:rsidRPr="57C8CCB3" w:rsidR="008E0099">
        <w:rPr>
          <w:lang w:val="es-PE"/>
        </w:rPr>
        <w:t xml:space="preserve"> un señor </w:t>
      </w:r>
      <w:r w:rsidRPr="57C8CCB3" w:rsidR="1D007383">
        <w:rPr>
          <w:lang w:val="es-PE"/>
        </w:rPr>
        <w:t>.............</w:t>
      </w:r>
      <w:r w:rsidRPr="57C8CCB3" w:rsidR="008E0099">
        <w:rPr>
          <w:lang w:val="es-PE"/>
        </w:rPr>
        <w:t xml:space="preserve">, y, luego muestran la adquisición de una póliza a mi nombre con fecha 28 de agosto de 2024, sugiriendo que habría adquirido el seguro de protección recién en fecha posterior al siniestro; </w:t>
      </w:r>
      <w:r w:rsidRPr="57C8CCB3" w:rsidR="008E0099">
        <w:rPr>
          <w:b w:val="1"/>
          <w:bCs w:val="1"/>
          <w:i w:val="1"/>
          <w:iCs w:val="1"/>
          <w:lang w:val="es-PE"/>
        </w:rPr>
        <w:t>b)</w:t>
      </w:r>
      <w:r w:rsidRPr="57C8CCB3" w:rsidR="008E0099">
        <w:rPr>
          <w:lang w:val="es-PE"/>
        </w:rPr>
        <w:t xml:space="preserve"> que, en sus descargos la aseguradora presenta un correo que no le pertenece; y, </w:t>
      </w:r>
      <w:r w:rsidRPr="57C8CCB3" w:rsidR="008E0099">
        <w:rPr>
          <w:b w:val="1"/>
          <w:bCs w:val="1"/>
          <w:i w:val="1"/>
          <w:iCs w:val="1"/>
          <w:lang w:val="es-PE"/>
        </w:rPr>
        <w:t xml:space="preserve">c) </w:t>
      </w:r>
      <w:r w:rsidRPr="57C8CCB3" w:rsidR="008E0099">
        <w:rPr>
          <w:lang w:val="es-PE"/>
        </w:rPr>
        <w:t xml:space="preserve">que, la contratación de la Póliza con </w:t>
      </w:r>
      <w:r w:rsidRPr="57C8CCB3" w:rsidR="1B9C17A3">
        <w:rPr>
          <w:lang w:val="es-PE"/>
        </w:rPr>
        <w:t>.............................</w:t>
      </w:r>
      <w:r w:rsidRPr="57C8CCB3" w:rsidR="008E0099">
        <w:rPr>
          <w:lang w:val="es-PE"/>
        </w:rPr>
        <w:t xml:space="preserve"> </w:t>
      </w:r>
      <w:r w:rsidRPr="57C8CCB3" w:rsidR="008E0099">
        <w:rPr>
          <w:lang w:val="es-PE"/>
        </w:rPr>
        <w:t>se realizó en el mes de abril del año 2021 (Seguro de Tarjetas 360) que luego fue mejorado a Seguro de Tarjetas Premium.</w:t>
      </w:r>
      <w:r w:rsidRPr="57C8CCB3" w:rsidR="008E0099">
        <w:rPr>
          <w:lang w:val="es-PE"/>
        </w:rPr>
        <w:t xml:space="preserve"> </w:t>
      </w:r>
    </w:p>
    <w:p w:rsidRPr="008E0099" w:rsidR="008E0099" w:rsidP="008E0099" w:rsidRDefault="008E0099" w14:paraId="11ECFE34" w14:textId="1795ED1B">
      <w:pPr>
        <w:spacing w:after="200"/>
        <w:jc w:val="both"/>
        <w:rPr>
          <w:lang w:val="es-PE"/>
        </w:rPr>
      </w:pPr>
      <w:r w:rsidRPr="57C8CCB3" w:rsidR="008E0099">
        <w:rPr>
          <w:lang w:val="es-PE"/>
        </w:rPr>
        <w:t xml:space="preserve">Que, con estos argumentos adicionales el SEÑOR </w:t>
      </w:r>
      <w:r w:rsidRPr="57C8CCB3" w:rsidR="30126F9F">
        <w:rPr>
          <w:lang w:val="es-PE"/>
        </w:rPr>
        <w:t>......................................</w:t>
      </w:r>
      <w:r w:rsidRPr="57C8CCB3" w:rsidR="008E0099">
        <w:rPr>
          <w:lang w:val="es-PE"/>
        </w:rPr>
        <w:t xml:space="preserve"> presentó los siguientes documentos: </w:t>
      </w:r>
      <w:r w:rsidRPr="57C8CCB3" w:rsidR="008E0099">
        <w:rPr>
          <w:b w:val="1"/>
          <w:bCs w:val="1"/>
          <w:i w:val="1"/>
          <w:iCs w:val="1"/>
          <w:lang w:val="es-PE"/>
        </w:rPr>
        <w:t>(i)</w:t>
      </w:r>
      <w:r w:rsidRPr="57C8CCB3" w:rsidR="008E0099">
        <w:rPr>
          <w:lang w:val="es-PE"/>
        </w:rPr>
        <w:t xml:space="preserve"> copia de la póliza en trámite (Seguro De Tarjetas 360°) de </w:t>
      </w:r>
      <w:r w:rsidRPr="57C8CCB3" w:rsidR="2138AB0F">
        <w:rPr>
          <w:lang w:val="es-PE"/>
        </w:rPr>
        <w:t>...........................................</w:t>
      </w:r>
      <w:r w:rsidRPr="57C8CCB3" w:rsidR="008E0099">
        <w:rPr>
          <w:lang w:val="es-PE"/>
        </w:rPr>
        <w:t xml:space="preserve"> (“</w:t>
      </w:r>
      <w:r w:rsidRPr="57C8CCB3" w:rsidR="54CD3BAB">
        <w:rPr>
          <w:lang w:val="es-PE"/>
        </w:rPr>
        <w:t>............</w:t>
      </w:r>
      <w:r w:rsidRPr="57C8CCB3" w:rsidR="008E0099">
        <w:rPr>
          <w:lang w:val="es-PE"/>
        </w:rPr>
        <w:t xml:space="preserve">”) con el certificado </w:t>
      </w:r>
      <w:r w:rsidRPr="57C8CCB3" w:rsidR="008E0099">
        <w:rPr>
          <w:lang w:val="es-PE"/>
        </w:rPr>
        <w:t>n.°</w:t>
      </w:r>
      <w:r w:rsidRPr="57C8CCB3" w:rsidR="008E0099">
        <w:rPr>
          <w:lang w:val="es-PE"/>
        </w:rPr>
        <w:t xml:space="preserve"> 203260 contratada por el Interbank teniendo como asegurado al señor </w:t>
      </w:r>
      <w:r w:rsidRPr="57C8CCB3" w:rsidR="530F65AF">
        <w:rPr>
          <w:lang w:val="es-PE"/>
        </w:rPr>
        <w:t>......................................</w:t>
      </w:r>
      <w:r w:rsidRPr="57C8CCB3" w:rsidR="008E0099">
        <w:rPr>
          <w:lang w:val="es-PE"/>
        </w:rPr>
        <w:t xml:space="preserve"> con una vigencia del 7 de abril de 2021 al 7 de abril de 2022; b) copia de la Solicitud Certificado de la Póliza, del Seguro de Tarjetas 360° contratado por el Interbank teniendo como asegurado al señor </w:t>
      </w:r>
      <w:r w:rsidRPr="57C8CCB3" w:rsidR="30126F9F">
        <w:rPr>
          <w:lang w:val="es-PE"/>
        </w:rPr>
        <w:t>......................................</w:t>
      </w:r>
      <w:r w:rsidRPr="57C8CCB3" w:rsidR="008E0099">
        <w:rPr>
          <w:lang w:val="es-PE"/>
        </w:rPr>
        <w:t xml:space="preserve"> con una vigencia del 17 de enero de 2024 al 16 de enero de 2025; </w:t>
      </w:r>
      <w:r w:rsidRPr="57C8CCB3" w:rsidR="008E0099">
        <w:rPr>
          <w:b w:val="1"/>
          <w:bCs w:val="1"/>
          <w:i w:val="1"/>
          <w:iCs w:val="1"/>
          <w:lang w:val="es-PE"/>
        </w:rPr>
        <w:t>c)</w:t>
      </w:r>
      <w:r w:rsidRPr="57C8CCB3" w:rsidR="008E0099">
        <w:rPr>
          <w:lang w:val="es-PE"/>
        </w:rPr>
        <w:t xml:space="preserve"> </w:t>
      </w:r>
      <w:r w:rsidRPr="57C8CCB3" w:rsidR="008E0099">
        <w:rPr>
          <w:lang w:val="es-PE"/>
        </w:rPr>
        <w:t xml:space="preserve">pantallazos de bienvenida de Interbank por el Seguro de Tarjetas 360 del 7 de abril de 2021 y del Seguro de Tarjetas Premium del 19 de enero de 2024; y, </w:t>
      </w:r>
      <w:r w:rsidRPr="57C8CCB3" w:rsidR="008E0099">
        <w:rPr>
          <w:b w:val="1"/>
          <w:bCs w:val="1"/>
          <w:i w:val="1"/>
          <w:iCs w:val="1"/>
          <w:lang w:val="es-PE"/>
        </w:rPr>
        <w:t>d)</w:t>
      </w:r>
      <w:r w:rsidRPr="57C8CCB3" w:rsidR="008E0099">
        <w:rPr>
          <w:lang w:val="es-PE"/>
        </w:rPr>
        <w:t xml:space="preserve"> captura de pantalla de dos reportes de pagos del mes de una cuenta de Interbank, donde aparecen dos pagos a </w:t>
      </w:r>
      <w:r w:rsidRPr="57C8CCB3" w:rsidR="1B9C17A3">
        <w:rPr>
          <w:lang w:val="es-PE"/>
        </w:rPr>
        <w:t>.............................</w:t>
      </w:r>
      <w:r w:rsidRPr="57C8CCB3" w:rsidR="008E0099">
        <w:rPr>
          <w:lang w:val="es-PE"/>
        </w:rPr>
        <w:t xml:space="preserve"> del 3 y 19 de enero con el detalle “SEGTARJETA360” por la suma de PEN 12.90 (doce soles y 90/100) y PEN 20.5 (veinte soles y 50/100) respectivamente el primero de ellos, y, pago a </w:t>
      </w:r>
      <w:r w:rsidRPr="57C8CCB3" w:rsidR="1B9C17A3">
        <w:rPr>
          <w:lang w:val="es-PE"/>
        </w:rPr>
        <w:t>.............................</w:t>
      </w:r>
      <w:r w:rsidRPr="57C8CCB3" w:rsidR="008E0099">
        <w:rPr>
          <w:lang w:val="es-PE"/>
        </w:rPr>
        <w:t xml:space="preserve"> del 27 de diciembre también con el detalle “SEGTARJETA360” por la suma de PEN 20.5 (veinte soles y 50/100).</w:t>
      </w:r>
    </w:p>
    <w:p w:rsidRPr="008E0099" w:rsidR="008E0099" w:rsidP="008E0099" w:rsidRDefault="008E0099" w14:paraId="4BE0CF15" w14:textId="6A9AA7E3">
      <w:pPr>
        <w:spacing w:after="200"/>
        <w:jc w:val="both"/>
        <w:rPr>
          <w:lang w:val="es-PE"/>
        </w:rPr>
      </w:pPr>
      <w:r w:rsidRPr="57C8CCB3" w:rsidR="008E0099">
        <w:rPr>
          <w:lang w:val="es-PE"/>
        </w:rPr>
        <w:t xml:space="preserve">Que, el 19 de mayo de 2025 se realizó a través de </w:t>
      </w:r>
      <w:bookmarkStart w:name="_Hlk199292738" w:id="2"/>
      <w:r w:rsidRPr="57C8CCB3" w:rsidR="008E0099">
        <w:rPr>
          <w:lang w:val="es-PE"/>
        </w:rPr>
        <w:t>videoconferencia</w:t>
      </w:r>
      <w:bookmarkEnd w:id="2"/>
      <w:r w:rsidRPr="57C8CCB3" w:rsidR="008E0099">
        <w:rPr>
          <w:lang w:val="es-PE"/>
        </w:rPr>
        <w:t xml:space="preserve"> la audiencia de informe oral con la concurrencia del señor </w:t>
      </w:r>
      <w:r w:rsidRPr="57C8CCB3" w:rsidR="530F65AF">
        <w:rPr>
          <w:lang w:val="es-PE"/>
        </w:rPr>
        <w:t>......................................</w:t>
      </w:r>
      <w:r w:rsidRPr="57C8CCB3" w:rsidR="008E0099">
        <w:rPr>
          <w:lang w:val="es-PE"/>
        </w:rPr>
        <w:t xml:space="preserve"> y del representante de </w:t>
      </w:r>
      <w:r w:rsidRPr="57C8CCB3" w:rsidR="1B9C17A3">
        <w:rPr>
          <w:lang w:val="es-PE"/>
        </w:rPr>
        <w:t>.............................</w:t>
      </w:r>
      <w:r w:rsidRPr="57C8CCB3" w:rsidR="008E0099">
        <w:rPr>
          <w:lang w:val="es-PE"/>
        </w:rPr>
        <w:t xml:space="preserve">, los cuales tuvieron la oportunidad de exponer sus argumentos; asimismo, las partes absolvieron las preguntas formuladas por los miembros de la Defensoría. En la Audiencia, el Colegiado otorgó un plazo de tres (3) días hábiles para que </w:t>
      </w:r>
      <w:r w:rsidRPr="57C8CCB3" w:rsidR="1B9C17A3">
        <w:rPr>
          <w:lang w:val="es-PE"/>
        </w:rPr>
        <w:t>.............................</w:t>
      </w:r>
      <w:r w:rsidRPr="57C8CCB3" w:rsidR="008E0099">
        <w:rPr>
          <w:lang w:val="es-PE"/>
        </w:rPr>
        <w:t xml:space="preserve"> cumpla con lo siguiente: </w:t>
      </w:r>
      <w:r w:rsidRPr="57C8CCB3" w:rsidR="008E0099">
        <w:rPr>
          <w:b w:val="1"/>
          <w:bCs w:val="1"/>
          <w:i w:val="1"/>
          <w:iCs w:val="1"/>
          <w:lang w:val="es-PE"/>
        </w:rPr>
        <w:t xml:space="preserve">(i) </w:t>
      </w:r>
      <w:r w:rsidRPr="57C8CCB3" w:rsidR="008E0099">
        <w:rPr>
          <w:lang w:val="es-PE"/>
        </w:rPr>
        <w:t xml:space="preserve">aclarar y documente cuál era la póliza que el asegurado tenía vigente al momento del siniestro; y, </w:t>
      </w:r>
      <w:r w:rsidRPr="57C8CCB3" w:rsidR="008E0099">
        <w:rPr>
          <w:b w:val="1"/>
          <w:bCs w:val="1"/>
          <w:i w:val="1"/>
          <w:iCs w:val="1"/>
          <w:lang w:val="es-PE"/>
        </w:rPr>
        <w:t>(</w:t>
      </w:r>
      <w:r w:rsidRPr="57C8CCB3" w:rsidR="008E0099">
        <w:rPr>
          <w:b w:val="1"/>
          <w:bCs w:val="1"/>
          <w:i w:val="1"/>
          <w:iCs w:val="1"/>
          <w:lang w:val="es-PE"/>
        </w:rPr>
        <w:t>ii</w:t>
      </w:r>
      <w:r w:rsidRPr="57C8CCB3" w:rsidR="008E0099">
        <w:rPr>
          <w:b w:val="1"/>
          <w:bCs w:val="1"/>
          <w:i w:val="1"/>
          <w:iCs w:val="1"/>
          <w:lang w:val="es-PE"/>
        </w:rPr>
        <w:t xml:space="preserve">) </w:t>
      </w:r>
      <w:r w:rsidRPr="57C8CCB3" w:rsidR="008E0099">
        <w:rPr>
          <w:lang w:val="es-PE"/>
        </w:rPr>
        <w:t xml:space="preserve">presentar el informe completo del polígrafo. Asimismo, se otorgó el mismo plazo al señor </w:t>
      </w:r>
      <w:r w:rsidRPr="57C8CCB3" w:rsidR="530F65AF">
        <w:rPr>
          <w:lang w:val="es-PE"/>
        </w:rPr>
        <w:t>......................................</w:t>
      </w:r>
      <w:r w:rsidRPr="57C8CCB3" w:rsidR="008E0099">
        <w:rPr>
          <w:lang w:val="es-PE"/>
        </w:rPr>
        <w:t xml:space="preserve"> para que presente la siguiente documentación: </w:t>
      </w:r>
      <w:r w:rsidRPr="57C8CCB3" w:rsidR="008E0099">
        <w:rPr>
          <w:b w:val="1"/>
          <w:bCs w:val="1"/>
          <w:i w:val="1"/>
          <w:iCs w:val="1"/>
          <w:lang w:val="es-PE"/>
        </w:rPr>
        <w:t>(i)</w:t>
      </w:r>
      <w:r w:rsidRPr="57C8CCB3" w:rsidR="008E0099">
        <w:rPr>
          <w:lang w:val="es-PE"/>
        </w:rPr>
        <w:t xml:space="preserve"> el resultado examen del médico legista al que se hiciera referencia en la Audiencia, </w:t>
      </w:r>
      <w:r w:rsidRPr="57C8CCB3" w:rsidR="008E0099">
        <w:rPr>
          <w:b w:val="1"/>
          <w:bCs w:val="1"/>
          <w:i w:val="1"/>
          <w:iCs w:val="1"/>
          <w:lang w:val="es-PE"/>
        </w:rPr>
        <w:t>(</w:t>
      </w:r>
      <w:r w:rsidRPr="57C8CCB3" w:rsidR="008E0099">
        <w:rPr>
          <w:b w:val="1"/>
          <w:bCs w:val="1"/>
          <w:i w:val="1"/>
          <w:iCs w:val="1"/>
          <w:lang w:val="es-PE"/>
        </w:rPr>
        <w:t>ii</w:t>
      </w:r>
      <w:r w:rsidRPr="57C8CCB3" w:rsidR="008E0099">
        <w:rPr>
          <w:b w:val="1"/>
          <w:bCs w:val="1"/>
          <w:i w:val="1"/>
          <w:iCs w:val="1"/>
          <w:lang w:val="es-PE"/>
        </w:rPr>
        <w:t xml:space="preserve">) </w:t>
      </w:r>
      <w:r w:rsidRPr="57C8CCB3" w:rsidR="008E0099">
        <w:rPr>
          <w:lang w:val="es-PE"/>
        </w:rPr>
        <w:t xml:space="preserve">el certificado toxicológico (o la comunicación solicitando ello a la fiscalía); y, </w:t>
      </w:r>
      <w:r w:rsidRPr="57C8CCB3" w:rsidR="008E0099">
        <w:rPr>
          <w:b w:val="1"/>
          <w:bCs w:val="1"/>
          <w:i w:val="1"/>
          <w:iCs w:val="1"/>
          <w:lang w:val="es-PE"/>
        </w:rPr>
        <w:t>(</w:t>
      </w:r>
      <w:r w:rsidRPr="57C8CCB3" w:rsidR="008E0099">
        <w:rPr>
          <w:b w:val="1"/>
          <w:bCs w:val="1"/>
          <w:i w:val="1"/>
          <w:iCs w:val="1"/>
          <w:lang w:val="es-PE"/>
        </w:rPr>
        <w:t>ii</w:t>
      </w:r>
      <w:r w:rsidRPr="57C8CCB3" w:rsidR="008E0099">
        <w:rPr>
          <w:b w:val="1"/>
          <w:bCs w:val="1"/>
          <w:i w:val="1"/>
          <w:iCs w:val="1"/>
          <w:lang w:val="es-PE"/>
        </w:rPr>
        <w:t>)</w:t>
      </w:r>
      <w:r w:rsidRPr="57C8CCB3" w:rsidR="008E0099">
        <w:rPr>
          <w:lang w:val="es-PE"/>
        </w:rPr>
        <w:t xml:space="preserve"> documente el bloqueo del celular ante Telefónica.</w:t>
      </w:r>
    </w:p>
    <w:p w:rsidRPr="008E0099" w:rsidR="008E0099" w:rsidP="008E0099" w:rsidRDefault="008E0099" w14:paraId="0A752955" w14:textId="77699E47">
      <w:pPr>
        <w:spacing w:after="200"/>
        <w:jc w:val="both"/>
        <w:rPr>
          <w:lang w:val="es-PE"/>
        </w:rPr>
      </w:pPr>
      <w:r w:rsidRPr="57C8CCB3" w:rsidR="008E0099">
        <w:rPr>
          <w:lang w:val="es-PE"/>
        </w:rPr>
        <w:t xml:space="preserve">Que, el señor </w:t>
      </w:r>
      <w:r w:rsidRPr="57C8CCB3" w:rsidR="30126F9F">
        <w:rPr>
          <w:lang w:val="es-PE"/>
        </w:rPr>
        <w:t>......................................</w:t>
      </w:r>
      <w:r w:rsidRPr="57C8CCB3" w:rsidR="008E0099">
        <w:rPr>
          <w:lang w:val="es-PE"/>
        </w:rPr>
        <w:t xml:space="preserve"> mediante correo del 19 de mayo de 2025, presentó la siguiente documentación que fuera requerida por la Defensoría en la Audiencia de informe oral: </w:t>
      </w:r>
      <w:r w:rsidRPr="57C8CCB3" w:rsidR="008E0099">
        <w:rPr>
          <w:b w:val="1"/>
          <w:bCs w:val="1"/>
          <w:i w:val="1"/>
          <w:iCs w:val="1"/>
          <w:lang w:val="es-PE"/>
        </w:rPr>
        <w:t>(i)</w:t>
      </w:r>
      <w:r w:rsidRPr="57C8CCB3" w:rsidR="008E0099">
        <w:rPr>
          <w:lang w:val="es-PE"/>
        </w:rPr>
        <w:t xml:space="preserve"> copia del correo al Ministerio Público solicitando los resultados del examen toxicológico y reconocimiento médico legal; </w:t>
      </w:r>
      <w:r w:rsidRPr="57C8CCB3" w:rsidR="008E0099">
        <w:rPr>
          <w:b w:val="1"/>
          <w:bCs w:val="1"/>
          <w:i w:val="1"/>
          <w:iCs w:val="1"/>
          <w:lang w:val="es-PE"/>
        </w:rPr>
        <w:t>(</w:t>
      </w:r>
      <w:r w:rsidRPr="57C8CCB3" w:rsidR="008E0099">
        <w:rPr>
          <w:b w:val="1"/>
          <w:bCs w:val="1"/>
          <w:i w:val="1"/>
          <w:iCs w:val="1"/>
          <w:lang w:val="es-PE"/>
        </w:rPr>
        <w:t>ii</w:t>
      </w:r>
      <w:r w:rsidRPr="57C8CCB3" w:rsidR="008E0099">
        <w:rPr>
          <w:b w:val="1"/>
          <w:bCs w:val="1"/>
          <w:i w:val="1"/>
          <w:iCs w:val="1"/>
          <w:lang w:val="es-PE"/>
        </w:rPr>
        <w:t>)</w:t>
      </w:r>
      <w:r w:rsidRPr="57C8CCB3" w:rsidR="008E0099">
        <w:rPr>
          <w:lang w:val="es-PE"/>
        </w:rPr>
        <w:t xml:space="preserve"> constancia de bloqueo de celular entregada por Telefónica desde el 18 de agosto de 2024 a las 12:55 h.</w:t>
      </w:r>
    </w:p>
    <w:p w:rsidRPr="008E0099" w:rsidR="008E0099" w:rsidP="008E0099" w:rsidRDefault="008E0099" w14:paraId="4BBF470B" w14:textId="4E6519A2">
      <w:pPr>
        <w:spacing w:after="200"/>
        <w:jc w:val="both"/>
        <w:rPr>
          <w:lang w:val="es-PE"/>
        </w:rPr>
      </w:pPr>
      <w:r w:rsidRPr="57C8CCB3" w:rsidR="008E0099">
        <w:rPr>
          <w:lang w:val="es-PE"/>
        </w:rPr>
        <w:t xml:space="preserve">Que, el 22 de mayo de 2025, </w:t>
      </w:r>
      <w:r w:rsidRPr="57C8CCB3" w:rsidR="1B9C17A3">
        <w:rPr>
          <w:lang w:val="es-PE"/>
        </w:rPr>
        <w:t>.............................</w:t>
      </w:r>
      <w:r w:rsidRPr="57C8CCB3" w:rsidR="008E0099">
        <w:rPr>
          <w:lang w:val="es-PE"/>
        </w:rPr>
        <w:t xml:space="preserve"> absolvió mediante escrito el requerimiento de la Defensoría indicando que la Póliza </w:t>
      </w:r>
      <w:r w:rsidRPr="57C8CCB3" w:rsidR="008E0099">
        <w:rPr>
          <w:lang w:val="es-PE"/>
        </w:rPr>
        <w:t>n.°</w:t>
      </w:r>
      <w:r w:rsidRPr="57C8CCB3" w:rsidR="008E0099">
        <w:rPr>
          <w:lang w:val="es-PE"/>
        </w:rPr>
        <w:t xml:space="preserve"> </w:t>
      </w:r>
      <w:r w:rsidRPr="57C8CCB3" w:rsidR="5A0F0E18">
        <w:rPr>
          <w:lang w:val="es-PE"/>
        </w:rPr>
        <w:t>...........</w:t>
      </w:r>
      <w:r w:rsidRPr="57C8CCB3" w:rsidR="008E0099">
        <w:rPr>
          <w:lang w:val="es-PE"/>
        </w:rPr>
        <w:t xml:space="preserve"> tuvo una vigencia desde el 17 de enero de 2024 hasta el 16 de enero de 2025, siendo la que se encontraba activa al momento del siniestro ocurrido el día 18 de agosto de 2024. Con este escrito, la aseguradora presentó la siguiente documentación: </w:t>
      </w:r>
      <w:r w:rsidRPr="57C8CCB3" w:rsidR="008E0099">
        <w:rPr>
          <w:b w:val="1"/>
          <w:bCs w:val="1"/>
          <w:i w:val="1"/>
          <w:iCs w:val="1"/>
          <w:lang w:val="es-PE"/>
        </w:rPr>
        <w:t>(i)</w:t>
      </w:r>
      <w:r w:rsidRPr="57C8CCB3" w:rsidR="008E0099">
        <w:rPr>
          <w:lang w:val="es-PE"/>
        </w:rPr>
        <w:t xml:space="preserve"> Póliza </w:t>
      </w:r>
      <w:r w:rsidRPr="57C8CCB3" w:rsidR="008E0099">
        <w:rPr>
          <w:lang w:val="es-PE"/>
        </w:rPr>
        <w:t>n.°</w:t>
      </w:r>
      <w:r w:rsidRPr="57C8CCB3" w:rsidR="008E0099">
        <w:rPr>
          <w:lang w:val="es-PE"/>
        </w:rPr>
        <w:t xml:space="preserve"> </w:t>
      </w:r>
      <w:r w:rsidRPr="57C8CCB3" w:rsidR="5A0F0E18">
        <w:rPr>
          <w:lang w:val="es-PE"/>
        </w:rPr>
        <w:t>...........</w:t>
      </w:r>
      <w:r w:rsidRPr="57C8CCB3" w:rsidR="008E0099">
        <w:rPr>
          <w:lang w:val="es-PE"/>
        </w:rPr>
        <w:t xml:space="preserve"> y su trazabilidad; e </w:t>
      </w:r>
      <w:r w:rsidRPr="57C8CCB3" w:rsidR="008E0099">
        <w:rPr>
          <w:b w:val="1"/>
          <w:bCs w:val="1"/>
          <w:i w:val="1"/>
          <w:iCs w:val="1"/>
          <w:lang w:val="es-PE"/>
        </w:rPr>
        <w:t>(</w:t>
      </w:r>
      <w:r w:rsidRPr="57C8CCB3" w:rsidR="008E0099">
        <w:rPr>
          <w:b w:val="1"/>
          <w:bCs w:val="1"/>
          <w:i w:val="1"/>
          <w:iCs w:val="1"/>
          <w:lang w:val="es-PE"/>
        </w:rPr>
        <w:t>ii</w:t>
      </w:r>
      <w:r w:rsidRPr="57C8CCB3" w:rsidR="008E0099">
        <w:rPr>
          <w:b w:val="1"/>
          <w:bCs w:val="1"/>
          <w:i w:val="1"/>
          <w:iCs w:val="1"/>
          <w:lang w:val="es-PE"/>
        </w:rPr>
        <w:t>)</w:t>
      </w:r>
      <w:r w:rsidRPr="57C8CCB3" w:rsidR="008E0099">
        <w:rPr>
          <w:lang w:val="es-PE"/>
        </w:rPr>
        <w:t xml:space="preserve"> Informe examen de polígrafo </w:t>
      </w:r>
      <w:r w:rsidRPr="57C8CCB3" w:rsidR="008E0099">
        <w:rPr>
          <w:lang w:val="es-PE"/>
        </w:rPr>
        <w:t>n.°</w:t>
      </w:r>
      <w:r w:rsidRPr="57C8CCB3" w:rsidR="008E0099">
        <w:rPr>
          <w:lang w:val="es-PE"/>
        </w:rPr>
        <w:t xml:space="preserve"> </w:t>
      </w:r>
      <w:r w:rsidRPr="57C8CCB3" w:rsidR="4C404F10">
        <w:rPr>
          <w:lang w:val="es-PE"/>
        </w:rPr>
        <w:t>......................</w:t>
      </w:r>
      <w:r w:rsidRPr="57C8CCB3" w:rsidR="008E0099">
        <w:rPr>
          <w:lang w:val="es-PE"/>
        </w:rPr>
        <w:t xml:space="preserve">-CCASS (Informe de polígrafo). </w:t>
      </w:r>
    </w:p>
    <w:p w:rsidRPr="008E0099" w:rsidR="008E0099" w:rsidP="008E0099" w:rsidRDefault="008E0099" w14:paraId="406EBF35" w14:textId="6892FAEC">
      <w:pPr>
        <w:spacing w:after="200"/>
        <w:jc w:val="both"/>
        <w:rPr>
          <w:color w:val="000000"/>
          <w:lang w:val="es-PE"/>
        </w:rPr>
      </w:pPr>
      <w:r w:rsidRPr="008E0099">
        <w:rPr>
          <w:lang w:val="es-PE"/>
        </w:rPr>
        <w:t>Al resolver, este Colegiado toma en cuenta las argumentaciones de las partes expresadas a lo largo del procedimiento.</w:t>
      </w:r>
    </w:p>
    <w:p w:rsidRPr="008E0099" w:rsidR="008E0099" w:rsidP="008E0099" w:rsidRDefault="008E0099" w14:paraId="73AA27A5" w14:textId="77777777">
      <w:pPr>
        <w:spacing w:after="200"/>
        <w:jc w:val="both"/>
        <w:outlineLvl w:val="0"/>
        <w:rPr>
          <w:b/>
          <w:bCs/>
          <w:lang w:val="es-MX"/>
        </w:rPr>
      </w:pPr>
      <w:r w:rsidRPr="008E0099">
        <w:rPr>
          <w:b/>
          <w:bCs/>
          <w:lang w:val="es-MX"/>
        </w:rPr>
        <w:t>CONSIDERANDO:</w:t>
      </w:r>
    </w:p>
    <w:p w:rsidRPr="008E0099" w:rsidR="008E0099" w:rsidP="008E0099" w:rsidRDefault="008E0099" w14:paraId="61BFEB83" w14:textId="77777777">
      <w:pPr>
        <w:spacing w:after="200"/>
        <w:jc w:val="both"/>
        <w:rPr>
          <w:lang w:val="es-PE"/>
        </w:rPr>
      </w:pPr>
      <w:r w:rsidRPr="008E0099">
        <w:rPr>
          <w:b/>
          <w:bCs/>
          <w:u w:val="single"/>
          <w:lang w:val="es-PE"/>
        </w:rPr>
        <w:t>PRIMERO</w:t>
      </w:r>
      <w:r w:rsidRPr="008E0099">
        <w:rPr>
          <w:lang w:val="es-PE"/>
        </w:rPr>
        <w:t>: Conforme al Reglamento de la DEFASEG (el “Reglamento”)</w:t>
      </w:r>
      <w:r w:rsidRPr="008E0099">
        <w:rPr>
          <w:vertAlign w:val="superscript"/>
        </w:rPr>
        <w:footnoteReference w:id="1"/>
      </w:r>
      <w:r w:rsidRPr="008E0099">
        <w:rPr>
          <w:lang w:val="es-PE"/>
        </w:rPr>
        <w:t xml:space="preserve">, esta Defensoría sólo es competente para resolver aquellos reclamos indemnizatorios de los asegurados, que hubiesen sido sometidas a su conocimiento, sobre la base de la documentación obrante en el expediente y con arreglo a derecho, siempre y cuando las mismas cumplan los requisitos reglamentarios de materia, cuantía y oportunidad, de manera que todas aquellos reclamos por materias distintas al otorgamiento de la cobertura, como podrían ser aquellas pretensiones indemnizatorias por daños y perjuicios, el reembolso de los gastos incurridos por el asegurado o la idoneidad del servicio brindado </w:t>
      </w:r>
      <w:r w:rsidRPr="008E0099">
        <w:rPr>
          <w:lang w:val="es-PE"/>
        </w:rPr>
        <w:t>por la empresa aseguradora, son ajenas a la competencia funcional de esta Defensoría; y, por lo tanto, deberán discutirse ante las instancias competentes.</w:t>
      </w:r>
    </w:p>
    <w:p w:rsidRPr="008E0099" w:rsidR="008E0099" w:rsidP="008E0099" w:rsidRDefault="008E0099" w14:paraId="1ABAE320" w14:textId="77777777">
      <w:pPr>
        <w:spacing w:after="200"/>
        <w:jc w:val="both"/>
        <w:rPr>
          <w:lang w:val="es-PE"/>
        </w:rPr>
      </w:pPr>
      <w:r w:rsidRPr="008E0099">
        <w:rPr>
          <w:b/>
          <w:bCs/>
          <w:u w:val="single"/>
          <w:lang w:val="es-PE"/>
        </w:rPr>
        <w:t>SEGUNDO</w:t>
      </w:r>
      <w:r w:rsidRPr="008E0099">
        <w:rPr>
          <w:lang w:val="es-PE"/>
        </w:rPr>
        <w:t xml:space="preserve">: Asimismo, de acuerdo con el Reglamento, las resoluciones emitidas por la sala colegiada de la DEFASEG que queden </w:t>
      </w:r>
      <w:proofErr w:type="gramStart"/>
      <w:r w:rsidRPr="008E0099">
        <w:rPr>
          <w:lang w:val="es-PE"/>
        </w:rPr>
        <w:t>firmes,</w:t>
      </w:r>
      <w:proofErr w:type="gramEnd"/>
      <w:r w:rsidRPr="008E0099">
        <w:rPr>
          <w:lang w:val="es-PE"/>
        </w:rPr>
        <w:t xml:space="preserve"> son vinculantes para las empresas aseguradoras, cuando estas son favorables para los asegurados, las cuales deberán proceder conforme a lo ordenado en ellas en un plazo máximo de quince días hábiles de notificada la resolución. </w:t>
      </w:r>
    </w:p>
    <w:p w:rsidRPr="008E0099" w:rsidR="008E0099" w:rsidP="008E0099" w:rsidRDefault="008E0099" w14:paraId="0EA7F0A2" w14:textId="77777777">
      <w:pPr>
        <w:spacing w:after="200"/>
        <w:jc w:val="both"/>
        <w:rPr>
          <w:lang w:val="es-PE"/>
        </w:rPr>
      </w:pPr>
      <w:r w:rsidRPr="008E0099">
        <w:rPr>
          <w:b/>
          <w:bCs/>
          <w:u w:val="single"/>
          <w:lang w:val="es-PE"/>
        </w:rPr>
        <w:t>TERCERO</w:t>
      </w:r>
      <w:r w:rsidRPr="008E0099">
        <w:rPr>
          <w:lang w:val="es-PE"/>
        </w:rPr>
        <w:t>: El artículo 1 de la Ley del Contrato de Seguro</w:t>
      </w:r>
      <w:r w:rsidRPr="008E0099">
        <w:rPr>
          <w:rStyle w:val="Refdenotaalpie"/>
          <w:lang w:val="es-PE"/>
        </w:rPr>
        <w:footnoteReference w:id="2"/>
      </w:r>
      <w:r w:rsidRPr="008E0099">
        <w:rPr>
          <w:lang w:val="es-PE"/>
        </w:rPr>
        <w:t xml:space="preserve"> dispone que el contrato de seguro es aquel por el que la empresa aseguradora se obliga, mediante el cobro de una prima, para el caso de que se produzca el evento cuyo riesgo es objeto de cobertura, a indemnizar -dentro de los límites pactados- el daño producido al asegurado o a satisfacer un capital, una renta u otras prestaciones convenidas, enmarcado en una póliza que la empresa aseguradora debe entregar al contratante y cuyos requisitos mínimos están previstos en el artículo 26 de la Ley señalada.</w:t>
      </w:r>
    </w:p>
    <w:p w:rsidRPr="008E0099" w:rsidR="008E0099" w:rsidP="008E0099" w:rsidRDefault="008E0099" w14:paraId="5BC73E8E" w14:textId="77777777">
      <w:pPr>
        <w:spacing w:after="200"/>
        <w:jc w:val="both"/>
        <w:rPr>
          <w:lang w:val="es-PE"/>
        </w:rPr>
      </w:pPr>
      <w:r w:rsidRPr="008E0099">
        <w:rPr>
          <w:b/>
          <w:bCs/>
          <w:u w:val="single"/>
          <w:lang w:val="es-PE"/>
        </w:rPr>
        <w:t>CUARTO</w:t>
      </w:r>
      <w:r w:rsidRPr="008E0099">
        <w:rPr>
          <w:lang w:val="es-PE"/>
        </w:rPr>
        <w:t>: Que, el artículo 1361 del Código Civil</w:t>
      </w:r>
      <w:r w:rsidRPr="008E0099">
        <w:rPr>
          <w:rStyle w:val="Refdenotaalpie"/>
          <w:lang w:val="es-PE"/>
        </w:rPr>
        <w:footnoteReference w:id="3"/>
      </w:r>
      <w:r w:rsidRPr="008E0099">
        <w:rPr>
          <w:lang w:val="es-PE"/>
        </w:rPr>
        <w:t xml:space="preserve"> establece que los contratos son obligatorios en cuanto se encuentre expresado en ellos, presumiéndose que lo declarado corresponde a la voluntad de las partes, de manera que la parte que sostenga lo contrario a lo establecido expresamente en ellos deberá probarlo.</w:t>
      </w:r>
    </w:p>
    <w:p w:rsidRPr="008E0099" w:rsidR="008E0099" w:rsidP="008E0099" w:rsidRDefault="008E0099" w14:paraId="05B7C746" w14:textId="77777777">
      <w:pPr>
        <w:spacing w:after="200"/>
        <w:jc w:val="both"/>
        <w:rPr>
          <w:lang w:val="es-PE"/>
        </w:rPr>
      </w:pPr>
      <w:r w:rsidRPr="008E0099">
        <w:rPr>
          <w:b/>
          <w:bCs/>
          <w:u w:val="single"/>
          <w:lang w:val="es-PE"/>
        </w:rPr>
        <w:t>QUINTO</w:t>
      </w:r>
      <w:r w:rsidRPr="008E0099">
        <w:rPr>
          <w:lang w:val="es-PE"/>
        </w:rPr>
        <w:t>: Que, en materia procesal, corresponde a quien invoque los hechos probar su existencia; carga a la que se refiere el artículo 196 del Código Procesal Civil</w:t>
      </w:r>
      <w:r w:rsidRPr="008E0099">
        <w:rPr>
          <w:rStyle w:val="Refdenotaalpie"/>
          <w:lang w:val="es-PE"/>
        </w:rPr>
        <w:footnoteReference w:id="4"/>
      </w:r>
      <w:r w:rsidRPr="008E0099">
        <w:rPr>
          <w:lang w:val="es-PE"/>
        </w:rPr>
        <w:t>, salvo que se acoja a alguna presunción legal de carácter relativa o absoluta contemplada expresamente en la legislación pertinente.</w:t>
      </w:r>
    </w:p>
    <w:p w:rsidRPr="008E0099" w:rsidR="008E0099" w:rsidP="008E0099" w:rsidRDefault="008E0099" w14:paraId="76647B4E" w14:textId="77777777">
      <w:pPr>
        <w:spacing w:after="200"/>
        <w:jc w:val="both"/>
        <w:rPr>
          <w:lang w:val="es-PE"/>
        </w:rPr>
      </w:pPr>
      <w:r w:rsidRPr="008E0099">
        <w:rPr>
          <w:b/>
          <w:bCs/>
          <w:u w:val="single"/>
          <w:lang w:val="es-PE"/>
        </w:rPr>
        <w:t>SEXTO</w:t>
      </w:r>
      <w:r w:rsidRPr="008E0099">
        <w:rPr>
          <w:lang w:val="es-PE"/>
        </w:rPr>
        <w:t>: Que este Colegiado al resolver ha tomado en consideración los argumentos presentados por ambas partes. En ese sentido, el detalle de las posiciones de las partes refleja lo que son sus principales argumentos, no pretendiendo ser un listado exhaustivo de los mismos.</w:t>
      </w:r>
    </w:p>
    <w:p w:rsidRPr="008E0099" w:rsidR="008E0099" w:rsidP="008E0099" w:rsidRDefault="008E0099" w14:paraId="07DB45FE" w14:textId="77777777">
      <w:pPr>
        <w:spacing w:after="200"/>
        <w:jc w:val="both"/>
        <w:rPr>
          <w:lang w:val="es-PE"/>
        </w:rPr>
      </w:pPr>
      <w:bookmarkStart w:name="_Hlk200061658" w:id="3"/>
      <w:r w:rsidRPr="008E0099">
        <w:rPr>
          <w:b/>
          <w:bCs/>
          <w:u w:val="single"/>
          <w:lang w:val="es-PE"/>
        </w:rPr>
        <w:t>SÉPTIMO</w:t>
      </w:r>
      <w:r w:rsidRPr="008E0099">
        <w:rPr>
          <w:lang w:val="es-PE"/>
        </w:rPr>
        <w:t xml:space="preserve">: El Reglamento de la DEFASEG dispone en su artículo 4 que, este Colegiado es competente para resolver aquellas controversias suscitadas entre asegurados y empresas de seguros, siempre que se cumplan con los siguientes requisitos de materia, plazo y cuantía de manera concurrente: </w:t>
      </w:r>
      <w:r w:rsidRPr="008E0099">
        <w:rPr>
          <w:b/>
          <w:bCs/>
          <w:i/>
          <w:iCs/>
          <w:lang w:val="es-PE"/>
        </w:rPr>
        <w:t>(i)</w:t>
      </w:r>
      <w:r w:rsidRPr="008E0099">
        <w:rPr>
          <w:lang w:val="es-PE"/>
        </w:rPr>
        <w:t xml:space="preserve"> por un rechazo o liquidación de un siniestro por parte de </w:t>
      </w:r>
      <w:r w:rsidRPr="008E0099">
        <w:rPr>
          <w:lang w:val="es-PE"/>
        </w:rPr>
        <w:t xml:space="preserve">una empresa de seguros; </w:t>
      </w:r>
      <w:r w:rsidRPr="008E0099">
        <w:rPr>
          <w:b/>
          <w:bCs/>
          <w:i/>
          <w:iCs/>
          <w:lang w:val="es-PE"/>
        </w:rPr>
        <w:t>(</w:t>
      </w:r>
      <w:proofErr w:type="spellStart"/>
      <w:r w:rsidRPr="008E0099">
        <w:rPr>
          <w:b/>
          <w:bCs/>
          <w:i/>
          <w:iCs/>
          <w:lang w:val="es-PE"/>
        </w:rPr>
        <w:t>ii</w:t>
      </w:r>
      <w:proofErr w:type="spellEnd"/>
      <w:r w:rsidRPr="008E0099">
        <w:rPr>
          <w:b/>
          <w:bCs/>
          <w:i/>
          <w:iCs/>
          <w:lang w:val="es-PE"/>
        </w:rPr>
        <w:t>)</w:t>
      </w:r>
      <w:r w:rsidRPr="008E0099">
        <w:rPr>
          <w:lang w:val="es-PE"/>
        </w:rPr>
        <w:t xml:space="preserve"> el reclamo debe presentarse dentro del plazo de dos años calculado desde el día siguiente de recibida la primera notificación en que es rechazada la pretensión de cobertura por parte de la empresa de seguros; y, </w:t>
      </w:r>
      <w:r w:rsidRPr="008E0099">
        <w:rPr>
          <w:b/>
          <w:bCs/>
          <w:i/>
          <w:iCs/>
          <w:lang w:val="es-PE"/>
        </w:rPr>
        <w:t>(</w:t>
      </w:r>
      <w:proofErr w:type="spellStart"/>
      <w:r w:rsidRPr="008E0099">
        <w:rPr>
          <w:b/>
          <w:bCs/>
          <w:i/>
          <w:iCs/>
          <w:lang w:val="es-PE"/>
        </w:rPr>
        <w:t>iii</w:t>
      </w:r>
      <w:proofErr w:type="spellEnd"/>
      <w:r w:rsidRPr="008E0099">
        <w:rPr>
          <w:b/>
          <w:bCs/>
          <w:i/>
          <w:iCs/>
          <w:lang w:val="es-PE"/>
        </w:rPr>
        <w:t>)</w:t>
      </w:r>
      <w:r w:rsidRPr="008E0099">
        <w:rPr>
          <w:lang w:val="es-PE"/>
        </w:rPr>
        <w:t xml:space="preserve"> el total de la indemnización exigida por el asegurado a la empresa de seguros no debe exceder los USD 50 000 (cincuenta mil dólares americanos y 00/100)</w:t>
      </w:r>
      <w:r w:rsidRPr="008E0099">
        <w:rPr>
          <w:rStyle w:val="Refdenotaalpie"/>
          <w:lang w:val="es-PE"/>
        </w:rPr>
        <w:footnoteReference w:id="5"/>
      </w:r>
      <w:r w:rsidRPr="008E0099">
        <w:rPr>
          <w:lang w:val="es-PE"/>
        </w:rPr>
        <w:t xml:space="preserve">.  </w:t>
      </w:r>
    </w:p>
    <w:p w:rsidRPr="008E0099" w:rsidR="008E0099" w:rsidP="008E0099" w:rsidRDefault="008E0099" w14:paraId="0218CF0F" w14:textId="72C1066E">
      <w:pPr>
        <w:spacing w:after="200"/>
        <w:jc w:val="both"/>
        <w:rPr>
          <w:lang w:val="es-PE"/>
        </w:rPr>
      </w:pPr>
      <w:r w:rsidRPr="57C8CCB3" w:rsidR="008E0099">
        <w:rPr>
          <w:b w:val="1"/>
          <w:bCs w:val="1"/>
          <w:u w:val="single"/>
          <w:lang w:val="es-PE"/>
        </w:rPr>
        <w:t>OCTAVO:</w:t>
      </w:r>
      <w:r w:rsidRPr="57C8CCB3" w:rsidR="008E0099">
        <w:rPr>
          <w:lang w:val="es-PE"/>
        </w:rPr>
        <w:t xml:space="preserve"> De los actuados se desprende que no se encuentra en discusión el hecho que el señor </w:t>
      </w:r>
      <w:r w:rsidRPr="57C8CCB3" w:rsidR="530F65AF">
        <w:rPr>
          <w:lang w:val="es-PE"/>
        </w:rPr>
        <w:t>......................................</w:t>
      </w:r>
      <w:r w:rsidRPr="57C8CCB3" w:rsidR="008E0099">
        <w:rPr>
          <w:lang w:val="es-PE"/>
        </w:rPr>
        <w:t xml:space="preserve"> adquirió un seguro denominado comercialmente “Seguro de Tarjetas 360°” que ofrecía protección por un posible uso indebido de sus tarjetas por robo, secuestro, hurto o extravío, con una cobertura de hasta PEN 49 000 (cuarenta y nueve mil soles y 00/100) anuales en dos eventos de hasta PEN 24 500 (veinticuatro mil y quinientos soles y 00/100) cada uno.</w:t>
      </w:r>
    </w:p>
    <w:p w:rsidRPr="008E0099" w:rsidR="008E0099" w:rsidP="008E0099" w:rsidRDefault="008E0099" w14:paraId="0CCC2541" w14:textId="0FD1328C">
      <w:pPr>
        <w:spacing w:after="200"/>
        <w:jc w:val="both"/>
        <w:rPr>
          <w:lang w:val="es-PE"/>
        </w:rPr>
      </w:pPr>
      <w:r w:rsidRPr="008E0099" w:rsidR="008E0099">
        <w:rPr>
          <w:b w:val="1"/>
          <w:bCs w:val="1"/>
          <w:u w:val="single"/>
          <w:lang w:val="es-PE"/>
        </w:rPr>
        <w:t>NOVENO</w:t>
      </w:r>
      <w:r w:rsidRPr="008E0099" w:rsidR="008E0099">
        <w:rPr>
          <w:lang w:val="es-PE"/>
        </w:rPr>
        <w:t xml:space="preserve">: Sobre la base de los documentos presentados por las partes en esta controversia, este Colegiado considera que la materia controvertida consiste en determinar la legitimidad del rechazo de la cobertura comunicada por </w:t>
      </w:r>
      <w:r w:rsidRPr="008E0099" w:rsidR="1B9C17A3">
        <w:rPr>
          <w:lang w:val="es-PE"/>
        </w:rPr>
        <w:t>.............................</w:t>
      </w:r>
      <w:r w:rsidRPr="008E0099" w:rsidR="008E0099">
        <w:rPr>
          <w:lang w:val="es-PE"/>
        </w:rPr>
        <w:t xml:space="preserve"> respecto del siniestro reportado por el señor </w:t>
      </w:r>
      <w:r w:rsidRPr="008E0099" w:rsidR="30126F9F">
        <w:rPr>
          <w:lang w:val="es-PE"/>
        </w:rPr>
        <w:t>......................................</w:t>
      </w:r>
      <w:r w:rsidRPr="008E0099" w:rsidR="008E0099">
        <w:rPr>
          <w:lang w:val="es-PE"/>
        </w:rPr>
        <w:t>. Específicamente, sí es correcto afirmar razonable y racionalmente a partir de los documentos que obran en el expediente que el asegurado presentó una declaración de siniestro fraudulenta, operando a partir de ello lo estipulado en el artículo 9 de las Condiciones generales de la Póliza</w:t>
      </w:r>
      <w:r w:rsidRPr="008E0099">
        <w:rPr>
          <w:rStyle w:val="Refdenotaalpie"/>
          <w:lang w:val="es-PE"/>
        </w:rPr>
        <w:footnoteReference w:id="6"/>
      </w:r>
      <w:r w:rsidRPr="008E0099" w:rsidR="008E0099">
        <w:rPr>
          <w:lang w:val="es-PE"/>
        </w:rPr>
        <w:t>, que sanciona la declaración fraudulenta del asegurado con la resolución del contrato de seguro. En dicho sentido, en la medida que se reclama el rechazo de la cobertura del siniestro por parte de la empresa aseguradora, la controversia planteada cumple con el requisito de materia establecido en el Reglamento de la DEFASEG.</w:t>
      </w:r>
    </w:p>
    <w:p w:rsidRPr="008E0099" w:rsidR="008E0099" w:rsidP="008E0099" w:rsidRDefault="008E0099" w14:paraId="0EBDE7F0" w14:textId="77777777">
      <w:pPr>
        <w:spacing w:after="200"/>
        <w:jc w:val="both"/>
        <w:rPr>
          <w:lang w:val="es-PE"/>
        </w:rPr>
      </w:pPr>
      <w:r w:rsidRPr="008E0099" w:rsidR="008E0099">
        <w:rPr>
          <w:lang w:val="es-PE"/>
        </w:rPr>
        <w:t>Respecto de la resolución del Contrato de seguro, este Colegiado considera, como ya lo ha hecho en anteriores oportunidades, que su competencia se encuentra restringida a la revisión de la legalidad del rechazo o de la liquidación de un siniestro por parte de una empresa de seguros. En dicho sentido, la Defensoría carece de competencia para pronunciarse respecto del extremo contenido en la Carta de rechazo que resuelve el Contrato de seguro por causal de declaración fraudulenta, aspecto que en caso se pretenda discutir, deberá hacerse ante la instancia competente.</w:t>
      </w:r>
      <w:r w:rsidRPr="008E0099">
        <w:rPr>
          <w:rStyle w:val="Refdenotaalpie"/>
          <w:lang w:val="es-PE"/>
        </w:rPr>
        <w:footnoteReference w:id="7"/>
      </w:r>
    </w:p>
    <w:p w:rsidRPr="008E0099" w:rsidR="008E0099" w:rsidP="008E0099" w:rsidRDefault="008E0099" w14:paraId="2677AAEF" w14:textId="75EFB749">
      <w:pPr>
        <w:spacing w:after="200"/>
        <w:jc w:val="both"/>
        <w:rPr>
          <w:lang w:val="es-PE"/>
        </w:rPr>
      </w:pPr>
      <w:r w:rsidRPr="57C8CCB3" w:rsidR="008E0099">
        <w:rPr>
          <w:b w:val="1"/>
          <w:bCs w:val="1"/>
          <w:u w:val="single"/>
          <w:lang w:val="es-PE"/>
        </w:rPr>
        <w:t>DÉCIMO:</w:t>
      </w:r>
      <w:r w:rsidRPr="57C8CCB3" w:rsidR="008E0099">
        <w:rPr>
          <w:lang w:val="es-PE"/>
        </w:rPr>
        <w:t xml:space="preserve"> El reclamo fue presentado por el señor </w:t>
      </w:r>
      <w:r w:rsidRPr="57C8CCB3" w:rsidR="530F65AF">
        <w:rPr>
          <w:lang w:val="es-PE"/>
        </w:rPr>
        <w:t>......................................</w:t>
      </w:r>
      <w:r w:rsidRPr="57C8CCB3" w:rsidR="008E0099">
        <w:rPr>
          <w:lang w:val="es-PE"/>
        </w:rPr>
        <w:t xml:space="preserve"> el 30 de enero de 2025, por lo tanto, nos encontramos dentro del plazo perentorio para su presentación contemplado en el Reglamento de la DEFASEG. </w:t>
      </w:r>
    </w:p>
    <w:p w:rsidRPr="008E0099" w:rsidR="008E0099" w:rsidP="008E0099" w:rsidRDefault="008E0099" w14:paraId="57E56BBA" w14:textId="77777777">
      <w:pPr>
        <w:spacing w:after="200"/>
        <w:jc w:val="both"/>
        <w:rPr>
          <w:lang w:val="es-PE"/>
        </w:rPr>
      </w:pPr>
      <w:r w:rsidRPr="008E0099">
        <w:rPr>
          <w:b/>
          <w:bCs/>
          <w:u w:val="single"/>
          <w:lang w:val="es-PE"/>
        </w:rPr>
        <w:t>UNDÉCIMO:</w:t>
      </w:r>
      <w:r w:rsidRPr="008E0099">
        <w:rPr>
          <w:lang w:val="es-PE"/>
        </w:rPr>
        <w:t xml:space="preserve"> El monto solicitado por la reclamante asciende a la suma de PEN 18,082 (dieciocho mil ochenta y dos soles y 00/100), en dicho sentido, el reclamo se encuentra dentro de los límites por cuantía de la competencia establecida por el Reglamento de la DEFASEG.</w:t>
      </w:r>
    </w:p>
    <w:p w:rsidRPr="008E0099" w:rsidR="008E0099" w:rsidP="008E0099" w:rsidRDefault="008E0099" w14:paraId="1762990D" w14:textId="35E7671B">
      <w:pPr>
        <w:spacing w:after="200"/>
        <w:jc w:val="both"/>
        <w:rPr>
          <w:lang w:val="es-PE"/>
        </w:rPr>
      </w:pPr>
      <w:r w:rsidRPr="57C8CCB3" w:rsidR="008E0099">
        <w:rPr>
          <w:b w:val="1"/>
          <w:bCs w:val="1"/>
          <w:u w:val="single"/>
          <w:lang w:val="es-PE"/>
        </w:rPr>
        <w:t>DUODÉCIMO:</w:t>
      </w:r>
      <w:r w:rsidRPr="57C8CCB3" w:rsidR="008E0099">
        <w:rPr>
          <w:lang w:val="es-PE"/>
        </w:rPr>
        <w:t xml:space="preserve"> Siendo que el reclamo presentado por el señor </w:t>
      </w:r>
      <w:r w:rsidRPr="57C8CCB3" w:rsidR="30126F9F">
        <w:rPr>
          <w:lang w:val="es-PE"/>
        </w:rPr>
        <w:t>......................................</w:t>
      </w:r>
      <w:r w:rsidRPr="57C8CCB3" w:rsidR="008E0099">
        <w:rPr>
          <w:lang w:val="es-PE"/>
        </w:rPr>
        <w:t xml:space="preserve"> cumple con los requisitos reglamentarios de </w:t>
      </w:r>
      <w:bookmarkStart w:name="_Hlk200120316" w:id="4"/>
      <w:r w:rsidRPr="57C8CCB3" w:rsidR="008E0099">
        <w:rPr>
          <w:lang w:val="es-PE"/>
        </w:rPr>
        <w:t>materia, plazo y cuantía</w:t>
      </w:r>
      <w:bookmarkEnd w:id="4"/>
      <w:r w:rsidRPr="57C8CCB3" w:rsidR="008E0099">
        <w:rPr>
          <w:lang w:val="es-PE"/>
        </w:rPr>
        <w:t xml:space="preserve">, esta Defensoría es competente para pronunciarse sobre el fondo de la controversia planteada el 30 de enero de 2025. </w:t>
      </w:r>
    </w:p>
    <w:p w:rsidRPr="008E0099" w:rsidR="008E0099" w:rsidP="008E0099" w:rsidRDefault="008E0099" w14:paraId="3C9634AE" w14:textId="1463D5F6">
      <w:pPr>
        <w:spacing w:after="200"/>
        <w:jc w:val="both"/>
        <w:rPr>
          <w:lang w:val="es-PE"/>
        </w:rPr>
      </w:pPr>
      <w:r w:rsidRPr="57C8CCB3" w:rsidR="008E0099">
        <w:rPr>
          <w:b w:val="1"/>
          <w:bCs w:val="1"/>
          <w:u w:val="single"/>
          <w:lang w:val="es-PE"/>
        </w:rPr>
        <w:t>DECIMOTERCERO</w:t>
      </w:r>
      <w:r w:rsidRPr="57C8CCB3" w:rsidR="008E0099">
        <w:rPr>
          <w:lang w:val="es-PE"/>
        </w:rPr>
        <w:t xml:space="preserve">: Que, de acuerdo con la Solicitud Certificado (Descripción de la cobertura), </w:t>
      </w:r>
      <w:r w:rsidRPr="57C8CCB3" w:rsidR="1B9C17A3">
        <w:rPr>
          <w:lang w:val="es-PE"/>
        </w:rPr>
        <w:t>.............................</w:t>
      </w:r>
      <w:r w:rsidRPr="57C8CCB3" w:rsidR="008E0099">
        <w:rPr>
          <w:lang w:val="es-PE"/>
        </w:rPr>
        <w:t xml:space="preserve"> se encuentra obligada a indemnizar al asegurado por el daño patrimonial que pudiera sufrir como consecuencia del uso indebido y con presencia física, de las tarjetas aseguradas, en un negocio afiliado, hasta la suma asegurada máxima que obra en la Solicitud Certificado.</w:t>
      </w:r>
    </w:p>
    <w:p w:rsidRPr="008E0099" w:rsidR="008E0099" w:rsidP="008E0099" w:rsidRDefault="008E0099" w14:paraId="696FD073" w14:textId="77777777">
      <w:pPr>
        <w:spacing w:after="200"/>
        <w:jc w:val="both"/>
        <w:rPr>
          <w:lang w:val="es-PE"/>
        </w:rPr>
      </w:pPr>
      <w:r w:rsidRPr="008E0099">
        <w:rPr>
          <w:lang w:val="es-PE"/>
        </w:rPr>
        <w:t>Asimismo, las Condiciones generales de la Póliza señalan en su artículo 2 (Coberturas y sumas aseguradas) respecto del uso indebido de tarjeta</w:t>
      </w:r>
      <w:r w:rsidRPr="008E0099">
        <w:rPr>
          <w:rStyle w:val="Refdenotaalpie"/>
          <w:lang w:val="es-PE"/>
        </w:rPr>
        <w:footnoteReference w:id="8"/>
      </w:r>
      <w:r w:rsidRPr="008E0099">
        <w:rPr>
          <w:lang w:val="es-PE"/>
        </w:rPr>
        <w:t xml:space="preserve"> por robo, secuestro, hurto o extravío lo siguiente:</w:t>
      </w:r>
    </w:p>
    <w:p w:rsidRPr="008E0099" w:rsidR="008E0099" w:rsidP="008E0099" w:rsidRDefault="008E0099" w14:paraId="019CB26F" w14:textId="77777777">
      <w:pPr>
        <w:spacing w:after="120"/>
        <w:ind w:left="1701"/>
        <w:jc w:val="both"/>
        <w:rPr>
          <w:i/>
          <w:iCs/>
          <w:lang w:val="es-PE"/>
        </w:rPr>
      </w:pPr>
      <w:r w:rsidRPr="008E0099">
        <w:rPr>
          <w:i/>
          <w:iCs/>
          <w:lang w:val="es-PE"/>
        </w:rPr>
        <w:t>«LA COMPAÑÍA se obliga, mediante el cobro de una prima, a indemnizar al ASEGURADO por el Daño Patrimonial que pueda sufrir como consecuencia del Uso Indebido, y con presencia física, de la(s) tarjeta(s) Asegurada(s), en un Negocio Afiliado, hasta la Suma Asegurada Máxima que obra en las Condiciones Particulares y Solicitud Certificado, según corresponda.</w:t>
      </w:r>
    </w:p>
    <w:p w:rsidRPr="008E0099" w:rsidR="008E0099" w:rsidP="008E0099" w:rsidRDefault="008E0099" w14:paraId="7375F9F4" w14:textId="77777777">
      <w:pPr>
        <w:spacing w:after="200"/>
        <w:ind w:left="1701"/>
        <w:jc w:val="both"/>
        <w:rPr>
          <w:i/>
          <w:iCs/>
          <w:lang w:val="es-PE"/>
        </w:rPr>
      </w:pPr>
      <w:r w:rsidRPr="008E0099">
        <w:rPr>
          <w:i/>
          <w:iCs/>
          <w:lang w:val="es-PE"/>
        </w:rPr>
        <w:t>Solo se cubrirá el Daño Patrimonial que el ASEGURADO sufra dentro de las 72 horas previas al aviso que éste dé a la Entidad Emisora de la tarjeta, para el bloqueo de la Tarjeta Asegurada.»</w:t>
      </w:r>
    </w:p>
    <w:p w:rsidRPr="008E0099" w:rsidR="008E0099" w:rsidP="008E0099" w:rsidRDefault="008E0099" w14:paraId="1002F73D" w14:textId="079ECD33">
      <w:pPr>
        <w:spacing w:after="200"/>
        <w:jc w:val="both"/>
        <w:rPr>
          <w:lang w:val="es-PE"/>
        </w:rPr>
      </w:pPr>
      <w:r w:rsidRPr="57C8CCB3" w:rsidR="008E0099">
        <w:rPr>
          <w:lang w:val="es-PE"/>
        </w:rPr>
        <w:t xml:space="preserve">De acuerdo con los términos de la Solicitud Certificado y de las Condiciones generales que hemos detallado en los párrafos anteriores, en principio, </w:t>
      </w:r>
      <w:r w:rsidRPr="57C8CCB3" w:rsidR="1B9C17A3">
        <w:rPr>
          <w:lang w:val="es-PE"/>
        </w:rPr>
        <w:t>.............................</w:t>
      </w:r>
      <w:r w:rsidRPr="57C8CCB3" w:rsidR="008E0099">
        <w:rPr>
          <w:lang w:val="es-PE"/>
        </w:rPr>
        <w:t xml:space="preserve"> estaría obligada a indemnizar al asegurado por las pérdidas derivadas del siniestro del 18 de agosto de 2024. No obstante, si bien una vez ocurrido el hecho, el asegurado tendría derecho a recibir la indemnización contratada, es claro que a la empresa aseguradora también le asiste el derecho de investigar respecto de la verdadera naturaleza del siniestro.   </w:t>
      </w:r>
    </w:p>
    <w:p w:rsidRPr="008E0099" w:rsidR="008E0099" w:rsidP="008E0099" w:rsidRDefault="008E0099" w14:paraId="5CD385E6" w14:textId="77777777">
      <w:pPr>
        <w:spacing w:after="200"/>
        <w:jc w:val="both"/>
        <w:rPr>
          <w:lang w:val="es-PE"/>
        </w:rPr>
      </w:pPr>
      <w:r w:rsidRPr="008E0099">
        <w:rPr>
          <w:b/>
          <w:bCs/>
          <w:u w:val="single"/>
          <w:lang w:val="es-PE"/>
        </w:rPr>
        <w:t>DECIMOCUARTO</w:t>
      </w:r>
      <w:r w:rsidRPr="008E0099">
        <w:rPr>
          <w:lang w:val="es-PE"/>
        </w:rPr>
        <w:t xml:space="preserve">: Sobre el particular, no podemos dejar de perder de vista, tal como ha señalado este Colegiado en anteriores oportunidades, </w:t>
      </w:r>
      <w:proofErr w:type="gramStart"/>
      <w:r w:rsidRPr="008E0099">
        <w:rPr>
          <w:lang w:val="es-PE"/>
        </w:rPr>
        <w:t>que</w:t>
      </w:r>
      <w:proofErr w:type="gramEnd"/>
      <w:r w:rsidRPr="008E0099">
        <w:rPr>
          <w:lang w:val="es-PE"/>
        </w:rPr>
        <w:t xml:space="preserve"> en todo contrato de seguro, hay una asimetría informativa entre el asegurado y la empresa aseguradora, no sólo al momento de perfeccionarse el contrato, sino de manera posterior a lo largo de toda la relación. Lo primero tiene suma importancia para definir la aceptación de los riesgos y la estimación de la prima; lo segundo, para fines de concluir en la ocurrencia del siniestro indemnizable y en la procedencia del respectivo pago de la indemnización.  De manera literal, una empresa aseguradora se encomienda al asegurado, porque éste es quien sabe cuál es el verdadero estado del riesgo y cómo se produjo el siniestro.  Por ello, en la práctica de la industria de los seguros y en la propia normativa, se reconocen una serie de figuras que pretenden de alguna manera compensar o paliar los efectos de la señalada asimetría informativa, como lo son, por ejemplo, el régimen legal aplicable a la reticencia y/o declaración inexacta al momento de contratar, el régimen por agravación del riesgo, o el régimen del derecho potestativo de la empresa aseguradora de investigar lo ocurrido para confrontar las declaraciones del asegurado y/o el severo régimen de la caducidad de la pretensión indemnizatoria en caso se presente una reclamación fraudulenta o engañosa.</w:t>
      </w:r>
      <w:r w:rsidRPr="008E0099">
        <w:rPr>
          <w:vertAlign w:val="superscript"/>
        </w:rPr>
        <w:footnoteReference w:id="9"/>
      </w:r>
    </w:p>
    <w:p w:rsidRPr="008E0099" w:rsidR="008E0099" w:rsidP="008E0099" w:rsidRDefault="008E0099" w14:paraId="39C49EDF" w14:textId="77777777">
      <w:pPr>
        <w:spacing w:after="200"/>
        <w:jc w:val="both"/>
        <w:rPr>
          <w:lang w:val="es-PE"/>
        </w:rPr>
      </w:pPr>
      <w:r w:rsidRPr="008E0099">
        <w:rPr>
          <w:lang w:val="es-PE"/>
        </w:rPr>
        <w:t>Efectivamente, el asegurado pierde los derechos indemnizatorios en caso actúe fraudulentamente, exagere los daños o emplee medios falsos para probarlos. El fundamento de ello radica en que se está ante una actuación maliciosa, dado que se entiende que el propio asegurado habría procurado intencionalmente la ocurrencia del siniestro, habría exagerado sus consecuencias o empleado medios falsos para justificar su reclamación de cobertura, todo ello con el propósito subalterno de obtener una indemnización que no le correspondería, con el consiguiente enriquecimiento indebido, por lo que se está ante una grave violación del principio rector de máxima buena fe en materia de seguros. Conforme a lo anterior, la reclamación fraudulenta es una grave inconducta del asegurado que no puede ser amparada por el Derecho</w:t>
      </w:r>
      <w:r w:rsidRPr="008E0099">
        <w:rPr>
          <w:rStyle w:val="Refdenotaalpie"/>
          <w:lang w:val="es-PE"/>
        </w:rPr>
        <w:footnoteReference w:id="10"/>
      </w:r>
      <w:r w:rsidRPr="008E0099">
        <w:rPr>
          <w:lang w:val="es-PE"/>
        </w:rPr>
        <w:t>.</w:t>
      </w:r>
    </w:p>
    <w:p w:rsidRPr="008E0099" w:rsidR="008E0099" w:rsidP="008E0099" w:rsidRDefault="008E0099" w14:paraId="470FB471" w14:textId="77777777">
      <w:pPr>
        <w:spacing w:after="200"/>
        <w:jc w:val="both"/>
        <w:rPr>
          <w:lang w:val="es-PE"/>
        </w:rPr>
      </w:pPr>
      <w:r w:rsidRPr="008E0099">
        <w:rPr>
          <w:b/>
          <w:bCs/>
          <w:u w:val="single"/>
          <w:lang w:val="es-PE"/>
        </w:rPr>
        <w:t>DECIMOQUINTO</w:t>
      </w:r>
      <w:r w:rsidRPr="008E0099">
        <w:rPr>
          <w:lang w:val="es-PE"/>
        </w:rPr>
        <w:t>: Es en sintonía con lo señalado en el considerando anterior, que el artículo 69 de la Ley del Contrato de Seguro</w:t>
      </w:r>
      <w:r w:rsidRPr="008E0099">
        <w:rPr>
          <w:rStyle w:val="Refdenotaalpie"/>
          <w:lang w:val="es-PE"/>
        </w:rPr>
        <w:footnoteReference w:id="11"/>
      </w:r>
      <w:r w:rsidRPr="008E0099">
        <w:rPr>
          <w:lang w:val="es-PE"/>
        </w:rPr>
        <w:t xml:space="preserve"> establece que cuando se realice un aviso de siniestro, el contratante, el asegurado o el beneficiario -según sea el caso-, debe suministrar al asegurador, información veraz, razonable y necesaria para verificar el siniestro. En la </w:t>
      </w:r>
      <w:r w:rsidRPr="008E0099">
        <w:rPr>
          <w:lang w:val="es-PE"/>
        </w:rPr>
        <w:t>misma línea, el artículo 73 de la Ley del Contrato de Seguro</w:t>
      </w:r>
      <w:r w:rsidRPr="008E0099">
        <w:rPr>
          <w:rStyle w:val="Refdenotaalpie"/>
          <w:lang w:val="es-PE"/>
        </w:rPr>
        <w:footnoteReference w:id="12"/>
      </w:r>
      <w:r w:rsidRPr="008E0099">
        <w:rPr>
          <w:lang w:val="es-PE"/>
        </w:rPr>
        <w:t xml:space="preserve">, prescribe que el asegurado pierde se derecho a ser indemnizado si actúa fraudulentamente. Se entiende por un actuar fraudulento a aquel comportamiento que involucra, procede o actúa con fraude. </w:t>
      </w:r>
    </w:p>
    <w:p w:rsidRPr="008E0099" w:rsidR="008E0099" w:rsidP="008E0099" w:rsidRDefault="008E0099" w14:paraId="408A2E50" w14:textId="77777777">
      <w:pPr>
        <w:spacing w:after="200"/>
        <w:jc w:val="both"/>
        <w:rPr>
          <w:lang w:val="es-PE"/>
        </w:rPr>
      </w:pPr>
      <w:r w:rsidRPr="008E0099">
        <w:rPr>
          <w:lang w:val="es-PE"/>
        </w:rPr>
        <w:t>Se entiende por fraude en un sentido amplio a aquella acción contraria a la verdad y a la rectitud que perjudica a la persona contra quien se comete</w:t>
      </w:r>
      <w:r w:rsidRPr="008E0099">
        <w:rPr>
          <w:rStyle w:val="Refdenotaalpie"/>
          <w:lang w:val="es-PE"/>
        </w:rPr>
        <w:footnoteReference w:id="13"/>
      </w:r>
      <w:r w:rsidRPr="008E0099">
        <w:rPr>
          <w:lang w:val="es-PE"/>
        </w:rPr>
        <w:t>, y, en un sentido técnico en el plano de los seguros, a aquella situación que se produce cuando el asegurado ha procurado intencionalmente la ocurrencia del siniestro o exagerado sus consecuencias con ánimo de conseguir un enriquecimiento injusto a través de la indemnización que espera lograr del asegurador.</w:t>
      </w:r>
      <w:r w:rsidRPr="008E0099">
        <w:rPr>
          <w:rStyle w:val="Refdenotaalpie"/>
          <w:lang w:val="es-PE"/>
        </w:rPr>
        <w:footnoteReference w:id="14"/>
      </w:r>
      <w:r w:rsidRPr="008E0099">
        <w:rPr>
          <w:lang w:val="es-PE"/>
        </w:rPr>
        <w:t xml:space="preserve"> Siguiendo esta línea, la Administración de Seguros de Maryland considera como un reclamo fraudulento, por ejemplo, el presentar un robo o vandalismo falso con la intención de obtener un beneficio irregular por ello.</w:t>
      </w:r>
      <w:r w:rsidRPr="008E0099">
        <w:rPr>
          <w:rStyle w:val="Refdenotaalpie"/>
          <w:lang w:val="es-PE"/>
        </w:rPr>
        <w:footnoteReference w:id="15"/>
      </w:r>
      <w:r w:rsidRPr="008E0099">
        <w:rPr>
          <w:lang w:val="es-PE"/>
        </w:rPr>
        <w:t xml:space="preserve"> </w:t>
      </w:r>
    </w:p>
    <w:p w:rsidRPr="008E0099" w:rsidR="008E0099" w:rsidP="008E0099" w:rsidRDefault="008E0099" w14:paraId="101F960C" w14:textId="77777777">
      <w:pPr>
        <w:spacing w:after="200"/>
        <w:jc w:val="both"/>
        <w:rPr>
          <w:lang w:val="es-PE"/>
        </w:rPr>
      </w:pPr>
      <w:r w:rsidRPr="008E0099">
        <w:rPr>
          <w:lang w:val="es-PE"/>
        </w:rPr>
        <w:t xml:space="preserve">Por lo expresado, no cabe duda, que el hecho de dar aviso de un siniestro que no ocurrió, urdiendo para ello una serie de actos para dar la apariencia de que el hecho efectivamente sí se perpetró constituye un actuar fraudulento, proscrito – como hemos visto- por el artículo 73 de la Ley del Contrato de Seguro.  </w:t>
      </w:r>
    </w:p>
    <w:p w:rsidRPr="008E0099" w:rsidR="008E0099" w:rsidP="008E0099" w:rsidRDefault="008E0099" w14:paraId="26CBFBD0" w14:textId="77777777">
      <w:pPr>
        <w:spacing w:after="200"/>
        <w:jc w:val="both"/>
        <w:rPr>
          <w:lang w:val="es-PE"/>
        </w:rPr>
      </w:pPr>
      <w:r w:rsidRPr="008E0099">
        <w:rPr>
          <w:lang w:val="es-PE"/>
        </w:rPr>
        <w:t>De acuerdo con el marco legal peruano, y tal como está establecido en el artículo 77 de la Ley del Contrato de Seguro</w:t>
      </w:r>
      <w:r w:rsidRPr="008E0099">
        <w:rPr>
          <w:rStyle w:val="Refdenotaalpie"/>
          <w:lang w:val="es-PE"/>
        </w:rPr>
        <w:footnoteReference w:id="16"/>
      </w:r>
      <w:r w:rsidRPr="008E0099">
        <w:rPr>
          <w:lang w:val="es-PE"/>
        </w:rPr>
        <w:t>, corresponde, al asegurado probar la ocurrencia del siniestro y al asegurador, el demostrar las causas que lo liberan de su prestación indemnizatoria, en este caso, la empresa aseguradora debe presentar evidencia suficiente que demuestre que nos encontramos ante una declaración fraudulenta, tal como señala el artículo 73 de la Ley del Contrato de Seguro.</w:t>
      </w:r>
    </w:p>
    <w:bookmarkEnd w:id="3"/>
    <w:p w:rsidRPr="008E0099" w:rsidR="008E0099" w:rsidP="008E0099" w:rsidRDefault="008E0099" w14:paraId="7A882FE7" w14:textId="77777777">
      <w:pPr>
        <w:spacing w:after="200"/>
        <w:jc w:val="both"/>
        <w:rPr>
          <w:lang w:val="es-PE"/>
        </w:rPr>
      </w:pPr>
      <w:r w:rsidRPr="008E0099">
        <w:rPr>
          <w:b/>
          <w:bCs/>
          <w:u w:val="single"/>
          <w:lang w:val="es-PE"/>
        </w:rPr>
        <w:t>DECIMOSEXTO</w:t>
      </w:r>
      <w:r w:rsidRPr="008E0099">
        <w:rPr>
          <w:lang w:val="es-PE"/>
        </w:rPr>
        <w:t xml:space="preserve">: Como es sabido, la prueba tiene por finalidad, a través del ofrecimiento, práctica y valoración de los medios probatorios, producir en el juzgador la convicción o certeza sobre los hechos afirmados por las partes. En dicho sentido, parafraseando al profesor </w:t>
      </w:r>
      <w:proofErr w:type="spellStart"/>
      <w:r w:rsidRPr="008E0099">
        <w:rPr>
          <w:lang w:val="es-PE"/>
        </w:rPr>
        <w:t>Devis</w:t>
      </w:r>
      <w:proofErr w:type="spellEnd"/>
      <w:r w:rsidRPr="008E0099">
        <w:rPr>
          <w:lang w:val="es-PE"/>
        </w:rPr>
        <w:t xml:space="preserve"> ECHANDÍA, no nos encontramos ante una certeza metafísica, absoluta, que pueda confundirse con la prueba perfecta de la verdad, sino de una certeza histórica, lógica, sicológica y humana, a la que llega el juzgador después de </w:t>
      </w:r>
      <w:r w:rsidRPr="008E0099">
        <w:rPr>
          <w:lang w:val="es-PE"/>
        </w:rPr>
        <w:t>todo un procedimiento complejo. Por tanto, se trata de una certeza con sus naturales limitaciones y su inseparable posibilidad de error.</w:t>
      </w:r>
      <w:r w:rsidRPr="008E0099">
        <w:rPr>
          <w:rStyle w:val="Refdenotaalpie"/>
          <w:lang w:val="es-PE"/>
        </w:rPr>
        <w:footnoteReference w:id="17"/>
      </w:r>
    </w:p>
    <w:p w:rsidRPr="008E0099" w:rsidR="008E0099" w:rsidP="008E0099" w:rsidRDefault="008E0099" w14:paraId="55A2ACD9" w14:textId="77777777">
      <w:pPr>
        <w:spacing w:after="200"/>
        <w:jc w:val="both"/>
        <w:rPr>
          <w:lang w:val="es-PE"/>
        </w:rPr>
      </w:pPr>
      <w:r w:rsidRPr="008E0099">
        <w:rPr>
          <w:lang w:val="es-PE"/>
        </w:rPr>
        <w:t>Nos encontramos entontes ante lo que la doctrina conoce como “verdad formal”, es decir, aquella que permite aceptar como acreditados hechos o circunstancias cuando su existencia es racionalmente probable para considerarlos como efectivamente ocurridos.  Se alcanza esta verdad formal a partir de una tarea analítica en la que se deben conjugar criterios de razonabilidad, objetividad y flexibilidad en el análisis y evaluación de todos los elementos y circunstancias que rodea cada caso en su conjunto. Es entonces, para llegar a esta verdad formal, que el asegurador tiene amplias facultades informativas y de investigación, las cuales debe usar con responsabilidad, diligencia y prudencia.</w:t>
      </w:r>
      <w:r w:rsidRPr="008E0099">
        <w:rPr>
          <w:rStyle w:val="Refdenotaalpie"/>
          <w:lang w:val="es-PE"/>
        </w:rPr>
        <w:footnoteReference w:id="18"/>
      </w:r>
    </w:p>
    <w:p w:rsidRPr="008E0099" w:rsidR="008E0099" w:rsidP="008E0099" w:rsidRDefault="008E0099" w14:paraId="5CCDEB74" w14:textId="5D9FF3FE">
      <w:pPr>
        <w:spacing w:after="200"/>
        <w:jc w:val="both"/>
        <w:rPr>
          <w:lang w:val="es-PE"/>
        </w:rPr>
      </w:pPr>
      <w:r w:rsidRPr="008E0099" w:rsidR="008E0099">
        <w:rPr>
          <w:b w:val="1"/>
          <w:bCs w:val="1"/>
          <w:u w:val="single"/>
          <w:lang w:val="es-PE"/>
        </w:rPr>
        <w:t>DECIMOSÉPTIMO</w:t>
      </w:r>
      <w:r w:rsidRPr="008E0099" w:rsidR="008E0099">
        <w:rPr>
          <w:lang w:val="es-PE"/>
        </w:rPr>
        <w:t xml:space="preserve">: Es en el marco de las facultades de información e investigación que la Ley del Contrato de Seguro otorga a las empresas aseguradoras, que </w:t>
      </w:r>
      <w:r w:rsidRPr="008E0099" w:rsidR="1B9C17A3">
        <w:rPr>
          <w:lang w:val="es-PE"/>
        </w:rPr>
        <w:t>.............................</w:t>
      </w:r>
      <w:r w:rsidRPr="008E0099" w:rsidR="008E0099">
        <w:rPr>
          <w:lang w:val="es-PE"/>
        </w:rPr>
        <w:t xml:space="preserve"> ha habilitado para el presente caso, la prueba de polígrafo</w:t>
      </w:r>
      <w:r w:rsidRPr="008E0099">
        <w:rPr>
          <w:rStyle w:val="Refdenotaalpie"/>
          <w:lang w:val="es-PE"/>
        </w:rPr>
        <w:footnoteReference w:id="19"/>
      </w:r>
      <w:r w:rsidRPr="008E0099" w:rsidR="008E0099">
        <w:rPr>
          <w:lang w:val="es-PE"/>
        </w:rPr>
        <w:t xml:space="preserve"> como un mecanismo válido para alcanzar la verdad formal respecto de determinar la ocurrencia -o no- del siniestro reportado por el señor </w:t>
      </w:r>
      <w:r w:rsidRPr="008E0099" w:rsidR="30126F9F">
        <w:rPr>
          <w:lang w:val="es-PE"/>
        </w:rPr>
        <w:t xml:space="preserve">......................................</w:t>
      </w:r>
      <w:r w:rsidRPr="008E0099" w:rsidR="008E0099">
        <w:rPr>
          <w:lang w:val="es-PE"/>
        </w:rPr>
        <w:t xml:space="preserve">. </w:t>
      </w:r>
    </w:p>
    <w:p w:rsidRPr="008E0099" w:rsidR="008E0099" w:rsidP="008E0099" w:rsidRDefault="008E0099" w14:paraId="62CEAD2F" w14:textId="77777777">
      <w:pPr>
        <w:spacing w:after="200"/>
        <w:jc w:val="both"/>
        <w:rPr>
          <w:lang w:val="es-PE"/>
        </w:rPr>
      </w:pPr>
      <w:r w:rsidRPr="008E0099">
        <w:rPr>
          <w:lang w:val="es-PE"/>
        </w:rPr>
        <w:t xml:space="preserve">El Tribunal Constitucional ha señalado que existen supuestos en los cuales el examen del polígrafo se encontraría justificado pues, ningún derecho fundamental es absoluto, sino que puede ser sometido a restricciones o limitaciones, a condición de que éstas sean en definitiva razonables y proporcionales, por derivarse de ellas más beneficios o ventajas para el interés general que perjuicios sobre otros bienes en conflicto. Señala el máximo </w:t>
      </w:r>
      <w:proofErr w:type="spellStart"/>
      <w:r w:rsidRPr="008E0099">
        <w:rPr>
          <w:lang w:val="es-PE"/>
        </w:rPr>
        <w:t>interprete</w:t>
      </w:r>
      <w:proofErr w:type="spellEnd"/>
      <w:r w:rsidRPr="008E0099">
        <w:rPr>
          <w:lang w:val="es-PE"/>
        </w:rPr>
        <w:t xml:space="preserve"> de nuestra Constitución, que esta prueba debe ser realizada con la debida diligencia y siguiendo determinados procedimientos mínimos, </w:t>
      </w:r>
      <w:proofErr w:type="gramStart"/>
      <w:r w:rsidRPr="008E0099">
        <w:rPr>
          <w:lang w:val="es-PE"/>
        </w:rPr>
        <w:t>como</w:t>
      </w:r>
      <w:proofErr w:type="gramEnd"/>
      <w:r w:rsidRPr="008E0099">
        <w:rPr>
          <w:lang w:val="es-PE"/>
        </w:rPr>
        <w:t xml:space="preserve"> por ejemplo, el examinado debe tener conocimiento de las razones por las cuales se le realiza el examen o mediar un plazo razonable entre la notificación de la necesidad de la prueba y su actuación definitiva.</w:t>
      </w:r>
      <w:r w:rsidRPr="008E0099">
        <w:rPr>
          <w:rStyle w:val="Refdenotaalpie"/>
          <w:lang w:val="es-PE"/>
        </w:rPr>
        <w:footnoteReference w:id="20"/>
      </w:r>
    </w:p>
    <w:p w:rsidRPr="008E0099" w:rsidR="008E0099" w:rsidP="008E0099" w:rsidRDefault="008E0099" w14:paraId="2DD6E16E" w14:textId="77777777">
      <w:pPr>
        <w:spacing w:after="200"/>
        <w:jc w:val="both"/>
        <w:rPr>
          <w:lang w:val="es-PE"/>
        </w:rPr>
      </w:pPr>
      <w:r w:rsidRPr="008E0099">
        <w:rPr>
          <w:lang w:val="es-PE"/>
        </w:rPr>
        <w:t xml:space="preserve">Este Colegiado se ha pronunciado en numerosas oportunidades respecto de la validez de la prueba de polígrafo, específicamente a partir de una controversia resuelta en el año 2021, señalándose lo siguiente respecto de esta prueba:  </w:t>
      </w:r>
    </w:p>
    <w:p w:rsidRPr="008E0099" w:rsidR="008E0099" w:rsidP="008E0099" w:rsidRDefault="008E0099" w14:paraId="27930E62" w14:textId="77777777">
      <w:pPr>
        <w:spacing w:after="200"/>
        <w:ind w:left="1701"/>
        <w:jc w:val="both"/>
        <w:rPr>
          <w:i/>
          <w:iCs/>
          <w:lang w:val="es-PE"/>
        </w:rPr>
      </w:pPr>
      <w:r w:rsidRPr="008E0099">
        <w:rPr>
          <w:i/>
          <w:iCs/>
          <w:lang w:val="es-PE"/>
        </w:rPr>
        <w:t xml:space="preserve">«[…]. Debe destacarse que, si bien la prueba del polígrafo no arroja resultados absolutos, sí son al menos científicamente confiables, y permiten razonablemente poner bajo cuestionamiento la veracidad del relato sobre lo sucedido y la real configuración del robo denunciado. Y si a ello se suma lo relativo a los movimientos en la cuenta de ahorros, </w:t>
      </w:r>
      <w:r w:rsidRPr="008E0099">
        <w:rPr>
          <w:i/>
          <w:iCs/>
          <w:lang w:val="es-PE"/>
        </w:rPr>
        <w:t>según documentación obrante en el expediente, bien puede concluirse que existen criterios objetivos para postular que se está ante una reclamación fraudulenta, por lo que resulta justificada la negativa de la aseguradora de otorgar la cobertura reclamada.»</w:t>
      </w:r>
      <w:r w:rsidRPr="008E0099">
        <w:rPr>
          <w:rStyle w:val="Refdenotaalpie"/>
          <w:i/>
          <w:iCs/>
          <w:lang w:val="es-PE"/>
        </w:rPr>
        <w:footnoteReference w:id="21"/>
      </w:r>
    </w:p>
    <w:p w:rsidRPr="008E0099" w:rsidR="008E0099" w:rsidP="008E0099" w:rsidRDefault="008E0099" w14:paraId="4F9B7BC6" w14:textId="5C95B0F9">
      <w:pPr>
        <w:spacing w:after="200"/>
        <w:jc w:val="both"/>
        <w:rPr>
          <w:lang w:val="es-PE"/>
        </w:rPr>
      </w:pPr>
      <w:r w:rsidRPr="57C8CCB3" w:rsidR="008E0099">
        <w:rPr>
          <w:b w:val="1"/>
          <w:bCs w:val="1"/>
          <w:u w:val="single"/>
          <w:lang w:val="es-PE"/>
        </w:rPr>
        <w:t>DECIMOCTAVO</w:t>
      </w:r>
      <w:r w:rsidRPr="57C8CCB3" w:rsidR="008E0099">
        <w:rPr>
          <w:lang w:val="es-PE"/>
        </w:rPr>
        <w:t xml:space="preserve">: Corresponde en este extremo evaluar, a partir de los documentos que obran en el expediente, si </w:t>
      </w:r>
      <w:r w:rsidRPr="57C8CCB3" w:rsidR="1B9C17A3">
        <w:rPr>
          <w:lang w:val="es-PE"/>
        </w:rPr>
        <w:t>.............................</w:t>
      </w:r>
      <w:r w:rsidRPr="57C8CCB3" w:rsidR="008E0099">
        <w:rPr>
          <w:lang w:val="es-PE"/>
        </w:rPr>
        <w:t xml:space="preserve"> ha logrado probar racionalmente con algún grado suficiente de certeza si el señor </w:t>
      </w:r>
      <w:r w:rsidRPr="57C8CCB3" w:rsidR="30126F9F">
        <w:rPr>
          <w:lang w:val="es-PE"/>
        </w:rPr>
        <w:t>......................................</w:t>
      </w:r>
      <w:r w:rsidRPr="57C8CCB3" w:rsidR="008E0099">
        <w:rPr>
          <w:lang w:val="es-PE"/>
        </w:rPr>
        <w:t xml:space="preserve"> presentó una declaración fraudulenta de solicitud de cobertura. </w:t>
      </w:r>
    </w:p>
    <w:p w:rsidRPr="008E0099" w:rsidR="008E0099" w:rsidP="008E0099" w:rsidRDefault="008E0099" w14:paraId="1AE84149" w14:textId="29D1607D">
      <w:pPr>
        <w:spacing w:after="200"/>
        <w:jc w:val="both"/>
        <w:rPr>
          <w:lang w:val="es-PE"/>
        </w:rPr>
      </w:pPr>
      <w:r w:rsidRPr="57C8CCB3" w:rsidR="1B9C17A3">
        <w:rPr>
          <w:lang w:val="es-PE"/>
        </w:rPr>
        <w:t>.............................</w:t>
      </w:r>
      <w:r w:rsidRPr="57C8CCB3" w:rsidR="008E0099">
        <w:rPr>
          <w:lang w:val="es-PE"/>
        </w:rPr>
        <w:t xml:space="preserve"> sustenta su rechazo a brindar cobertura al asegurado sobre la base de los resultados obtenidos por el asegurado en una prueba de polígrafo. Efectivamente, la Carta de rechazo señala sobre el particular lo siguiente: </w:t>
      </w:r>
    </w:p>
    <w:p w:rsidRPr="008E0099" w:rsidR="008E0099" w:rsidP="008E0099" w:rsidRDefault="008E0099" w14:paraId="5B1D45A4" w14:textId="77777777">
      <w:pPr>
        <w:spacing w:after="120"/>
        <w:ind w:left="1701"/>
        <w:jc w:val="both"/>
        <w:rPr>
          <w:i/>
          <w:iCs/>
          <w:lang w:val="es-PE"/>
        </w:rPr>
      </w:pPr>
      <w:r w:rsidRPr="008E0099">
        <w:rPr>
          <w:i/>
          <w:iCs/>
          <w:lang w:val="es-PE"/>
        </w:rPr>
        <w:t>«[…] le informamos que se han remitido l</w:t>
      </w:r>
      <w:r w:rsidRPr="008E0099">
        <w:rPr>
          <w:b/>
          <w:bCs/>
          <w:i/>
          <w:iCs/>
          <w:u w:val="single"/>
          <w:lang w:val="es-PE"/>
        </w:rPr>
        <w:t>os resultados de la prueba poligráfica realizada a su persona el día 09 de septiembre del año en curso</w:t>
      </w:r>
      <w:r w:rsidRPr="008E0099">
        <w:rPr>
          <w:i/>
          <w:iCs/>
          <w:lang w:val="es-PE"/>
        </w:rPr>
        <w:t>, como parte de las investigaciones necesarias para la evaluación del siniestro.</w:t>
      </w:r>
    </w:p>
    <w:p w:rsidRPr="008E0099" w:rsidR="008E0099" w:rsidP="57C8CCB3" w:rsidRDefault="008E0099" w14:paraId="0D05804B" w14:textId="710E4BE1">
      <w:pPr>
        <w:spacing w:after="120"/>
        <w:ind w:left="1701"/>
        <w:jc w:val="both"/>
        <w:rPr>
          <w:i w:val="1"/>
          <w:iCs w:val="1"/>
          <w:lang w:val="es-PE"/>
        </w:rPr>
      </w:pPr>
      <w:r w:rsidRPr="57C8CCB3" w:rsidR="008E0099">
        <w:rPr>
          <w:i w:val="1"/>
          <w:iCs w:val="1"/>
          <w:lang w:val="es-PE"/>
        </w:rPr>
        <w:t xml:space="preserve">Al respecto, debemos indicarle, de un cuidadoso análisis de los resultados matemáticos del Sistema Computarizado de Polígrafo, así como una detallada revisión de las gráficas poligráficas, </w:t>
      </w:r>
      <w:r w:rsidRPr="57C8CCB3" w:rsidR="008E0099">
        <w:rPr>
          <w:b w:val="1"/>
          <w:bCs w:val="1"/>
          <w:i w:val="1"/>
          <w:iCs w:val="1"/>
          <w:u w:val="single"/>
          <w:lang w:val="es-PE"/>
        </w:rPr>
        <w:t xml:space="preserve">es la opinión de la examinadora que al señor(a) </w:t>
      </w:r>
      <w:r w:rsidRPr="57C8CCB3" w:rsidR="2B4DA5B2">
        <w:rPr>
          <w:b w:val="1"/>
          <w:bCs w:val="1"/>
          <w:i w:val="1"/>
          <w:iCs w:val="1"/>
          <w:u w:val="single"/>
          <w:lang w:val="es-PE"/>
        </w:rPr>
        <w:t>..............................................................................</w:t>
      </w:r>
      <w:r w:rsidRPr="57C8CCB3" w:rsidR="008E0099">
        <w:rPr>
          <w:b w:val="1"/>
          <w:bCs w:val="1"/>
          <w:i w:val="1"/>
          <w:iCs w:val="1"/>
          <w:u w:val="single"/>
          <w:lang w:val="es-PE"/>
        </w:rPr>
        <w:t>, SI presentó respuestas significativas de engaño</w:t>
      </w:r>
      <w:r w:rsidRPr="57C8CCB3" w:rsidR="008E0099">
        <w:rPr>
          <w:i w:val="1"/>
          <w:iCs w:val="1"/>
          <w:lang w:val="es-PE"/>
        </w:rPr>
        <w:t xml:space="preserve"> (SR) a las preguntas relevantes del </w:t>
      </w:r>
      <w:r w:rsidRPr="57C8CCB3" w:rsidR="008E0099">
        <w:rPr>
          <w:i w:val="1"/>
          <w:iCs w:val="1"/>
          <w:lang w:val="es-PE"/>
        </w:rPr>
        <w:t>SUB TEST</w:t>
      </w:r>
      <w:r w:rsidRPr="57C8CCB3" w:rsidR="008E0099">
        <w:rPr>
          <w:i w:val="1"/>
          <w:iCs w:val="1"/>
          <w:lang w:val="es-PE"/>
        </w:rPr>
        <w:t xml:space="preserve"> A</w:t>
      </w:r>
    </w:p>
    <w:p w:rsidRPr="008E0099" w:rsidR="008E0099" w:rsidP="008E0099" w:rsidRDefault="008E0099" w14:paraId="27177D50" w14:textId="77777777">
      <w:pPr>
        <w:spacing w:after="120"/>
        <w:ind w:left="1701"/>
        <w:jc w:val="both"/>
        <w:rPr>
          <w:i/>
          <w:iCs/>
          <w:lang w:val="es-PE"/>
        </w:rPr>
      </w:pPr>
      <w:proofErr w:type="gramStart"/>
      <w:r w:rsidRPr="008E0099">
        <w:rPr>
          <w:i/>
          <w:iCs/>
          <w:lang w:val="es-PE"/>
        </w:rPr>
        <w:t>Sub Test</w:t>
      </w:r>
      <w:proofErr w:type="gramEnd"/>
      <w:r w:rsidRPr="008E0099">
        <w:rPr>
          <w:i/>
          <w:iCs/>
          <w:lang w:val="es-PE"/>
        </w:rPr>
        <w:t xml:space="preserve"> A:</w:t>
      </w:r>
    </w:p>
    <w:p w:rsidRPr="008E0099" w:rsidR="008E0099" w:rsidP="008E0099" w:rsidRDefault="008E0099" w14:paraId="4B2F2527" w14:textId="77777777">
      <w:pPr>
        <w:tabs>
          <w:tab w:val="left" w:pos="2127"/>
        </w:tabs>
        <w:spacing w:after="120"/>
        <w:ind w:left="2126" w:hanging="425"/>
        <w:jc w:val="both"/>
        <w:rPr>
          <w:i/>
          <w:iCs/>
          <w:lang w:val="es-PE"/>
        </w:rPr>
      </w:pPr>
      <w:r w:rsidRPr="008E0099">
        <w:rPr>
          <w:i/>
          <w:iCs/>
          <w:lang w:val="es-PE"/>
        </w:rPr>
        <w:t xml:space="preserve">R1. </w:t>
      </w:r>
      <w:r w:rsidRPr="008E0099">
        <w:rPr>
          <w:i/>
          <w:iCs/>
          <w:lang w:val="es-PE"/>
        </w:rPr>
        <w:tab/>
      </w:r>
      <w:r w:rsidRPr="008E0099">
        <w:rPr>
          <w:i/>
          <w:iCs/>
          <w:lang w:val="es-PE"/>
        </w:rPr>
        <w:t>¿Ha presentado usted alguna declaración falsa sobre el siniestro del 18 de AGOSTO DEL 2024?</w:t>
      </w:r>
    </w:p>
    <w:p w:rsidRPr="008E0099" w:rsidR="008E0099" w:rsidP="008E0099" w:rsidRDefault="008E0099" w14:paraId="6AB120C2" w14:textId="77777777">
      <w:pPr>
        <w:tabs>
          <w:tab w:val="left" w:pos="2127"/>
        </w:tabs>
        <w:spacing w:after="120"/>
        <w:ind w:left="2126" w:hanging="425"/>
        <w:jc w:val="both"/>
        <w:rPr>
          <w:i/>
          <w:iCs/>
          <w:lang w:val="es-PE"/>
        </w:rPr>
      </w:pPr>
      <w:r w:rsidRPr="008E0099">
        <w:rPr>
          <w:i/>
          <w:iCs/>
          <w:lang w:val="es-PE"/>
        </w:rPr>
        <w:t xml:space="preserve">R2. </w:t>
      </w:r>
      <w:r w:rsidRPr="008E0099">
        <w:rPr>
          <w:i/>
          <w:iCs/>
          <w:lang w:val="es-PE"/>
        </w:rPr>
        <w:tab/>
      </w:r>
      <w:r w:rsidRPr="008E0099">
        <w:rPr>
          <w:i/>
          <w:iCs/>
          <w:lang w:val="es-PE"/>
        </w:rPr>
        <w:t>¿Ha participado usted como autor o cómplice del siniestro el 18 de AGOSTO DEL 2024?</w:t>
      </w:r>
    </w:p>
    <w:p w:rsidRPr="008E0099" w:rsidR="008E0099" w:rsidP="008E0099" w:rsidRDefault="008E0099" w14:paraId="28429948" w14:textId="77777777">
      <w:pPr>
        <w:spacing w:after="200"/>
        <w:ind w:left="1701"/>
        <w:jc w:val="both"/>
        <w:rPr>
          <w:i/>
          <w:iCs/>
          <w:lang w:val="es-PE"/>
        </w:rPr>
      </w:pPr>
      <w:r w:rsidRPr="008E0099">
        <w:rPr>
          <w:i/>
          <w:iCs/>
          <w:lang w:val="es-PE"/>
        </w:rPr>
        <w:t xml:space="preserve">En ese sentido, es de aplicación lo estipulado en el art. 9° del Condicionado General de la póliza […]» </w:t>
      </w:r>
      <w:r w:rsidRPr="008E0099">
        <w:rPr>
          <w:lang w:val="es-PE"/>
        </w:rPr>
        <w:t>(el énfasis es agregado)</w:t>
      </w:r>
    </w:p>
    <w:p w:rsidRPr="008E0099" w:rsidR="008E0099" w:rsidP="008E0099" w:rsidRDefault="008E0099" w14:paraId="1DFF1ABA" w14:textId="4467B8A7">
      <w:pPr>
        <w:spacing w:after="200"/>
        <w:jc w:val="both"/>
        <w:rPr>
          <w:lang w:val="es-PE"/>
        </w:rPr>
      </w:pPr>
      <w:r w:rsidRPr="57C8CCB3" w:rsidR="008E0099">
        <w:rPr>
          <w:lang w:val="es-PE"/>
        </w:rPr>
        <w:t xml:space="preserve">Asimismo, en su escrito de contestación de la reclamación, </w:t>
      </w:r>
      <w:r w:rsidRPr="57C8CCB3" w:rsidR="1B9C17A3">
        <w:rPr>
          <w:lang w:val="es-PE"/>
        </w:rPr>
        <w:t>.............................</w:t>
      </w:r>
      <w:r w:rsidRPr="57C8CCB3" w:rsidR="008E0099">
        <w:rPr>
          <w:lang w:val="es-PE"/>
        </w:rPr>
        <w:t xml:space="preserve"> incide sobre la validez de los resultados obtenidos en la prueba de polígrafo:  </w:t>
      </w:r>
    </w:p>
    <w:p w:rsidRPr="008E0099" w:rsidR="008E0099" w:rsidP="57C8CCB3" w:rsidRDefault="008E0099" w14:paraId="5EB1148E" w14:textId="4FF34DD1">
      <w:pPr>
        <w:spacing w:after="120"/>
        <w:ind w:left="1701"/>
        <w:jc w:val="both"/>
        <w:rPr>
          <w:i w:val="1"/>
          <w:iCs w:val="1"/>
          <w:lang w:val="es-PE"/>
        </w:rPr>
      </w:pPr>
      <w:r w:rsidRPr="57C8CCB3" w:rsidR="008E0099">
        <w:rPr>
          <w:i w:val="1"/>
          <w:iCs w:val="1"/>
          <w:lang w:val="es-PE"/>
        </w:rPr>
        <w:t xml:space="preserve">«En ese sentido, </w:t>
      </w:r>
      <w:r w:rsidRPr="57C8CCB3" w:rsidR="1B9C17A3">
        <w:rPr>
          <w:i w:val="1"/>
          <w:iCs w:val="1"/>
          <w:lang w:val="es-PE"/>
        </w:rPr>
        <w:t>.............................</w:t>
      </w:r>
      <w:r w:rsidRPr="57C8CCB3" w:rsidR="008E0099">
        <w:rPr>
          <w:i w:val="1"/>
          <w:iCs w:val="1"/>
          <w:lang w:val="es-PE"/>
        </w:rPr>
        <w:t xml:space="preserve"> tomó la prueba poligráfica según los términos establecidos en la Solicitud Certificado. </w:t>
      </w:r>
    </w:p>
    <w:p w:rsidRPr="008E0099" w:rsidR="008E0099" w:rsidP="57C8CCB3" w:rsidRDefault="008E0099" w14:paraId="4A6E7443" w14:textId="08CDBB4B">
      <w:pPr>
        <w:spacing w:after="200"/>
        <w:ind w:left="1701"/>
        <w:jc w:val="both"/>
        <w:rPr>
          <w:i w:val="1"/>
          <w:iCs w:val="1"/>
          <w:lang w:val="es-PE"/>
        </w:rPr>
      </w:pPr>
      <w:r w:rsidRPr="57C8CCB3" w:rsidR="008E0099">
        <w:rPr>
          <w:i w:val="1"/>
          <w:iCs w:val="1"/>
          <w:lang w:val="es-PE"/>
        </w:rPr>
        <w:t xml:space="preserve">2.3 Tras la realización de dicha prueba, mediante carta </w:t>
      </w:r>
      <w:r w:rsidRPr="57C8CCB3" w:rsidR="7CE5B2E8">
        <w:rPr>
          <w:i w:val="1"/>
          <w:iCs w:val="1"/>
          <w:lang w:val="es-PE"/>
        </w:rPr>
        <w:t>........................................</w:t>
      </w:r>
      <w:r w:rsidRPr="57C8CCB3" w:rsidR="008E0099">
        <w:rPr>
          <w:i w:val="1"/>
          <w:iCs w:val="1"/>
          <w:lang w:val="es-PE"/>
        </w:rPr>
        <w:t xml:space="preserve"> del 05 de septiembre del 2024, </w:t>
      </w:r>
      <w:r w:rsidRPr="57C8CCB3" w:rsidR="1B9C17A3">
        <w:rPr>
          <w:i w:val="1"/>
          <w:iCs w:val="1"/>
          <w:lang w:val="es-PE"/>
        </w:rPr>
        <w:t>.............................</w:t>
      </w:r>
      <w:r w:rsidRPr="57C8CCB3" w:rsidR="008E0099">
        <w:rPr>
          <w:i w:val="1"/>
          <w:iCs w:val="1"/>
          <w:lang w:val="es-PE"/>
        </w:rPr>
        <w:t xml:space="preserve"> informó al señor Lucana que su solicitud carecería de cobertura y que la Póliza contratada estaría siendo anulada.»</w:t>
      </w:r>
    </w:p>
    <w:p w:rsidRPr="008E0099" w:rsidR="008E0099" w:rsidP="008E0099" w:rsidRDefault="008E0099" w14:paraId="0A6EFEAB" w14:textId="2981FFEB">
      <w:pPr>
        <w:spacing w:after="200"/>
        <w:jc w:val="both"/>
        <w:rPr>
          <w:lang w:val="es-PE"/>
        </w:rPr>
      </w:pPr>
      <w:r w:rsidRPr="57C8CCB3" w:rsidR="008E0099">
        <w:rPr>
          <w:lang w:val="es-PE"/>
        </w:rPr>
        <w:t xml:space="preserve">Es decir, </w:t>
      </w:r>
      <w:r w:rsidRPr="57C8CCB3" w:rsidR="1B9C17A3">
        <w:rPr>
          <w:lang w:val="es-PE"/>
        </w:rPr>
        <w:t>.............................</w:t>
      </w:r>
      <w:r w:rsidRPr="57C8CCB3" w:rsidR="008E0099">
        <w:rPr>
          <w:lang w:val="es-PE"/>
        </w:rPr>
        <w:t xml:space="preserve"> concluye que ha operado la causal de resolución estipulada en el artículo 9 de las Condiciones generales de la Póliza, únicamente a partir de los resultados de la prueba de polígrafo. </w:t>
      </w:r>
    </w:p>
    <w:p w:rsidRPr="008E0099" w:rsidR="008E0099" w:rsidP="008E0099" w:rsidRDefault="008E0099" w14:paraId="5F2C8ECE" w14:textId="4AA1D412">
      <w:pPr>
        <w:spacing w:after="200"/>
        <w:jc w:val="both"/>
        <w:rPr>
          <w:lang w:val="es-PE"/>
        </w:rPr>
      </w:pPr>
      <w:r w:rsidRPr="57C8CCB3" w:rsidR="008E0099">
        <w:rPr>
          <w:lang w:val="es-PE"/>
        </w:rPr>
        <w:t xml:space="preserve">No obstante, </w:t>
      </w:r>
      <w:r w:rsidRPr="57C8CCB3" w:rsidR="1B9C17A3">
        <w:rPr>
          <w:lang w:val="es-PE"/>
        </w:rPr>
        <w:t>.............................</w:t>
      </w:r>
      <w:r w:rsidRPr="57C8CCB3" w:rsidR="008E0099">
        <w:rPr>
          <w:lang w:val="es-PE"/>
        </w:rPr>
        <w:t xml:space="preserve"> no sólo resolvió el Contrato de seguro contratado por el señor </w:t>
      </w:r>
      <w:r w:rsidRPr="57C8CCB3" w:rsidR="30126F9F">
        <w:rPr>
          <w:lang w:val="es-PE"/>
        </w:rPr>
        <w:t>......................................</w:t>
      </w:r>
      <w:r w:rsidRPr="57C8CCB3" w:rsidR="008E0099">
        <w:rPr>
          <w:lang w:val="es-PE"/>
        </w:rPr>
        <w:t xml:space="preserve"> SINO también en la práctica le negó la cobertura al siniestro reportado. Dadas las características del presente caso ello sólo podía deberse a una acción fraudulenta atribuible al asegurado, supuesto de rechazo contemplado en el artículo 73 de la Ley del Contrato de Seguro, aunque el mismo no ha sido planteado por la empresa aseguradora, es de aplicación al presente caso. </w:t>
      </w:r>
    </w:p>
    <w:p w:rsidRPr="008E0099" w:rsidR="008E0099" w:rsidP="008E0099" w:rsidRDefault="008E0099" w14:paraId="4B6F66E0" w14:textId="34350362">
      <w:pPr>
        <w:spacing w:after="200"/>
        <w:jc w:val="both"/>
        <w:rPr>
          <w:lang w:val="es-PE"/>
        </w:rPr>
      </w:pPr>
      <w:r w:rsidRPr="57C8CCB3" w:rsidR="008E0099">
        <w:rPr>
          <w:b w:val="1"/>
          <w:bCs w:val="1"/>
          <w:u w:val="single"/>
          <w:lang w:val="es-PE"/>
        </w:rPr>
        <w:t>DECIMONOVENO</w:t>
      </w:r>
      <w:r w:rsidRPr="57C8CCB3" w:rsidR="008E0099">
        <w:rPr>
          <w:lang w:val="es-PE"/>
        </w:rPr>
        <w:t xml:space="preserve">: Efectivamente, tal como ha sido señalado por </w:t>
      </w:r>
      <w:r w:rsidRPr="57C8CCB3" w:rsidR="1B9C17A3">
        <w:rPr>
          <w:lang w:val="es-PE"/>
        </w:rPr>
        <w:t>.............................</w:t>
      </w:r>
      <w:r w:rsidRPr="57C8CCB3" w:rsidR="008E0099">
        <w:rPr>
          <w:lang w:val="es-PE"/>
        </w:rPr>
        <w:t xml:space="preserve"> en su contestación a la reclamación, la Solicitud Certificado dispone en su título “Aviso de siniestro y solicitud de cobertura” de sus Condiciones generales, la posibilidad de someter al asegurado a una prueba de polígrafo: </w:t>
      </w:r>
    </w:p>
    <w:p w:rsidRPr="008E0099" w:rsidR="008E0099" w:rsidP="008E0099" w:rsidRDefault="008E0099" w14:paraId="0BCA8AC0" w14:textId="77777777">
      <w:pPr>
        <w:spacing w:after="120"/>
        <w:ind w:left="1701"/>
        <w:jc w:val="both"/>
        <w:rPr>
          <w:i/>
          <w:iCs/>
          <w:lang w:val="es-PE"/>
        </w:rPr>
      </w:pPr>
      <w:r w:rsidRPr="008E0099">
        <w:rPr>
          <w:i/>
          <w:iCs/>
          <w:lang w:val="es-PE"/>
        </w:rPr>
        <w:t>«Para todos los casos, el aviso del siniestro deberá ser comunicado a La Compañía o al Comercializado tan pronto como tenga conocimiento de la ocurrencia y dentro de un plazo no mayor de tres (3) días, salvo que en la póliza correspondiente se contemple un plazo mayor.</w:t>
      </w:r>
    </w:p>
    <w:p w:rsidRPr="008E0099" w:rsidR="008E0099" w:rsidP="008E0099" w:rsidRDefault="008E0099" w14:paraId="7439A663" w14:textId="77777777">
      <w:pPr>
        <w:spacing w:after="120"/>
        <w:ind w:left="1701"/>
        <w:jc w:val="both"/>
        <w:rPr>
          <w:i/>
          <w:iCs/>
          <w:lang w:val="es-PE"/>
        </w:rPr>
      </w:pPr>
      <w:r w:rsidRPr="008E0099">
        <w:rPr>
          <w:i/>
          <w:iCs/>
          <w:lang w:val="es-PE"/>
        </w:rPr>
        <w:t>El procedimiento para la solicitud de cobertura será el siguiente:</w:t>
      </w:r>
    </w:p>
    <w:p w:rsidRPr="008E0099" w:rsidR="008E0099" w:rsidP="008E0099" w:rsidRDefault="008E0099" w14:paraId="62B11E79" w14:textId="77777777">
      <w:pPr>
        <w:spacing w:after="120"/>
        <w:ind w:left="1701"/>
        <w:jc w:val="both"/>
        <w:rPr>
          <w:i/>
          <w:iCs/>
          <w:lang w:val="es-PE"/>
        </w:rPr>
      </w:pPr>
      <w:r w:rsidRPr="008E0099">
        <w:rPr>
          <w:i/>
          <w:iCs/>
          <w:lang w:val="es-PE"/>
        </w:rPr>
        <w:t>(…)</w:t>
      </w:r>
    </w:p>
    <w:p w:rsidRPr="008E0099" w:rsidR="008E0099" w:rsidP="008E0099" w:rsidRDefault="008E0099" w14:paraId="3FEAE132" w14:textId="77777777">
      <w:pPr>
        <w:tabs>
          <w:tab w:val="left" w:pos="2268"/>
        </w:tabs>
        <w:spacing w:after="120"/>
        <w:ind w:left="2268" w:hanging="567"/>
        <w:jc w:val="both"/>
        <w:rPr>
          <w:i/>
          <w:iCs/>
          <w:lang w:val="es-PE"/>
        </w:rPr>
      </w:pPr>
      <w:r w:rsidRPr="008E0099">
        <w:rPr>
          <w:i/>
          <w:iCs/>
          <w:lang w:val="es-PE"/>
        </w:rPr>
        <w:t>(</w:t>
      </w:r>
      <w:proofErr w:type="spellStart"/>
      <w:r w:rsidRPr="008E0099">
        <w:rPr>
          <w:i/>
          <w:iCs/>
          <w:lang w:val="es-PE"/>
        </w:rPr>
        <w:t>iii</w:t>
      </w:r>
      <w:proofErr w:type="spellEnd"/>
      <w:r w:rsidRPr="008E0099">
        <w:rPr>
          <w:i/>
          <w:iCs/>
          <w:lang w:val="es-PE"/>
        </w:rPr>
        <w:t xml:space="preserve">) </w:t>
      </w:r>
      <w:r w:rsidRPr="008E0099">
        <w:rPr>
          <w:i/>
          <w:iCs/>
          <w:lang w:val="es-PE"/>
        </w:rPr>
        <w:tab/>
      </w:r>
      <w:r w:rsidRPr="008E0099">
        <w:rPr>
          <w:i/>
          <w:iCs/>
          <w:lang w:val="es-PE"/>
        </w:rPr>
        <w:t>El Asegurado o la persona que está actuando en su representación deberá acercarse a las oficinas o agencias del Comercializador o en el Centro de Servicio de Atención al Cliente de la Compañía con:</w:t>
      </w:r>
    </w:p>
    <w:p w:rsidRPr="008E0099" w:rsidR="008E0099" w:rsidP="008E0099" w:rsidRDefault="008E0099" w14:paraId="30CE21D1" w14:textId="77777777">
      <w:pPr>
        <w:tabs>
          <w:tab w:val="left" w:pos="2268"/>
        </w:tabs>
        <w:spacing w:after="120"/>
        <w:ind w:left="2268" w:hanging="567"/>
        <w:jc w:val="both"/>
        <w:rPr>
          <w:i/>
          <w:iCs/>
          <w:lang w:val="es-PE"/>
        </w:rPr>
      </w:pPr>
      <w:r w:rsidRPr="008E0099">
        <w:rPr>
          <w:i/>
          <w:iCs/>
          <w:lang w:val="es-PE"/>
        </w:rPr>
        <w:tab/>
      </w:r>
      <w:r w:rsidRPr="008E0099">
        <w:rPr>
          <w:i/>
          <w:iCs/>
          <w:lang w:val="es-PE"/>
        </w:rPr>
        <w:t>(…)</w:t>
      </w:r>
    </w:p>
    <w:p w:rsidRPr="008E0099" w:rsidR="008E0099" w:rsidP="008E0099" w:rsidRDefault="008E0099" w14:paraId="6EF422EB" w14:textId="77777777">
      <w:pPr>
        <w:spacing w:after="200"/>
        <w:ind w:left="2552" w:hanging="284"/>
        <w:jc w:val="both"/>
        <w:rPr>
          <w:lang w:val="es-PE"/>
        </w:rPr>
      </w:pPr>
      <w:r w:rsidRPr="008E0099">
        <w:rPr>
          <w:i/>
          <w:iCs/>
          <w:lang w:val="es-PE"/>
        </w:rPr>
        <w:t xml:space="preserve">e) </w:t>
      </w:r>
      <w:r w:rsidRPr="008E0099">
        <w:rPr>
          <w:i/>
          <w:iCs/>
          <w:lang w:val="es-PE"/>
        </w:rPr>
        <w:tab/>
      </w:r>
      <w:r w:rsidRPr="008E0099">
        <w:rPr>
          <w:i/>
          <w:iCs/>
          <w:lang w:val="es-PE"/>
        </w:rPr>
        <w:t xml:space="preserve">Cuando la Compañía lo estime conveniente y dentro de los 20 días contados desde la fecha en que se completó la entrega de los documentos antes listados, </w:t>
      </w:r>
      <w:r w:rsidRPr="008E0099">
        <w:rPr>
          <w:b/>
          <w:bCs/>
          <w:i/>
          <w:iCs/>
          <w:u w:val="single"/>
          <w:lang w:val="es-PE"/>
        </w:rPr>
        <w:t>realizará una entrevista personal con el asegurado, con el fin de obtener las aclaraciones y/o precisiones necesarias acerca del siniestro ocurrido y/o someterse a una prueba poligráfica</w:t>
      </w:r>
      <w:r w:rsidRPr="008E0099">
        <w:rPr>
          <w:i/>
          <w:iCs/>
          <w:lang w:val="es-PE"/>
        </w:rPr>
        <w:t xml:space="preserve"> con el fin de establecer la veracidad de los hechos declarados. </w:t>
      </w:r>
      <w:r w:rsidRPr="008E0099">
        <w:rPr>
          <w:b/>
          <w:bCs/>
          <w:i/>
          <w:iCs/>
          <w:u w:val="single"/>
          <w:lang w:val="es-PE"/>
        </w:rPr>
        <w:t>En caso exista incertidumbre respecto a los hechos que originaron el siniestro</w:t>
      </w:r>
      <w:r w:rsidRPr="008E0099">
        <w:rPr>
          <w:i/>
          <w:iCs/>
          <w:lang w:val="es-PE"/>
        </w:rPr>
        <w:t xml:space="preserve">, La Compañía solicitará además el original o copia certificada de las conclusiones de la investigación fiscal, con la finalidad de determinar la activación del seguro.» </w:t>
      </w:r>
      <w:r w:rsidRPr="008E0099">
        <w:rPr>
          <w:lang w:val="es-PE"/>
        </w:rPr>
        <w:t>(el énfasis es agregado)</w:t>
      </w:r>
    </w:p>
    <w:p w:rsidRPr="008E0099" w:rsidR="008E0099" w:rsidP="008E0099" w:rsidRDefault="008E0099" w14:paraId="26EC82F7" w14:textId="77777777">
      <w:pPr>
        <w:spacing w:after="200"/>
        <w:jc w:val="both"/>
        <w:rPr>
          <w:lang w:val="es-PE"/>
        </w:rPr>
      </w:pPr>
      <w:r w:rsidRPr="008E0099">
        <w:rPr>
          <w:lang w:val="es-PE"/>
        </w:rPr>
        <w:t xml:space="preserve">En sintonía con lo establecido en las Condiciones generales de la Póliza, la prueba de polígrafo se realizó el 12 de septiembre del 2024, arrojando, de acuerdo con la Carta de rechazo, respuestas significativas de engaño, </w:t>
      </w:r>
      <w:proofErr w:type="gramStart"/>
      <w:r w:rsidRPr="008E0099">
        <w:rPr>
          <w:lang w:val="es-PE"/>
        </w:rPr>
        <w:t>y</w:t>
      </w:r>
      <w:proofErr w:type="gramEnd"/>
      <w:r w:rsidRPr="008E0099">
        <w:rPr>
          <w:lang w:val="es-PE"/>
        </w:rPr>
        <w:t xml:space="preserve"> por lo tanto, razón suficiente para que en aplicación del artículo 9 de las Condiciones generales de la Póliza la empresa asegurada procediera con la resolución del Contrato de seguro. </w:t>
      </w:r>
    </w:p>
    <w:p w:rsidRPr="008E0099" w:rsidR="008E0099" w:rsidP="008E0099" w:rsidRDefault="008E0099" w14:paraId="5A68FF4B" w14:textId="384A1E7C">
      <w:pPr>
        <w:spacing w:after="200"/>
        <w:jc w:val="both"/>
        <w:rPr>
          <w:lang w:val="es-PE"/>
        </w:rPr>
      </w:pPr>
      <w:r w:rsidRPr="008E0099" w:rsidR="008E0099">
        <w:rPr>
          <w:b w:val="1"/>
          <w:bCs w:val="1"/>
          <w:u w:val="single"/>
          <w:lang w:val="es-PE"/>
        </w:rPr>
        <w:t>VIGÉSIMO</w:t>
      </w:r>
      <w:r w:rsidRPr="008E0099" w:rsidR="008E0099">
        <w:rPr>
          <w:lang w:val="es-PE"/>
        </w:rPr>
        <w:t xml:space="preserve">: Como ha señalado en numerosas oportunidades este Colegiado, si </w:t>
      </w:r>
      <w:r w:rsidRPr="008E0099" w:rsidR="008E0099">
        <w:rPr>
          <w:lang w:val="es-PE"/>
        </w:rPr>
        <w:t>de acuerdo al</w:t>
      </w:r>
      <w:r w:rsidRPr="008E0099" w:rsidR="008E0099">
        <w:rPr>
          <w:lang w:val="es-PE"/>
        </w:rPr>
        <w:t xml:space="preserve"> artículo 77 de la Ley del Contrato de Seguro, la empresa aseguradora debe probar la causa que la libera de su prestación indemnizatoria, ello implicaría que </w:t>
      </w:r>
      <w:r w:rsidRPr="008E0099" w:rsidR="1B9C17A3">
        <w:rPr>
          <w:lang w:val="es-PE"/>
        </w:rPr>
        <w:t xml:space="preserve">.............................</w:t>
      </w:r>
      <w:r w:rsidRPr="008E0099" w:rsidR="008E0099">
        <w:rPr>
          <w:lang w:val="es-PE"/>
        </w:rPr>
        <w:t xml:space="preserve"> pruebe que no ocurrió el hecho denunciado, lo que en doctrina constituye una prueba diabólica</w:t>
      </w:r>
      <w:r w:rsidRPr="008E0099">
        <w:rPr>
          <w:rStyle w:val="Refdenotaalpie"/>
          <w:lang w:val="es-PE"/>
        </w:rPr>
        <w:footnoteReference w:id="22"/>
      </w:r>
      <w:r w:rsidRPr="008E0099" w:rsidR="008E0099">
        <w:rPr>
          <w:lang w:val="es-PE"/>
        </w:rPr>
        <w:t xml:space="preserve">, porque se prueba el hecho positivo, no el negativo. Por ello, se admite que en tales circunstancias que opera una suerte de inversión de la carga probatoria, de manera que el asegurado debe demostrar razonablemente lo que ocurrió. Sin embargo, </w:t>
      </w:r>
      <w:r w:rsidRPr="008E0099" w:rsidR="008E0099">
        <w:rPr>
          <w:lang w:val="es-PE"/>
        </w:rPr>
        <w:t>planteadas</w:t>
      </w:r>
      <w:r w:rsidRPr="008E0099" w:rsidR="008E0099">
        <w:rPr>
          <w:lang w:val="es-PE"/>
        </w:rPr>
        <w:t xml:space="preserve"> así las cosas, se vuelve al punto inicial conforme al cual el asegurado debe probar lo sucedido, retomándose la cuestión de cómo probarlo. Por ello, a criterio del presente Colegiado, una manera en que la aseguradora cumple con su carga probatoria procesal de desvirtuar la idoneidad de las declaraciones del asegurado, es acreditando que, en el recuento de los hechos detallados en los diferentes documentos actuados por el asegurado, se encuentran inexactitudes, contradicciones o inconsistencias, de manera que no se llega a probar la existencia del siniestro o destacando que existen criterios objetivos para poner en duda razonable que los hechos supuestamente sucedido ocurrieron realmente.</w:t>
      </w:r>
      <w:r w:rsidRPr="008E0099">
        <w:rPr>
          <w:vertAlign w:val="superscript"/>
        </w:rPr>
        <w:footnoteReference w:id="23"/>
      </w:r>
    </w:p>
    <w:p w:rsidRPr="008E0099" w:rsidR="008E0099" w:rsidP="008E0099" w:rsidRDefault="008E0099" w14:paraId="0916B79E" w14:textId="77777777">
      <w:pPr>
        <w:spacing w:after="200"/>
        <w:jc w:val="both"/>
        <w:rPr>
          <w:lang w:val="es-PE"/>
        </w:rPr>
      </w:pPr>
      <w:r w:rsidRPr="008E0099">
        <w:rPr>
          <w:b/>
          <w:bCs/>
          <w:u w:val="single"/>
          <w:lang w:val="es-PE"/>
        </w:rPr>
        <w:t>VIGÉSIMOPRIMERO</w:t>
      </w:r>
      <w:r w:rsidRPr="008E0099">
        <w:rPr>
          <w:lang w:val="es-PE"/>
        </w:rPr>
        <w:t>: Sobre la base del criterio desarrollado en el considerando anterior, debemos tener en cuenta que nuestro sistema procesal ha adoptado un sistema de libre valoración de las pruebas, de forma opuesta a la valoración tasada materializada en la llamada prueba plena. Así, el artículo 197 del Código Procesal Civil señala que todos los medios probatorios deben sen valorados por el juzgador de forma conjunta, utilizando para ello su apreciación razonada.</w:t>
      </w:r>
      <w:r w:rsidRPr="008E0099">
        <w:rPr>
          <w:rStyle w:val="Refdenotaalpie"/>
          <w:lang w:val="es-PE"/>
        </w:rPr>
        <w:footnoteReference w:id="24"/>
      </w:r>
      <w:r w:rsidRPr="008E0099">
        <w:rPr>
          <w:lang w:val="es-PE"/>
        </w:rPr>
        <w:t xml:space="preserve"> Sobre la valoración conjunta de los medios probatorios, la Corte Suprema de la República ha señalado, aunque en un caso penal, una serie de criterios respecto de la valoración conjunta que son plenamente aplicables al presente caso. Señala la Suprema que la valoración conjunta de las pruebas aportadas implica en que el juzgador debe tomar en cuenta todos los medios de prueba presentados y actuados, confrontando los resultados probatorios, para determinar su correlación, coherencia y convergencia respecto al objeto del proceso.</w:t>
      </w:r>
      <w:r w:rsidRPr="008E0099">
        <w:rPr>
          <w:rStyle w:val="Refdenotaalpie"/>
          <w:lang w:val="es-PE"/>
        </w:rPr>
        <w:footnoteReference w:id="25"/>
      </w:r>
      <w:r w:rsidRPr="008E0099">
        <w:rPr>
          <w:lang w:val="es-PE"/>
        </w:rPr>
        <w:t xml:space="preserve"> </w:t>
      </w:r>
    </w:p>
    <w:p w:rsidRPr="008E0099" w:rsidR="008E0099" w:rsidP="008E0099" w:rsidRDefault="008E0099" w14:paraId="478ED3EF" w14:textId="14BA0BCA">
      <w:pPr>
        <w:spacing w:after="200"/>
        <w:jc w:val="both"/>
        <w:rPr>
          <w:lang w:val="es-PE"/>
        </w:rPr>
      </w:pPr>
      <w:r w:rsidRPr="57C8CCB3" w:rsidR="008E0099">
        <w:rPr>
          <w:lang w:val="es-PE"/>
        </w:rPr>
        <w:t xml:space="preserve">Siendo el objeto de este procedimiento el determinar la validez del rechazo por parte de </w:t>
      </w:r>
      <w:r w:rsidRPr="57C8CCB3" w:rsidR="1B9C17A3">
        <w:rPr>
          <w:lang w:val="es-PE"/>
        </w:rPr>
        <w:t>.............................</w:t>
      </w:r>
      <w:r w:rsidRPr="57C8CCB3" w:rsidR="008E0099">
        <w:rPr>
          <w:lang w:val="es-PE"/>
        </w:rPr>
        <w:t xml:space="preserve"> de la cobertura solicitada por el señor </w:t>
      </w:r>
      <w:r w:rsidRPr="57C8CCB3" w:rsidR="30126F9F">
        <w:rPr>
          <w:lang w:val="es-PE"/>
        </w:rPr>
        <w:t>......................................</w:t>
      </w:r>
      <w:r w:rsidRPr="57C8CCB3" w:rsidR="008E0099">
        <w:rPr>
          <w:lang w:val="es-PE"/>
        </w:rPr>
        <w:t xml:space="preserve">, corresponde en este extremo determinar si, a partir de los medios probatorios actuados por la empresa aseguradora (prueba de polígrafo), es posible determinar razonablemente que se produjo una solicitud de cobertura fraudulenta. </w:t>
      </w:r>
    </w:p>
    <w:p w:rsidRPr="008E0099" w:rsidR="008E0099" w:rsidP="008E0099" w:rsidRDefault="008E0099" w14:paraId="4D653FC1" w14:textId="233B9E3F">
      <w:pPr>
        <w:spacing w:after="200"/>
        <w:jc w:val="both"/>
        <w:rPr>
          <w:lang w:val="es-PE"/>
        </w:rPr>
      </w:pPr>
      <w:r w:rsidRPr="57C8CCB3" w:rsidR="008E0099">
        <w:rPr>
          <w:lang w:val="es-PE"/>
        </w:rPr>
        <w:t xml:space="preserve">Este Colegiado ha tenido a la vista el Informe examen de polígrafo </w:t>
      </w:r>
      <w:r w:rsidRPr="57C8CCB3" w:rsidR="008E0099">
        <w:rPr>
          <w:lang w:val="es-PE"/>
        </w:rPr>
        <w:t>n.°</w:t>
      </w:r>
      <w:r w:rsidRPr="57C8CCB3" w:rsidR="008E0099">
        <w:rPr>
          <w:lang w:val="es-PE"/>
        </w:rPr>
        <w:t xml:space="preserve"> </w:t>
      </w:r>
      <w:r w:rsidRPr="57C8CCB3" w:rsidR="4C404F10">
        <w:rPr>
          <w:lang w:val="es-PE"/>
        </w:rPr>
        <w:t>......................</w:t>
      </w:r>
      <w:r w:rsidRPr="57C8CCB3" w:rsidR="008E0099">
        <w:rPr>
          <w:lang w:val="es-PE"/>
        </w:rPr>
        <w:t xml:space="preserve">-CCASS realizado el día 12 de septiembre de 2024. En el informe se detalla que se realizaron </w:t>
      </w:r>
      <w:r w:rsidRPr="57C8CCB3" w:rsidR="008E0099">
        <w:rPr>
          <w:lang w:val="es-PE"/>
        </w:rPr>
        <w:t xml:space="preserve">alrededor de 45 preguntas. Sin embargo, solo considera relevantes para el análisis las siguientes cuatro preguntas: </w:t>
      </w:r>
    </w:p>
    <w:p w:rsidRPr="008E0099" w:rsidR="008E0099" w:rsidP="008E0099" w:rsidRDefault="008E0099" w14:paraId="404BB757" w14:textId="77777777">
      <w:pPr>
        <w:spacing w:after="120"/>
        <w:ind w:left="2126" w:hanging="425"/>
        <w:jc w:val="both"/>
        <w:rPr>
          <w:i/>
          <w:iCs/>
          <w:lang w:val="es-PE"/>
        </w:rPr>
      </w:pPr>
      <w:r w:rsidRPr="008E0099">
        <w:rPr>
          <w:i/>
          <w:iCs/>
          <w:lang w:val="es-PE"/>
        </w:rPr>
        <w:t xml:space="preserve">«PREGUNTAS RELEVANTES REALIZADAS EN EL EXAMEN </w:t>
      </w:r>
    </w:p>
    <w:p w:rsidRPr="008E0099" w:rsidR="008E0099" w:rsidP="008E0099" w:rsidRDefault="008E0099" w14:paraId="33C5517C" w14:textId="77777777">
      <w:pPr>
        <w:spacing w:after="120"/>
        <w:ind w:left="2126" w:hanging="425"/>
        <w:jc w:val="both"/>
        <w:rPr>
          <w:i/>
          <w:iCs/>
          <w:lang w:val="es-PE"/>
        </w:rPr>
      </w:pPr>
      <w:proofErr w:type="gramStart"/>
      <w:r w:rsidRPr="008E0099">
        <w:rPr>
          <w:i/>
          <w:iCs/>
          <w:lang w:val="es-PE"/>
        </w:rPr>
        <w:t>Sub Test</w:t>
      </w:r>
      <w:proofErr w:type="gramEnd"/>
      <w:r w:rsidRPr="008E0099">
        <w:rPr>
          <w:i/>
          <w:iCs/>
          <w:lang w:val="es-PE"/>
        </w:rPr>
        <w:t xml:space="preserve"> A:</w:t>
      </w:r>
    </w:p>
    <w:p w:rsidRPr="008E0099" w:rsidR="008E0099" w:rsidP="008E0099" w:rsidRDefault="008E0099" w14:paraId="33D3C376" w14:textId="77777777">
      <w:pPr>
        <w:spacing w:after="120"/>
        <w:ind w:left="2126" w:hanging="425"/>
        <w:jc w:val="both"/>
        <w:rPr>
          <w:i/>
          <w:iCs/>
          <w:lang w:val="es-PE"/>
        </w:rPr>
      </w:pPr>
      <w:r w:rsidRPr="008E0099">
        <w:rPr>
          <w:i/>
          <w:iCs/>
          <w:lang w:val="es-PE"/>
        </w:rPr>
        <w:t xml:space="preserve">R1. </w:t>
      </w:r>
      <w:r w:rsidRPr="008E0099">
        <w:rPr>
          <w:i/>
          <w:iCs/>
          <w:lang w:val="es-PE"/>
        </w:rPr>
        <w:tab/>
      </w:r>
      <w:r w:rsidRPr="008E0099">
        <w:rPr>
          <w:i/>
          <w:iCs/>
          <w:lang w:val="es-PE"/>
        </w:rPr>
        <w:t xml:space="preserve">¿Ha presentado usted alguna declaración falsa sobre el siniestro del 18 de AGOSTO DEL 2024? </w:t>
      </w:r>
    </w:p>
    <w:p w:rsidRPr="008E0099" w:rsidR="008E0099" w:rsidP="008E0099" w:rsidRDefault="008E0099" w14:paraId="5DFE4F4C" w14:textId="77777777">
      <w:pPr>
        <w:spacing w:after="120"/>
        <w:ind w:left="2126" w:hanging="425"/>
        <w:jc w:val="both"/>
        <w:rPr>
          <w:i/>
          <w:iCs/>
          <w:lang w:val="es-PE"/>
        </w:rPr>
      </w:pPr>
      <w:r w:rsidRPr="008E0099">
        <w:rPr>
          <w:i/>
          <w:iCs/>
          <w:lang w:val="es-PE"/>
        </w:rPr>
        <w:t xml:space="preserve">R2. </w:t>
      </w:r>
      <w:r w:rsidRPr="008E0099">
        <w:rPr>
          <w:i/>
          <w:iCs/>
          <w:lang w:val="es-PE"/>
        </w:rPr>
        <w:tab/>
      </w:r>
      <w:r w:rsidRPr="008E0099">
        <w:rPr>
          <w:i/>
          <w:iCs/>
          <w:lang w:val="es-PE"/>
        </w:rPr>
        <w:tab/>
      </w:r>
      <w:r w:rsidRPr="008E0099">
        <w:rPr>
          <w:i/>
          <w:iCs/>
          <w:lang w:val="es-PE"/>
        </w:rPr>
        <w:t xml:space="preserve">¿Ha participado usted como autor o cómplice del siniestro el 18 de AGOSTO DEL 2024? </w:t>
      </w:r>
    </w:p>
    <w:p w:rsidRPr="008E0099" w:rsidR="008E0099" w:rsidP="008E0099" w:rsidRDefault="008E0099" w14:paraId="0034F0C1" w14:textId="77777777">
      <w:pPr>
        <w:spacing w:after="120"/>
        <w:ind w:left="2126" w:hanging="425"/>
        <w:jc w:val="both"/>
        <w:rPr>
          <w:i/>
          <w:iCs/>
          <w:lang w:val="es-PE"/>
        </w:rPr>
      </w:pPr>
      <w:proofErr w:type="gramStart"/>
      <w:r w:rsidRPr="008E0099">
        <w:rPr>
          <w:i/>
          <w:iCs/>
          <w:lang w:val="es-PE"/>
        </w:rPr>
        <w:t>Sub Test</w:t>
      </w:r>
      <w:proofErr w:type="gramEnd"/>
      <w:r w:rsidRPr="008E0099">
        <w:rPr>
          <w:i/>
          <w:iCs/>
          <w:lang w:val="es-PE"/>
        </w:rPr>
        <w:t xml:space="preserve"> B: </w:t>
      </w:r>
    </w:p>
    <w:p w:rsidRPr="008E0099" w:rsidR="008E0099" w:rsidP="008E0099" w:rsidRDefault="008E0099" w14:paraId="0A04BCEF" w14:textId="77777777">
      <w:pPr>
        <w:spacing w:after="120"/>
        <w:ind w:left="2126" w:hanging="425"/>
        <w:jc w:val="both"/>
        <w:rPr>
          <w:i/>
          <w:iCs/>
          <w:lang w:val="es-PE"/>
        </w:rPr>
      </w:pPr>
      <w:r w:rsidRPr="008E0099">
        <w:rPr>
          <w:i/>
          <w:iCs/>
          <w:lang w:val="es-PE"/>
        </w:rPr>
        <w:t xml:space="preserve">R3. </w:t>
      </w:r>
      <w:r w:rsidRPr="008E0099">
        <w:rPr>
          <w:i/>
          <w:iCs/>
          <w:lang w:val="es-PE"/>
        </w:rPr>
        <w:tab/>
      </w:r>
      <w:r w:rsidRPr="008E0099">
        <w:rPr>
          <w:i/>
          <w:iCs/>
          <w:lang w:val="es-PE"/>
        </w:rPr>
        <w:t xml:space="preserve">¿Ha denunciado usted consumos no relacionada con siniestro del 18 de AGOSTO DEL 2024? </w:t>
      </w:r>
    </w:p>
    <w:p w:rsidRPr="008E0099" w:rsidR="008E0099" w:rsidP="008E0099" w:rsidRDefault="008E0099" w14:paraId="72D0E5BA" w14:textId="77777777">
      <w:pPr>
        <w:spacing w:after="120"/>
        <w:ind w:left="2126" w:hanging="425"/>
        <w:jc w:val="both"/>
        <w:rPr>
          <w:i/>
          <w:iCs/>
          <w:lang w:val="es-PE"/>
        </w:rPr>
      </w:pPr>
      <w:r w:rsidRPr="008E0099">
        <w:rPr>
          <w:i/>
          <w:iCs/>
          <w:lang w:val="es-PE"/>
        </w:rPr>
        <w:t>R4.</w:t>
      </w:r>
      <w:r w:rsidRPr="008E0099">
        <w:rPr>
          <w:i/>
          <w:iCs/>
          <w:lang w:val="es-PE"/>
        </w:rPr>
        <w:tab/>
      </w:r>
      <w:r w:rsidRPr="008E0099">
        <w:rPr>
          <w:i/>
          <w:iCs/>
          <w:lang w:val="es-PE"/>
        </w:rPr>
        <w:t xml:space="preserve">¿Transfirió usted dinero del siniestro declarado a cuentas de sus allegados? </w:t>
      </w:r>
    </w:p>
    <w:p w:rsidRPr="008E0099" w:rsidR="008E0099" w:rsidP="57C8CCB3" w:rsidRDefault="008E0099" w14:paraId="530A1509" w14:textId="46128BD3">
      <w:pPr>
        <w:spacing w:after="200"/>
        <w:ind w:left="1701"/>
        <w:jc w:val="both"/>
        <w:rPr>
          <w:i w:val="1"/>
          <w:iCs w:val="1"/>
          <w:lang w:val="es-PE"/>
        </w:rPr>
      </w:pPr>
      <w:r w:rsidRPr="57C8CCB3" w:rsidR="008E0099">
        <w:rPr>
          <w:i w:val="1"/>
          <w:iCs w:val="1"/>
          <w:lang w:val="es-PE"/>
        </w:rPr>
        <w:t xml:space="preserve">CONCLUSIÓN: Después de un cuidadoso análisis de los resultados matemáticos del Sistema Computarizado de Polígrafo, así como una detallada revisión de las gráficas poligráficas, es la opinión del examinador que el señor </w:t>
      </w:r>
      <w:r w:rsidRPr="57C8CCB3" w:rsidR="2B4DA5B2">
        <w:rPr>
          <w:i w:val="1"/>
          <w:iCs w:val="1"/>
          <w:lang w:val="es-PE"/>
        </w:rPr>
        <w:t>..............................................................................</w:t>
      </w:r>
      <w:r w:rsidRPr="57C8CCB3" w:rsidR="008E0099">
        <w:rPr>
          <w:i w:val="1"/>
          <w:iCs w:val="1"/>
          <w:lang w:val="es-PE"/>
        </w:rPr>
        <w:t xml:space="preserve">, SI presentó respuestas significativas de engaño (SR), a las preguntas relevantes del </w:t>
      </w:r>
      <w:r w:rsidRPr="57C8CCB3" w:rsidR="008E0099">
        <w:rPr>
          <w:i w:val="1"/>
          <w:iCs w:val="1"/>
          <w:lang w:val="es-PE"/>
        </w:rPr>
        <w:t>Sub Test</w:t>
      </w:r>
      <w:r w:rsidRPr="57C8CCB3" w:rsidR="008E0099">
        <w:rPr>
          <w:i w:val="1"/>
          <w:iCs w:val="1"/>
          <w:lang w:val="es-PE"/>
        </w:rPr>
        <w:t xml:space="preserve"> B y NO presentó respuestas significativas de engaño (NSR), a las preguntas relevantes del </w:t>
      </w:r>
      <w:r w:rsidRPr="57C8CCB3" w:rsidR="008E0099">
        <w:rPr>
          <w:i w:val="1"/>
          <w:iCs w:val="1"/>
          <w:lang w:val="es-PE"/>
        </w:rPr>
        <w:t>Sub Test</w:t>
      </w:r>
      <w:r w:rsidRPr="57C8CCB3" w:rsidR="008E0099">
        <w:rPr>
          <w:i w:val="1"/>
          <w:iCs w:val="1"/>
          <w:lang w:val="es-PE"/>
        </w:rPr>
        <w:t xml:space="preserve"> </w:t>
      </w:r>
      <w:r w:rsidRPr="57C8CCB3" w:rsidR="008E0099">
        <w:rPr>
          <w:i w:val="1"/>
          <w:iCs w:val="1"/>
          <w:lang w:val="es-PE"/>
        </w:rPr>
        <w:t>Sub Test</w:t>
      </w:r>
      <w:r w:rsidRPr="57C8CCB3" w:rsidR="008E0099">
        <w:rPr>
          <w:i w:val="1"/>
          <w:iCs w:val="1"/>
          <w:lang w:val="es-PE"/>
        </w:rPr>
        <w:t xml:space="preserve"> A, realizadas durante el examen.</w:t>
      </w:r>
    </w:p>
    <w:p w:rsidRPr="008E0099" w:rsidR="008E0099" w:rsidP="008E0099" w:rsidRDefault="008E0099" w14:paraId="44D5CA5E" w14:textId="77777777">
      <w:pPr>
        <w:spacing w:after="200"/>
        <w:jc w:val="both"/>
        <w:rPr>
          <w:lang w:val="es-PE"/>
        </w:rPr>
      </w:pPr>
      <w:r w:rsidRPr="008E0099">
        <w:rPr>
          <w:lang w:val="es-PE"/>
        </w:rPr>
        <w:t>De lo señalado en el Informe de polígrafo se desprende que sólo dos de las cuatro preguntas relevantes, serían significativas de engaño, siendo de destacar además que dichas preguntas no se encuentran referidas directamente al siniestro, -como si serían la mayoría de las demás 42 preguntas-, sino que son interrogantes relacionadas con un posible comportamiento aprovechado o ventajista luego de ocurrido el mismo.</w:t>
      </w:r>
    </w:p>
    <w:p w:rsidRPr="008E0099" w:rsidR="008E0099" w:rsidP="008E0099" w:rsidRDefault="008E0099" w14:paraId="58C158A8" w14:textId="37B41A54">
      <w:pPr>
        <w:spacing w:after="200"/>
        <w:jc w:val="both"/>
        <w:rPr>
          <w:lang w:val="es-PE"/>
        </w:rPr>
      </w:pPr>
      <w:r w:rsidRPr="57C8CCB3" w:rsidR="008E0099">
        <w:rPr>
          <w:lang w:val="es-PE"/>
        </w:rPr>
        <w:t xml:space="preserve">Llama la atención de este Colegiado, que </w:t>
      </w:r>
      <w:r w:rsidRPr="57C8CCB3" w:rsidR="1B9C17A3">
        <w:rPr>
          <w:lang w:val="es-PE"/>
        </w:rPr>
        <w:t>.............................</w:t>
      </w:r>
      <w:r w:rsidRPr="57C8CCB3" w:rsidR="008E0099">
        <w:rPr>
          <w:lang w:val="es-PE"/>
        </w:rPr>
        <w:t xml:space="preserve"> descarte la validez de las respuestas a las dos preguntas relevantes del denominado en el Informe de polígrafo “</w:t>
      </w:r>
      <w:r w:rsidRPr="57C8CCB3" w:rsidR="008E0099">
        <w:rPr>
          <w:lang w:val="es-PE"/>
        </w:rPr>
        <w:t>Sub Test</w:t>
      </w:r>
      <w:r w:rsidRPr="57C8CCB3" w:rsidR="008E0099">
        <w:rPr>
          <w:lang w:val="es-PE"/>
        </w:rPr>
        <w:t xml:space="preserve"> A”, cuando en las mismas se le requiere al asegurado que se pronuncie sobre aspectos derivados del siniestro de la mayor relevancia, como lo son, “</w:t>
      </w:r>
      <w:r w:rsidRPr="57C8CCB3" w:rsidR="008E0099">
        <w:rPr>
          <w:i w:val="1"/>
          <w:iCs w:val="1"/>
          <w:lang w:val="es-PE"/>
        </w:rPr>
        <w:t>si ha presentado alguna declaración falsa sobre el siniestro del 18 de agosto</w:t>
      </w:r>
      <w:r w:rsidRPr="57C8CCB3" w:rsidR="008E0099">
        <w:rPr>
          <w:lang w:val="es-PE"/>
        </w:rPr>
        <w:t>” o “</w:t>
      </w:r>
      <w:r w:rsidRPr="57C8CCB3" w:rsidR="008E0099">
        <w:rPr>
          <w:i w:val="1"/>
          <w:iCs w:val="1"/>
          <w:lang w:val="es-PE"/>
        </w:rPr>
        <w:t>si ha participado como autor o cómplice del siniestro</w:t>
      </w:r>
      <w:r w:rsidRPr="57C8CCB3" w:rsidR="008E0099">
        <w:rPr>
          <w:lang w:val="es-PE"/>
        </w:rPr>
        <w:t xml:space="preserve">”. </w:t>
      </w:r>
    </w:p>
    <w:p w:rsidRPr="008E0099" w:rsidR="008E0099" w:rsidP="008E0099" w:rsidRDefault="008E0099" w14:paraId="0C72FD13" w14:textId="20E33678">
      <w:pPr>
        <w:spacing w:after="200"/>
        <w:jc w:val="both"/>
        <w:rPr>
          <w:lang w:val="es-PE"/>
        </w:rPr>
      </w:pPr>
      <w:r w:rsidRPr="57C8CCB3" w:rsidR="008E0099">
        <w:rPr>
          <w:lang w:val="es-PE"/>
        </w:rPr>
        <w:t xml:space="preserve">Para este Colegiado, los resultados de la prueba de polígrafo, por sí mismos, no cumplen con evidenciar de forma racional y razonada una inconsistencia respecto de la posible naturaleza fraudulenta del aviso de siniestro; si acaso, podrían ser tomados en cuenta como indicios, para que la aseguradora, sobre la base de las prerrogativas otorgadas en la Ley del Contrato de Seguro, realice mayores pesquisas con la finalidad de determinar con un grado de certeza razonable si efectivamente el siniestro se produjo. Por ejemplo, la Póliza permite que, en caso exista incertidumbre respecto a los hechos que originaron el siniestro, </w:t>
      </w:r>
      <w:r w:rsidRPr="57C8CCB3" w:rsidR="1B9C17A3">
        <w:rPr>
          <w:lang w:val="es-PE"/>
        </w:rPr>
        <w:t>.............................</w:t>
      </w:r>
      <w:r w:rsidRPr="57C8CCB3" w:rsidR="008E0099">
        <w:rPr>
          <w:lang w:val="es-PE"/>
        </w:rPr>
        <w:t xml:space="preserve"> solicite el original o copia certificada de las conclusiones de la investigación fiscal. </w:t>
      </w:r>
    </w:p>
    <w:p w:rsidRPr="008E0099" w:rsidR="008E0099" w:rsidP="008E0099" w:rsidRDefault="008E0099" w14:paraId="326385CA" w14:textId="77777777">
      <w:pPr>
        <w:spacing w:after="200"/>
        <w:jc w:val="both"/>
        <w:rPr>
          <w:lang w:val="es-PE"/>
        </w:rPr>
      </w:pPr>
      <w:r w:rsidRPr="008E0099">
        <w:rPr>
          <w:lang w:val="es-PE"/>
        </w:rPr>
        <w:t xml:space="preserve">Por lo expuesto, esta Defensoría considera que el Informe de polígrafo no es razonablemente concluyente respecto de la existencia de una posible declaración fraudulenta por parte del asegurado. </w:t>
      </w:r>
    </w:p>
    <w:p w:rsidRPr="008E0099" w:rsidR="008E0099" w:rsidP="008E0099" w:rsidRDefault="008E0099" w14:paraId="2F105F97" w14:textId="77777777">
      <w:pPr>
        <w:spacing w:after="200"/>
        <w:jc w:val="both"/>
        <w:rPr>
          <w:lang w:val="es-PE"/>
        </w:rPr>
      </w:pPr>
      <w:r w:rsidRPr="008E0099">
        <w:rPr>
          <w:b/>
          <w:bCs/>
          <w:u w:val="single"/>
          <w:lang w:val="es-PE"/>
        </w:rPr>
        <w:t>VIGÉSIMOSEGUNDO</w:t>
      </w:r>
      <w:r w:rsidRPr="008E0099">
        <w:rPr>
          <w:lang w:val="es-PE"/>
        </w:rPr>
        <w:t xml:space="preserve">: Que, el asegurado en su escrito de reclamación solicita se le reconozca una compensación ascendente a la suma de PEN 5 121 (Cinco mil ciento veintiún soles y 00/100) por los intereses generados los consumos producto del siniestro, los cuales se habrían pagado a Interbank. Asimismo, solicita que se le reconozcan los intereses generados por un préstamo de </w:t>
      </w:r>
      <w:proofErr w:type="spellStart"/>
      <w:r w:rsidRPr="008E0099">
        <w:rPr>
          <w:lang w:val="es-PE"/>
        </w:rPr>
        <w:t>Banbif</w:t>
      </w:r>
      <w:proofErr w:type="spellEnd"/>
      <w:r w:rsidRPr="008E0099">
        <w:rPr>
          <w:lang w:val="es-PE"/>
        </w:rPr>
        <w:t xml:space="preserve"> requerido para poder cancelar los consumos del siniestro los cuales habrían estado generando altos intereses. </w:t>
      </w:r>
    </w:p>
    <w:p w:rsidRPr="008E0099" w:rsidR="008E0099" w:rsidP="008E0099" w:rsidRDefault="008E0099" w14:paraId="222FE917" w14:textId="28838649">
      <w:pPr>
        <w:spacing w:after="200"/>
        <w:jc w:val="both"/>
        <w:rPr>
          <w:lang w:val="es-PE"/>
        </w:rPr>
      </w:pPr>
      <w:r w:rsidRPr="57C8CCB3" w:rsidR="008E0099">
        <w:rPr>
          <w:lang w:val="es-PE"/>
        </w:rPr>
        <w:t xml:space="preserve">Como se ha señalado en el considerando Octavo, el señor </w:t>
      </w:r>
      <w:r w:rsidRPr="57C8CCB3" w:rsidR="530F65AF">
        <w:rPr>
          <w:lang w:val="es-PE"/>
        </w:rPr>
        <w:t>......................................</w:t>
      </w:r>
      <w:r w:rsidRPr="57C8CCB3" w:rsidR="008E0099">
        <w:rPr>
          <w:lang w:val="es-PE"/>
        </w:rPr>
        <w:t xml:space="preserve"> contrató con la empresa aseguradora, un seguro denominado comercialmente “Seguro de Tarjetas 360°”, el cual ofrecía una protección por el posible uso indebido de sus tarjetas por robo, secuestro, hurto, extravío, falsificación, compras fraudulentas por internet, entre otros, no encontrándose entre las coberturas contratadas la de compensar al asegurado por los intereses generados por un préstamo solicitado para cancelar los consumos del siniestro. En dicha medida esta Defensoría carece de competencia para pronunciarse respecto de presente extremo, el cual deberá plantearse ante las instancias competentes.</w:t>
      </w:r>
    </w:p>
    <w:p w:rsidRPr="008E0099" w:rsidR="008E0099" w:rsidP="008E0099" w:rsidRDefault="008E0099" w14:paraId="230DEAE7" w14:textId="77777777">
      <w:pPr>
        <w:spacing w:after="200"/>
        <w:jc w:val="both"/>
        <w:rPr>
          <w:noProof/>
          <w:lang w:val="es-PE"/>
        </w:rPr>
      </w:pPr>
      <w:r w:rsidRPr="008E0099">
        <w:rPr>
          <w:lang w:val="es-PE"/>
        </w:rPr>
        <w:t>Que, en consecuencia, esta Defensoría del Asegurado concluye su apreciación razonada</w:t>
      </w:r>
      <w:r w:rsidRPr="008E0099">
        <w:rPr>
          <w:noProof/>
          <w:lang w:val="es-PE"/>
        </w:rPr>
        <w:t xml:space="preserve"> y conjunta al amparo de lo establecido en su Reglamento, por lo que:</w:t>
      </w:r>
    </w:p>
    <w:p w:rsidRPr="008E0099" w:rsidR="008E0099" w:rsidP="008E0099" w:rsidRDefault="008E0099" w14:paraId="67F967B2" w14:textId="77777777">
      <w:pPr>
        <w:spacing w:after="200"/>
        <w:jc w:val="both"/>
        <w:rPr>
          <w:b/>
          <w:bCs/>
          <w:u w:val="single"/>
          <w:lang w:val="es-PE"/>
        </w:rPr>
      </w:pPr>
      <w:r w:rsidRPr="008E0099">
        <w:rPr>
          <w:b/>
          <w:bCs/>
          <w:lang w:val="es-PE"/>
        </w:rPr>
        <w:t>RESUELVE:</w:t>
      </w:r>
    </w:p>
    <w:p w:rsidRPr="008E0099" w:rsidR="008E0099" w:rsidP="008E0099" w:rsidRDefault="008E0099" w14:paraId="660C1850" w14:textId="6AB1E8E0">
      <w:pPr>
        <w:spacing w:after="200"/>
        <w:jc w:val="both"/>
        <w:rPr>
          <w:lang w:val="es-PE"/>
        </w:rPr>
      </w:pPr>
      <w:r w:rsidRPr="57C8CCB3" w:rsidR="008E0099">
        <w:rPr>
          <w:lang w:val="es-PE"/>
        </w:rPr>
        <w:t xml:space="preserve">Declarar </w:t>
      </w:r>
      <w:r w:rsidRPr="57C8CCB3" w:rsidR="008E0099">
        <w:rPr>
          <w:b w:val="1"/>
          <w:bCs w:val="1"/>
          <w:lang w:val="es-PE"/>
        </w:rPr>
        <w:t>FUNDADA</w:t>
      </w:r>
      <w:r w:rsidRPr="57C8CCB3" w:rsidR="008E0099">
        <w:rPr>
          <w:lang w:val="es-PE"/>
        </w:rPr>
        <w:t xml:space="preserve"> la reclamación presentada por el señor </w:t>
      </w:r>
      <w:r w:rsidRPr="57C8CCB3" w:rsidR="757FB732">
        <w:rPr>
          <w:b w:val="1"/>
          <w:bCs w:val="1"/>
          <w:lang w:val="es-PE"/>
        </w:rPr>
        <w:t>.....................................................</w:t>
      </w:r>
      <w:r w:rsidRPr="57C8CCB3" w:rsidR="008E0099">
        <w:rPr>
          <w:b w:val="1"/>
          <w:bCs w:val="1"/>
          <w:lang w:val="es-PE"/>
        </w:rPr>
        <w:t xml:space="preserve"> </w:t>
      </w:r>
      <w:r w:rsidRPr="57C8CCB3" w:rsidR="008E0099">
        <w:rPr>
          <w:lang w:val="es-PE"/>
        </w:rPr>
        <w:t xml:space="preserve">contra </w:t>
      </w:r>
      <w:r w:rsidRPr="57C8CCB3" w:rsidR="1EDEF7DB">
        <w:rPr>
          <w:b w:val="1"/>
          <w:bCs w:val="1"/>
          <w:color w:val="000000" w:themeColor="text1" w:themeTint="FF" w:themeShade="FF"/>
          <w:lang w:val="es-PE" w:eastAsia="es-PE"/>
        </w:rPr>
        <w:t>.................................................................................</w:t>
      </w:r>
      <w:r w:rsidRPr="57C8CCB3" w:rsidR="008E0099">
        <w:rPr>
          <w:b w:val="1"/>
          <w:bCs w:val="1"/>
          <w:lang w:val="es-PE"/>
        </w:rPr>
        <w:t xml:space="preserve"> </w:t>
      </w:r>
      <w:r w:rsidRPr="57C8CCB3" w:rsidR="008E0099">
        <w:rPr>
          <w:lang w:val="es-PE"/>
        </w:rPr>
        <w:t>dejando a salvo el derecho del reclamante de impugnar la presente decisión en un plazo de cinco (5) días hábiles de notificada.</w:t>
      </w:r>
    </w:p>
    <w:p w:rsidRPr="008E0099" w:rsidR="00ED76D4" w:rsidP="008E0099" w:rsidRDefault="00ED76D4" w14:paraId="75C117BA" w14:textId="77777777">
      <w:pPr>
        <w:jc w:val="both"/>
        <w:outlineLvl w:val="0"/>
        <w:rPr>
          <w:lang w:val="es-PE"/>
        </w:rPr>
      </w:pPr>
    </w:p>
    <w:p w:rsidRPr="008E0099" w:rsidR="00804FBA" w:rsidP="008E0099" w:rsidRDefault="00F15FBA" w14:paraId="0B8F9BB3" w14:textId="6936B82C">
      <w:pPr>
        <w:jc w:val="right"/>
        <w:outlineLvl w:val="0"/>
        <w:rPr>
          <w:lang w:val="es-PE"/>
        </w:rPr>
      </w:pPr>
      <w:r w:rsidRPr="008E0099">
        <w:rPr>
          <w:lang w:val="es-PE"/>
        </w:rPr>
        <w:t>Lima,</w:t>
      </w:r>
      <w:r w:rsidRPr="008E0099" w:rsidR="009D4785">
        <w:rPr>
          <w:lang w:val="es-PE"/>
        </w:rPr>
        <w:t xml:space="preserve"> </w:t>
      </w:r>
      <w:r w:rsidRPr="008E0099" w:rsidR="00E84271">
        <w:rPr>
          <w:lang w:val="es-PE"/>
        </w:rPr>
        <w:t>1</w:t>
      </w:r>
      <w:r w:rsidRPr="008E0099" w:rsidR="00C9738A">
        <w:rPr>
          <w:lang w:val="es-PE"/>
        </w:rPr>
        <w:t>7</w:t>
      </w:r>
      <w:r w:rsidRPr="008E0099" w:rsidR="00C70C36">
        <w:rPr>
          <w:lang w:val="es-PE"/>
        </w:rPr>
        <w:t xml:space="preserve"> </w:t>
      </w:r>
      <w:r w:rsidRPr="008E0099">
        <w:rPr>
          <w:lang w:val="es-PE"/>
        </w:rPr>
        <w:t>de</w:t>
      </w:r>
      <w:r w:rsidRPr="008E0099" w:rsidR="001631D6">
        <w:rPr>
          <w:lang w:val="es-PE"/>
        </w:rPr>
        <w:t xml:space="preserve"> </w:t>
      </w:r>
      <w:r w:rsidRPr="008E0099" w:rsidR="005018BF">
        <w:rPr>
          <w:lang w:val="es-PE"/>
        </w:rPr>
        <w:t>junio</w:t>
      </w:r>
      <w:r w:rsidRPr="008E0099" w:rsidR="001631D6">
        <w:rPr>
          <w:lang w:val="es-PE"/>
        </w:rPr>
        <w:t xml:space="preserve"> </w:t>
      </w:r>
      <w:r w:rsidRPr="008E0099">
        <w:rPr>
          <w:lang w:val="es-PE"/>
        </w:rPr>
        <w:t>de 20</w:t>
      </w:r>
      <w:r w:rsidRPr="008E0099" w:rsidR="001631D6">
        <w:rPr>
          <w:lang w:val="es-PE"/>
        </w:rPr>
        <w:t>2</w:t>
      </w:r>
      <w:r w:rsidRPr="008E0099" w:rsidR="0073373B">
        <w:rPr>
          <w:lang w:val="es-PE"/>
        </w:rPr>
        <w:t>5</w:t>
      </w:r>
    </w:p>
    <w:p w:rsidRPr="008E0099" w:rsidR="00804FBA" w:rsidP="008E0099" w:rsidRDefault="00804FBA" w14:paraId="2C8A5CBC" w14:textId="77777777">
      <w:pPr>
        <w:jc w:val="both"/>
        <w:rPr>
          <w:b/>
          <w:bCs/>
          <w:i/>
          <w:iCs/>
          <w:lang w:val="es-ES_tradnl"/>
        </w:rPr>
      </w:pPr>
    </w:p>
    <w:p w:rsidRPr="008E0099" w:rsidR="003F73A8" w:rsidP="008E0099" w:rsidRDefault="003F73A8" w14:paraId="00714C2C" w14:textId="77777777">
      <w:pPr>
        <w:jc w:val="both"/>
        <w:rPr>
          <w:b/>
          <w:bCs/>
          <w:i/>
          <w:iCs/>
          <w:lang w:val="es-ES_tradnl"/>
        </w:rPr>
      </w:pPr>
      <w:r w:rsidRPr="008E0099">
        <w:rPr>
          <w:b/>
          <w:bCs/>
          <w:i/>
          <w:iCs/>
          <w:lang w:val="es-ES_tradnl"/>
        </w:rPr>
        <w:t>La Secretaría Técnica certifica que la presente resolución cuenta con el voto de los vocales cuyos nombres figuran en el presente documento.</w:t>
      </w:r>
    </w:p>
    <w:p w:rsidRPr="008E0099" w:rsidR="00707C3F" w:rsidP="008E0099" w:rsidRDefault="00707C3F" w14:paraId="52D37E4A" w14:textId="77777777">
      <w:pPr>
        <w:jc w:val="both"/>
        <w:rPr>
          <w:b/>
          <w:bCs/>
          <w:i/>
          <w:iCs/>
          <w:lang w:val="es-ES_tradnl"/>
        </w:rPr>
      </w:pPr>
    </w:p>
    <w:p w:rsidRPr="008E0099" w:rsidR="00707C3F" w:rsidP="008E0099" w:rsidRDefault="00707C3F" w14:paraId="30ED2D98" w14:textId="547A44C6">
      <w:pPr>
        <w:spacing w:line="360" w:lineRule="auto"/>
        <w:jc w:val="center"/>
        <w:rPr>
          <w:b/>
          <w:bCs/>
        </w:rPr>
      </w:pPr>
      <w:r w:rsidRPr="008E0099">
        <w:rPr>
          <w:b/>
          <w:bCs/>
        </w:rPr>
        <w:t xml:space="preserve">Rolando Eyzaguirre </w:t>
      </w:r>
      <w:proofErr w:type="spellStart"/>
      <w:r w:rsidRPr="008E0099">
        <w:rPr>
          <w:b/>
          <w:bCs/>
        </w:rPr>
        <w:t>Maccan</w:t>
      </w:r>
      <w:proofErr w:type="spellEnd"/>
      <w:r w:rsidRPr="008E0099">
        <w:rPr>
          <w:b/>
          <w:bCs/>
        </w:rPr>
        <w:t xml:space="preserve"> – </w:t>
      </w:r>
      <w:proofErr w:type="gramStart"/>
      <w:r w:rsidRPr="008E0099" w:rsidR="00E4456F">
        <w:rPr>
          <w:b/>
          <w:bCs/>
        </w:rPr>
        <w:t>Presidente</w:t>
      </w:r>
      <w:proofErr w:type="gramEnd"/>
    </w:p>
    <w:p w:rsidRPr="008E0099" w:rsidR="00BB4CEC" w:rsidP="008E0099" w:rsidRDefault="00BB4CEC" w14:paraId="01720D6D" w14:textId="7AD41673">
      <w:pPr>
        <w:spacing w:line="360" w:lineRule="auto"/>
        <w:jc w:val="center"/>
        <w:rPr>
          <w:b/>
          <w:bCs/>
        </w:rPr>
      </w:pPr>
      <w:r w:rsidRPr="008E0099">
        <w:rPr>
          <w:b/>
          <w:bCs/>
        </w:rPr>
        <w:t>María Eugenia Valdez Fernández Baca –</w:t>
      </w:r>
      <w:r w:rsidRPr="008E0099" w:rsidR="00E4456F">
        <w:rPr>
          <w:b/>
          <w:bCs/>
        </w:rPr>
        <w:t xml:space="preserve"> Vocal</w:t>
      </w:r>
      <w:r w:rsidRPr="008E0099">
        <w:rPr>
          <w:b/>
          <w:bCs/>
        </w:rPr>
        <w:t xml:space="preserve"> </w:t>
      </w:r>
    </w:p>
    <w:p w:rsidRPr="008E0099" w:rsidR="00DD0E29" w:rsidP="008E0099" w:rsidRDefault="00AD20C0" w14:paraId="487074CF" w14:textId="11EAC2F0">
      <w:pPr>
        <w:spacing w:line="360" w:lineRule="auto"/>
        <w:jc w:val="center"/>
        <w:rPr>
          <w:b/>
          <w:bCs/>
        </w:rPr>
      </w:pPr>
      <w:r w:rsidRPr="008E0099">
        <w:rPr>
          <w:b/>
          <w:bCs/>
        </w:rPr>
        <w:t>Antonio José Rodríguez Lobatón – Vocal</w:t>
      </w:r>
    </w:p>
    <w:p w:rsidRPr="008E0099" w:rsidR="00861405" w:rsidP="008E0099" w:rsidRDefault="00861405" w14:paraId="2AB4572E" w14:textId="77777777">
      <w:pPr>
        <w:spacing w:line="360" w:lineRule="auto"/>
        <w:jc w:val="center"/>
        <w:rPr>
          <w:b/>
          <w:bCs/>
        </w:rPr>
      </w:pPr>
    </w:p>
    <w:p w:rsidRPr="008E0099" w:rsidR="001631D6" w:rsidP="008E0099" w:rsidRDefault="001631D6" w14:paraId="0DA96C46" w14:textId="77777777">
      <w:pPr>
        <w:spacing w:line="360" w:lineRule="auto"/>
        <w:jc w:val="both"/>
        <w:rPr>
          <w:lang w:val="es-MX"/>
        </w:rPr>
      </w:pPr>
    </w:p>
    <w:p w:rsidRPr="008E0099" w:rsidR="00F15FBA" w:rsidP="008E0099" w:rsidRDefault="00F15FBA" w14:paraId="22C77427" w14:textId="77777777">
      <w:pPr>
        <w:spacing w:line="360" w:lineRule="auto"/>
      </w:pPr>
    </w:p>
    <w:p w:rsidRPr="008E0099" w:rsidR="00F15FBA" w:rsidP="008E0099" w:rsidRDefault="00F15FBA" w14:paraId="58BFC23A" w14:textId="77777777">
      <w:pPr>
        <w:spacing w:line="360" w:lineRule="auto"/>
      </w:pPr>
    </w:p>
    <w:p w:rsidRPr="008E0099" w:rsidR="009E119B" w:rsidRDefault="009E119B" w14:paraId="164CAA9F" w14:textId="77777777"/>
    <w:sectPr w:rsidRPr="008E0099" w:rsidR="009E119B">
      <w:headerReference w:type="default" r:id="rId8"/>
      <w:footerReference w:type="default" r:id="rId9"/>
      <w:pgSz w:w="11907" w:h="16840" w:orient="portrait" w:code="9"/>
      <w:pgMar w:top="1985" w:right="1418" w:bottom="1418"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FC4048" w:rsidP="005F148C" w:rsidRDefault="00FC4048" w14:paraId="416004E0" w14:textId="77777777">
      <w:r>
        <w:separator/>
      </w:r>
    </w:p>
  </w:endnote>
  <w:endnote w:type="continuationSeparator" w:id="0">
    <w:p w:rsidR="00FC4048" w:rsidP="005F148C" w:rsidRDefault="00FC4048" w14:paraId="0FB86ED9"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18"/>
        <w:szCs w:val="18"/>
      </w:rPr>
      <w:id w:val="1679697348"/>
      <w:docPartObj>
        <w:docPartGallery w:val="Page Numbers (Bottom of Page)"/>
        <w:docPartUnique/>
      </w:docPartObj>
    </w:sdtPr>
    <w:sdtContent>
      <w:sdt>
        <w:sdtPr>
          <w:rPr>
            <w:sz w:val="18"/>
            <w:szCs w:val="18"/>
          </w:rPr>
          <w:id w:val="-1769616900"/>
          <w:docPartObj>
            <w:docPartGallery w:val="Page Numbers (Top of Page)"/>
            <w:docPartUnique/>
          </w:docPartObj>
        </w:sdtPr>
        <w:sdtContent>
          <w:p w:rsidRPr="001631D6" w:rsidR="001631D6" w:rsidRDefault="001631D6" w14:paraId="01AF7AB7" w14:textId="530997BF">
            <w:pPr>
              <w:pStyle w:val="Piedepgina"/>
              <w:jc w:val="right"/>
              <w:rPr>
                <w:sz w:val="18"/>
                <w:szCs w:val="18"/>
              </w:rPr>
            </w:pPr>
            <w:r w:rsidRPr="001631D6">
              <w:rPr>
                <w:sz w:val="18"/>
                <w:szCs w:val="18"/>
              </w:rPr>
              <w:t xml:space="preserve">Página </w:t>
            </w:r>
            <w:r w:rsidRPr="001631D6">
              <w:rPr>
                <w:b/>
                <w:bCs/>
                <w:sz w:val="18"/>
                <w:szCs w:val="18"/>
              </w:rPr>
              <w:fldChar w:fldCharType="begin"/>
            </w:r>
            <w:r w:rsidRPr="001631D6">
              <w:rPr>
                <w:b/>
                <w:bCs/>
                <w:sz w:val="18"/>
                <w:szCs w:val="18"/>
              </w:rPr>
              <w:instrText>PAGE</w:instrText>
            </w:r>
            <w:r w:rsidRPr="001631D6">
              <w:rPr>
                <w:b/>
                <w:bCs/>
                <w:sz w:val="18"/>
                <w:szCs w:val="18"/>
              </w:rPr>
              <w:fldChar w:fldCharType="separate"/>
            </w:r>
            <w:r w:rsidRPr="001631D6">
              <w:rPr>
                <w:b/>
                <w:bCs/>
                <w:sz w:val="18"/>
                <w:szCs w:val="18"/>
              </w:rPr>
              <w:t>2</w:t>
            </w:r>
            <w:r w:rsidRPr="001631D6">
              <w:rPr>
                <w:b/>
                <w:bCs/>
                <w:sz w:val="18"/>
                <w:szCs w:val="18"/>
              </w:rPr>
              <w:fldChar w:fldCharType="end"/>
            </w:r>
            <w:r w:rsidRPr="001631D6">
              <w:rPr>
                <w:sz w:val="18"/>
                <w:szCs w:val="18"/>
              </w:rPr>
              <w:t xml:space="preserve"> de </w:t>
            </w:r>
            <w:r w:rsidRPr="001631D6">
              <w:rPr>
                <w:b/>
                <w:bCs/>
                <w:sz w:val="18"/>
                <w:szCs w:val="18"/>
              </w:rPr>
              <w:fldChar w:fldCharType="begin"/>
            </w:r>
            <w:r w:rsidRPr="001631D6">
              <w:rPr>
                <w:b/>
                <w:bCs/>
                <w:sz w:val="18"/>
                <w:szCs w:val="18"/>
              </w:rPr>
              <w:instrText>NUMPAGES</w:instrText>
            </w:r>
            <w:r w:rsidRPr="001631D6">
              <w:rPr>
                <w:b/>
                <w:bCs/>
                <w:sz w:val="18"/>
                <w:szCs w:val="18"/>
              </w:rPr>
              <w:fldChar w:fldCharType="separate"/>
            </w:r>
            <w:r w:rsidRPr="001631D6">
              <w:rPr>
                <w:b/>
                <w:bCs/>
                <w:sz w:val="18"/>
                <w:szCs w:val="18"/>
              </w:rPr>
              <w:t>2</w:t>
            </w:r>
            <w:r w:rsidRPr="001631D6">
              <w:rPr>
                <w:b/>
                <w:bCs/>
                <w:sz w:val="18"/>
                <w:szCs w:val="18"/>
              </w:rPr>
              <w:fldChar w:fldCharType="end"/>
            </w:r>
          </w:p>
        </w:sdtContent>
        <w:sdtEndPr>
          <w:rPr>
            <w:sz w:val="18"/>
            <w:szCs w:val="18"/>
          </w:rPr>
        </w:sdtEndPr>
      </w:sdt>
    </w:sdtContent>
    <w:sdtEndPr>
      <w:rPr>
        <w:sz w:val="18"/>
        <w:szCs w:val="18"/>
      </w:rPr>
    </w:sdtEndPr>
  </w:sdt>
  <w:p w:rsidR="001631D6" w:rsidRDefault="001631D6" w14:paraId="5E55DA88" w14:textId="77777777">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FC4048" w:rsidP="005F148C" w:rsidRDefault="00FC4048" w14:paraId="5AD864E1" w14:textId="77777777">
      <w:r>
        <w:separator/>
      </w:r>
    </w:p>
  </w:footnote>
  <w:footnote w:type="continuationSeparator" w:id="0">
    <w:p w:rsidR="00FC4048" w:rsidP="005F148C" w:rsidRDefault="00FC4048" w14:paraId="170BE7E8" w14:textId="77777777">
      <w:r>
        <w:continuationSeparator/>
      </w:r>
    </w:p>
  </w:footnote>
  <w:footnote w:id="1">
    <w:p w:rsidRPr="008E0099" w:rsidR="008E0099" w:rsidP="008E0099" w:rsidRDefault="008E0099" w14:paraId="790DB08B" w14:textId="77777777">
      <w:pPr>
        <w:pStyle w:val="Textonotapie"/>
        <w:tabs>
          <w:tab w:val="left" w:pos="284"/>
        </w:tabs>
        <w:spacing w:after="120"/>
        <w:ind w:left="284" w:hanging="284"/>
        <w:rPr>
          <w:rFonts w:ascii="Georgia" w:hAnsi="Georgia"/>
          <w:sz w:val="18"/>
          <w:szCs w:val="18"/>
          <w:lang w:val="es-MX"/>
        </w:rPr>
      </w:pPr>
      <w:r w:rsidRPr="008E0099">
        <w:rPr>
          <w:rStyle w:val="Refdenotaalpie"/>
          <w:rFonts w:ascii="Georgia" w:hAnsi="Georgia"/>
          <w:sz w:val="18"/>
          <w:szCs w:val="18"/>
        </w:rPr>
        <w:footnoteRef/>
      </w:r>
      <w:r w:rsidRPr="008E0099">
        <w:rPr>
          <w:rFonts w:ascii="Georgia" w:hAnsi="Georgia"/>
          <w:sz w:val="18"/>
          <w:szCs w:val="18"/>
        </w:rPr>
        <w:t xml:space="preserve"> </w:t>
      </w:r>
      <w:r w:rsidRPr="008E0099">
        <w:rPr>
          <w:rFonts w:ascii="Georgia" w:hAnsi="Georgia"/>
          <w:sz w:val="18"/>
          <w:szCs w:val="18"/>
        </w:rPr>
        <w:tab/>
      </w:r>
      <w:hyperlink w:history="1" r:id="rId1">
        <w:r w:rsidRPr="008E0099">
          <w:rPr>
            <w:rStyle w:val="Hipervnculo"/>
            <w:rFonts w:ascii="Georgia" w:hAnsi="Georgia" w:eastAsia="Arial Unicode MS"/>
            <w:sz w:val="18"/>
            <w:szCs w:val="18"/>
            <w:lang w:val="es-PE"/>
          </w:rPr>
          <w:t>http://www.defaseg.com.pe/reglamento</w:t>
        </w:r>
      </w:hyperlink>
      <w:r w:rsidRPr="008E0099">
        <w:rPr>
          <w:rFonts w:ascii="Georgia" w:hAnsi="Georgia" w:eastAsia="Arial Unicode MS"/>
          <w:sz w:val="18"/>
          <w:szCs w:val="18"/>
          <w:lang w:val="es-PE"/>
        </w:rPr>
        <w:t xml:space="preserve"> </w:t>
      </w:r>
    </w:p>
  </w:footnote>
  <w:footnote w:id="2">
    <w:p w:rsidRPr="008E0099" w:rsidR="008E0099" w:rsidP="008E0099" w:rsidRDefault="008E0099" w14:paraId="1D3AAB86" w14:textId="77777777">
      <w:pPr>
        <w:pStyle w:val="Textonotapie"/>
        <w:tabs>
          <w:tab w:val="left" w:pos="284"/>
        </w:tabs>
        <w:spacing w:after="60"/>
        <w:ind w:left="284" w:hanging="284"/>
        <w:rPr>
          <w:rStyle w:val="Hipervnculo"/>
          <w:rFonts w:ascii="Georgia" w:hAnsi="Georgia"/>
          <w:color w:val="000000" w:themeColor="text1"/>
          <w:sz w:val="18"/>
          <w:szCs w:val="18"/>
          <w:lang w:val="es-PE"/>
        </w:rPr>
      </w:pPr>
      <w:r w:rsidRPr="008E0099">
        <w:rPr>
          <w:rStyle w:val="Refdenotaalpie"/>
          <w:rFonts w:ascii="Georgia" w:hAnsi="Georgia"/>
          <w:sz w:val="18"/>
          <w:szCs w:val="18"/>
        </w:rPr>
        <w:footnoteRef/>
      </w:r>
      <w:r w:rsidRPr="008E0099">
        <w:rPr>
          <w:rFonts w:ascii="Georgia" w:hAnsi="Georgia"/>
          <w:sz w:val="18"/>
          <w:szCs w:val="18"/>
          <w:lang w:val="es-PE"/>
        </w:rPr>
        <w:t xml:space="preserve"> </w:t>
      </w:r>
      <w:r w:rsidRPr="008E0099">
        <w:rPr>
          <w:rFonts w:ascii="Georgia" w:hAnsi="Georgia"/>
          <w:sz w:val="18"/>
          <w:szCs w:val="18"/>
          <w:lang w:val="es-PE"/>
        </w:rPr>
        <w:tab/>
      </w:r>
      <w:r w:rsidRPr="008E0099">
        <w:rPr>
          <w:rStyle w:val="Hipervnculo"/>
          <w:rFonts w:ascii="Georgia" w:hAnsi="Georgia"/>
          <w:b/>
          <w:bCs/>
          <w:color w:val="000000" w:themeColor="text1"/>
          <w:sz w:val="18"/>
          <w:szCs w:val="18"/>
          <w:lang w:val="es-PE"/>
        </w:rPr>
        <w:t>Ley del Contrato de Seguro</w:t>
      </w:r>
    </w:p>
    <w:p w:rsidRPr="008E0099" w:rsidR="008E0099" w:rsidP="008E0099" w:rsidRDefault="008E0099" w14:paraId="6ED3043A" w14:textId="77777777">
      <w:pPr>
        <w:pStyle w:val="Textonotapie"/>
        <w:tabs>
          <w:tab w:val="left" w:pos="284"/>
        </w:tabs>
        <w:spacing w:after="60"/>
        <w:ind w:left="284" w:hanging="284"/>
        <w:rPr>
          <w:rStyle w:val="Hipervnculo"/>
          <w:rFonts w:ascii="Georgia" w:hAnsi="Georgia"/>
          <w:b/>
          <w:bCs/>
          <w:color w:val="000000" w:themeColor="text1"/>
          <w:sz w:val="18"/>
          <w:szCs w:val="18"/>
          <w:lang w:val="es-PE"/>
        </w:rPr>
      </w:pPr>
      <w:r w:rsidRPr="008E0099">
        <w:rPr>
          <w:rStyle w:val="Hipervnculo"/>
          <w:rFonts w:ascii="Georgia" w:hAnsi="Georgia"/>
          <w:b/>
          <w:bCs/>
          <w:color w:val="000000" w:themeColor="text1"/>
          <w:sz w:val="18"/>
          <w:szCs w:val="18"/>
          <w:lang w:val="es-PE"/>
        </w:rPr>
        <w:tab/>
      </w:r>
      <w:r w:rsidRPr="008E0099">
        <w:rPr>
          <w:rStyle w:val="Hipervnculo"/>
          <w:rFonts w:ascii="Georgia" w:hAnsi="Georgia"/>
          <w:b/>
          <w:bCs/>
          <w:color w:val="000000" w:themeColor="text1"/>
          <w:sz w:val="18"/>
          <w:szCs w:val="18"/>
          <w:lang w:val="es-PE"/>
        </w:rPr>
        <w:t>Artículo 1o.- Definición</w:t>
      </w:r>
    </w:p>
    <w:p w:rsidRPr="008E0099" w:rsidR="008E0099" w:rsidP="008E0099" w:rsidRDefault="008E0099" w14:paraId="30560907" w14:textId="77777777">
      <w:pPr>
        <w:pStyle w:val="Textonotapie"/>
        <w:tabs>
          <w:tab w:val="left" w:pos="284"/>
        </w:tabs>
        <w:spacing w:after="120"/>
        <w:ind w:left="284" w:hanging="284"/>
        <w:rPr>
          <w:rStyle w:val="Hipervnculo"/>
          <w:rFonts w:ascii="Georgia" w:hAnsi="Georgia"/>
          <w:color w:val="000000" w:themeColor="text1"/>
          <w:sz w:val="18"/>
          <w:szCs w:val="18"/>
          <w:lang w:val="es-PE"/>
        </w:rPr>
      </w:pPr>
      <w:r w:rsidRPr="008E0099">
        <w:rPr>
          <w:rStyle w:val="Hipervnculo"/>
          <w:rFonts w:ascii="Georgia" w:hAnsi="Georgia"/>
          <w:color w:val="000000" w:themeColor="text1"/>
          <w:sz w:val="18"/>
          <w:szCs w:val="18"/>
          <w:lang w:val="es-PE"/>
        </w:rPr>
        <w:tab/>
      </w:r>
      <w:r w:rsidRPr="008E0099">
        <w:rPr>
          <w:rStyle w:val="Hipervnculo"/>
          <w:rFonts w:ascii="Georgia" w:hAnsi="Georgia"/>
          <w:color w:val="000000" w:themeColor="text1"/>
          <w:sz w:val="18"/>
          <w:szCs w:val="18"/>
          <w:lang w:val="es-PE"/>
        </w:rPr>
        <w:t>El contrato de seguro es aquel por el que el asegurador se obliga, mediante el cobro de una prima y para el caso de que se produzca el evento cuyo riesgo es objeto de cobertura, a indemnizar dentro de los límites pactados el daño producido al asegurado o a satisfacer un capital, una renta u otras prestaciones convenidas.</w:t>
      </w:r>
    </w:p>
  </w:footnote>
  <w:footnote w:id="3">
    <w:p w:rsidRPr="008E0099" w:rsidR="008E0099" w:rsidP="008E0099" w:rsidRDefault="008E0099" w14:paraId="6FA51101" w14:textId="77777777">
      <w:pPr>
        <w:pStyle w:val="Textonotapie"/>
        <w:tabs>
          <w:tab w:val="left" w:pos="284"/>
        </w:tabs>
        <w:spacing w:after="120"/>
        <w:ind w:left="284" w:hanging="284"/>
        <w:rPr>
          <w:rFonts w:ascii="Georgia" w:hAnsi="Georgia"/>
          <w:b/>
          <w:bCs/>
          <w:sz w:val="18"/>
          <w:szCs w:val="18"/>
          <w:lang w:val="es-PE"/>
        </w:rPr>
      </w:pPr>
      <w:r w:rsidRPr="008E0099">
        <w:rPr>
          <w:rStyle w:val="Refdenotaalpie"/>
          <w:rFonts w:ascii="Georgia" w:hAnsi="Georgia"/>
          <w:sz w:val="18"/>
          <w:szCs w:val="18"/>
        </w:rPr>
        <w:footnoteRef/>
      </w:r>
      <w:r w:rsidRPr="008E0099">
        <w:rPr>
          <w:rFonts w:ascii="Georgia" w:hAnsi="Georgia"/>
          <w:sz w:val="18"/>
          <w:szCs w:val="18"/>
          <w:lang w:val="es-PE"/>
        </w:rPr>
        <w:t xml:space="preserve"> </w:t>
      </w:r>
      <w:r w:rsidRPr="008E0099">
        <w:rPr>
          <w:rFonts w:ascii="Georgia" w:hAnsi="Georgia"/>
          <w:sz w:val="18"/>
          <w:szCs w:val="18"/>
          <w:lang w:val="es-PE"/>
        </w:rPr>
        <w:tab/>
      </w:r>
      <w:r w:rsidRPr="008E0099">
        <w:rPr>
          <w:rFonts w:ascii="Georgia" w:hAnsi="Georgia"/>
          <w:b/>
          <w:bCs/>
          <w:sz w:val="18"/>
          <w:szCs w:val="18"/>
          <w:lang w:val="es-PE"/>
        </w:rPr>
        <w:t>Código Civil</w:t>
      </w:r>
    </w:p>
    <w:p w:rsidRPr="008E0099" w:rsidR="008E0099" w:rsidP="008E0099" w:rsidRDefault="008E0099" w14:paraId="2A8A4DCC" w14:textId="77777777">
      <w:pPr>
        <w:pStyle w:val="Textonotapie"/>
        <w:tabs>
          <w:tab w:val="left" w:pos="284"/>
        </w:tabs>
        <w:spacing w:after="120"/>
        <w:ind w:left="284" w:hanging="284"/>
        <w:rPr>
          <w:rFonts w:ascii="Georgia" w:hAnsi="Georgia"/>
          <w:sz w:val="18"/>
          <w:szCs w:val="18"/>
          <w:lang w:val="es-PE"/>
        </w:rPr>
      </w:pPr>
      <w:r w:rsidRPr="008E0099">
        <w:rPr>
          <w:rFonts w:ascii="Georgia" w:hAnsi="Georgia"/>
          <w:b/>
          <w:bCs/>
          <w:sz w:val="18"/>
          <w:szCs w:val="18"/>
          <w:lang w:val="es-PE"/>
        </w:rPr>
        <w:tab/>
      </w:r>
      <w:r w:rsidRPr="008E0099">
        <w:rPr>
          <w:rFonts w:ascii="Georgia" w:hAnsi="Georgia"/>
          <w:b/>
          <w:bCs/>
          <w:sz w:val="18"/>
          <w:szCs w:val="18"/>
          <w:lang w:val="es-PE"/>
        </w:rPr>
        <w:t>Artículo 1361.-</w:t>
      </w:r>
      <w:r w:rsidRPr="008E0099">
        <w:rPr>
          <w:rFonts w:ascii="Georgia" w:hAnsi="Georgia"/>
          <w:sz w:val="18"/>
          <w:szCs w:val="18"/>
          <w:lang w:val="es-PE"/>
        </w:rPr>
        <w:t> Los contratos son obligatorios en cuanto se haya expresado en ellos.</w:t>
      </w:r>
    </w:p>
    <w:p w:rsidRPr="008E0099" w:rsidR="008E0099" w:rsidP="008E0099" w:rsidRDefault="008E0099" w14:paraId="16D75D75" w14:textId="77777777">
      <w:pPr>
        <w:pStyle w:val="Textonotapie"/>
        <w:tabs>
          <w:tab w:val="left" w:pos="284"/>
        </w:tabs>
        <w:spacing w:after="120"/>
        <w:ind w:left="284" w:hanging="284"/>
        <w:rPr>
          <w:rFonts w:ascii="Georgia" w:hAnsi="Georgia"/>
          <w:sz w:val="18"/>
          <w:szCs w:val="18"/>
          <w:lang w:val="es-PE"/>
        </w:rPr>
      </w:pPr>
      <w:r w:rsidRPr="008E0099">
        <w:rPr>
          <w:rFonts w:ascii="Georgia" w:hAnsi="Georgia"/>
          <w:sz w:val="18"/>
          <w:szCs w:val="18"/>
          <w:lang w:val="es-PE"/>
        </w:rPr>
        <w:tab/>
      </w:r>
      <w:r w:rsidRPr="008E0099">
        <w:rPr>
          <w:rFonts w:ascii="Georgia" w:hAnsi="Georgia"/>
          <w:sz w:val="18"/>
          <w:szCs w:val="18"/>
          <w:lang w:val="es-PE"/>
        </w:rPr>
        <w:t>Se presume que la declaración expresada en el contrato responde a la voluntad común de las partes y quien niegue esa coincidencia debe probarla.</w:t>
      </w:r>
    </w:p>
  </w:footnote>
  <w:footnote w:id="4">
    <w:p w:rsidRPr="008E0099" w:rsidR="008E0099" w:rsidP="008E0099" w:rsidRDefault="008E0099" w14:paraId="5F291CE1" w14:textId="77777777">
      <w:pPr>
        <w:pStyle w:val="Textonotapie"/>
        <w:tabs>
          <w:tab w:val="left" w:pos="284"/>
        </w:tabs>
        <w:spacing w:after="120"/>
        <w:ind w:left="284" w:hanging="284"/>
        <w:rPr>
          <w:rFonts w:ascii="Georgia" w:hAnsi="Georgia"/>
          <w:b/>
          <w:bCs/>
          <w:sz w:val="18"/>
          <w:szCs w:val="18"/>
          <w:lang w:val="es-MX"/>
        </w:rPr>
      </w:pPr>
      <w:r w:rsidRPr="008E0099">
        <w:rPr>
          <w:rStyle w:val="Refdenotaalpie"/>
          <w:rFonts w:ascii="Georgia" w:hAnsi="Georgia"/>
          <w:sz w:val="18"/>
          <w:szCs w:val="18"/>
        </w:rPr>
        <w:footnoteRef/>
      </w:r>
      <w:r w:rsidRPr="008E0099">
        <w:rPr>
          <w:rFonts w:ascii="Georgia" w:hAnsi="Georgia"/>
          <w:sz w:val="18"/>
          <w:szCs w:val="18"/>
          <w:lang w:val="es-PE"/>
        </w:rPr>
        <w:t xml:space="preserve"> </w:t>
      </w:r>
      <w:r w:rsidRPr="008E0099">
        <w:rPr>
          <w:rFonts w:ascii="Georgia" w:hAnsi="Georgia"/>
          <w:sz w:val="18"/>
          <w:szCs w:val="18"/>
          <w:lang w:val="es-PE"/>
        </w:rPr>
        <w:tab/>
      </w:r>
      <w:r w:rsidRPr="008E0099">
        <w:rPr>
          <w:rFonts w:ascii="Georgia" w:hAnsi="Georgia"/>
          <w:b/>
          <w:bCs/>
          <w:sz w:val="18"/>
          <w:szCs w:val="18"/>
          <w:lang w:val="es-MX"/>
        </w:rPr>
        <w:t>Código Procesal Civil</w:t>
      </w:r>
    </w:p>
    <w:p w:rsidRPr="008E0099" w:rsidR="008E0099" w:rsidP="008E0099" w:rsidRDefault="008E0099" w14:paraId="4745D99A" w14:textId="77777777">
      <w:pPr>
        <w:pStyle w:val="Textonotapie"/>
        <w:tabs>
          <w:tab w:val="left" w:pos="284"/>
        </w:tabs>
        <w:spacing w:after="120"/>
        <w:ind w:left="284" w:hanging="284"/>
        <w:rPr>
          <w:rFonts w:ascii="Georgia" w:hAnsi="Georgia"/>
          <w:sz w:val="18"/>
          <w:szCs w:val="18"/>
          <w:lang w:val="es-MX"/>
        </w:rPr>
      </w:pPr>
      <w:r w:rsidRPr="008E0099">
        <w:rPr>
          <w:rFonts w:ascii="Georgia" w:hAnsi="Georgia"/>
          <w:b/>
          <w:bCs/>
          <w:sz w:val="18"/>
          <w:szCs w:val="18"/>
          <w:lang w:val="es-MX"/>
        </w:rPr>
        <w:tab/>
      </w:r>
      <w:r w:rsidRPr="008E0099">
        <w:rPr>
          <w:rFonts w:ascii="Georgia" w:hAnsi="Georgia"/>
          <w:b/>
          <w:bCs/>
          <w:sz w:val="18"/>
          <w:szCs w:val="18"/>
          <w:lang w:val="es-MX"/>
        </w:rPr>
        <w:t xml:space="preserve">Artículo 196.- Carga de la </w:t>
      </w:r>
      <w:proofErr w:type="gramStart"/>
      <w:r w:rsidRPr="008E0099">
        <w:rPr>
          <w:rFonts w:ascii="Georgia" w:hAnsi="Georgia"/>
          <w:b/>
          <w:bCs/>
          <w:sz w:val="18"/>
          <w:szCs w:val="18"/>
          <w:lang w:val="es-MX"/>
        </w:rPr>
        <w:t>prueba.-</w:t>
      </w:r>
      <w:proofErr w:type="gramEnd"/>
      <w:r w:rsidRPr="008E0099">
        <w:rPr>
          <w:rFonts w:ascii="Georgia" w:hAnsi="Georgia"/>
          <w:sz w:val="18"/>
          <w:szCs w:val="18"/>
          <w:lang w:val="es-MX"/>
        </w:rPr>
        <w:t xml:space="preserve"> Salvo disposición legal diferente, la carga de probar corresponde a quien afirma hechos que configuran su pretensión, o a quien los contradice alegando nuevos hechos.</w:t>
      </w:r>
    </w:p>
  </w:footnote>
  <w:footnote w:id="5">
    <w:p w:rsidRPr="008E0099" w:rsidR="008E0099" w:rsidP="008E0099" w:rsidRDefault="008E0099" w14:paraId="5DB9B811" w14:textId="77777777">
      <w:pPr>
        <w:pStyle w:val="Textonotapie"/>
        <w:tabs>
          <w:tab w:val="left" w:pos="284"/>
        </w:tabs>
        <w:spacing w:after="120"/>
        <w:ind w:left="284" w:hanging="284"/>
        <w:rPr>
          <w:rFonts w:ascii="Georgia" w:hAnsi="Georgia"/>
          <w:b/>
          <w:bCs/>
          <w:sz w:val="18"/>
          <w:szCs w:val="18"/>
          <w:lang w:val="es-MX"/>
        </w:rPr>
      </w:pPr>
      <w:r w:rsidRPr="008E0099">
        <w:rPr>
          <w:rStyle w:val="Refdenotaalpie"/>
          <w:rFonts w:ascii="Georgia" w:hAnsi="Georgia"/>
          <w:sz w:val="18"/>
          <w:szCs w:val="18"/>
        </w:rPr>
        <w:footnoteRef/>
      </w:r>
      <w:r w:rsidRPr="008E0099">
        <w:rPr>
          <w:rFonts w:ascii="Georgia" w:hAnsi="Georgia"/>
          <w:sz w:val="18"/>
          <w:szCs w:val="18"/>
        </w:rPr>
        <w:t xml:space="preserve"> </w:t>
      </w:r>
      <w:r w:rsidRPr="008E0099">
        <w:rPr>
          <w:rFonts w:ascii="Georgia" w:hAnsi="Georgia"/>
          <w:sz w:val="18"/>
          <w:szCs w:val="18"/>
        </w:rPr>
        <w:tab/>
      </w:r>
      <w:r w:rsidRPr="008E0099">
        <w:rPr>
          <w:rFonts w:ascii="Georgia" w:hAnsi="Georgia"/>
          <w:b/>
          <w:bCs/>
          <w:sz w:val="18"/>
          <w:szCs w:val="18"/>
        </w:rPr>
        <w:t>Reglamento de la DEFASEG</w:t>
      </w:r>
    </w:p>
    <w:p w:rsidRPr="008E0099" w:rsidR="008E0099" w:rsidP="008E0099" w:rsidRDefault="008E0099" w14:paraId="38D75D30" w14:textId="77777777">
      <w:pPr>
        <w:pStyle w:val="Textonotapie"/>
        <w:tabs>
          <w:tab w:val="left" w:pos="284"/>
        </w:tabs>
        <w:spacing w:after="120"/>
        <w:ind w:left="284" w:hanging="284"/>
        <w:rPr>
          <w:rStyle w:val="Hipervnculo"/>
          <w:rFonts w:ascii="Georgia" w:hAnsi="Georgia"/>
          <w:b/>
          <w:bCs/>
          <w:color w:val="000000" w:themeColor="text1"/>
          <w:sz w:val="18"/>
          <w:szCs w:val="18"/>
          <w:lang w:val="es-PE"/>
        </w:rPr>
      </w:pPr>
      <w:r w:rsidRPr="008E0099">
        <w:rPr>
          <w:rStyle w:val="Hipervnculo"/>
          <w:rFonts w:ascii="Georgia" w:hAnsi="Georgia"/>
          <w:b/>
          <w:bCs/>
          <w:color w:val="000000" w:themeColor="text1"/>
          <w:sz w:val="18"/>
          <w:szCs w:val="18"/>
          <w:lang w:val="es-PE"/>
        </w:rPr>
        <w:tab/>
      </w:r>
      <w:r w:rsidRPr="008E0099">
        <w:rPr>
          <w:rStyle w:val="Hipervnculo"/>
          <w:rFonts w:ascii="Georgia" w:hAnsi="Georgia"/>
          <w:b/>
          <w:bCs/>
          <w:color w:val="000000" w:themeColor="text1"/>
          <w:sz w:val="18"/>
          <w:szCs w:val="18"/>
          <w:lang w:val="es-PE"/>
        </w:rPr>
        <w:t xml:space="preserve">4. Competencia </w:t>
      </w:r>
    </w:p>
    <w:p w:rsidRPr="008E0099" w:rsidR="008E0099" w:rsidP="008E0099" w:rsidRDefault="008E0099" w14:paraId="391EBB53" w14:textId="77777777">
      <w:pPr>
        <w:pStyle w:val="Textonotapie"/>
        <w:tabs>
          <w:tab w:val="left" w:pos="284"/>
        </w:tabs>
        <w:spacing w:after="120"/>
        <w:ind w:left="284" w:hanging="284"/>
        <w:rPr>
          <w:rStyle w:val="Hipervnculo"/>
          <w:rFonts w:ascii="Georgia" w:hAnsi="Georgia"/>
          <w:color w:val="000000" w:themeColor="text1"/>
          <w:sz w:val="18"/>
          <w:szCs w:val="18"/>
          <w:lang w:val="es-PE"/>
        </w:rPr>
      </w:pPr>
      <w:r w:rsidRPr="008E0099">
        <w:rPr>
          <w:rStyle w:val="Hipervnculo"/>
          <w:rFonts w:ascii="Georgia" w:hAnsi="Georgia"/>
          <w:color w:val="000000" w:themeColor="text1"/>
          <w:sz w:val="18"/>
          <w:szCs w:val="18"/>
          <w:lang w:val="es-PE"/>
        </w:rPr>
        <w:tab/>
      </w:r>
      <w:r w:rsidRPr="008E0099">
        <w:rPr>
          <w:rStyle w:val="Hipervnculo"/>
          <w:rFonts w:ascii="Georgia" w:hAnsi="Georgia"/>
          <w:color w:val="000000" w:themeColor="text1"/>
          <w:sz w:val="18"/>
          <w:szCs w:val="18"/>
          <w:lang w:val="es-PE"/>
        </w:rPr>
        <w:t xml:space="preserve">La Defensoría conoce los reclamos que plantean los usuarios de seguros, ello siempre y cuando cumplan con los siguientes requisitos de admisibilidad de manera concurrente: </w:t>
      </w:r>
    </w:p>
    <w:p w:rsidRPr="008E0099" w:rsidR="008E0099" w:rsidP="008E0099" w:rsidRDefault="008E0099" w14:paraId="6B054487" w14:textId="77777777">
      <w:pPr>
        <w:pStyle w:val="Textonotapie"/>
        <w:tabs>
          <w:tab w:val="left" w:pos="284"/>
          <w:tab w:val="left" w:pos="567"/>
        </w:tabs>
        <w:spacing w:after="120"/>
        <w:ind w:left="567" w:hanging="567"/>
        <w:rPr>
          <w:rStyle w:val="Hipervnculo"/>
          <w:rFonts w:ascii="Georgia" w:hAnsi="Georgia"/>
          <w:color w:val="000000" w:themeColor="text1"/>
          <w:sz w:val="18"/>
          <w:szCs w:val="18"/>
          <w:lang w:val="es-PE"/>
        </w:rPr>
      </w:pPr>
      <w:r w:rsidRPr="008E0099">
        <w:rPr>
          <w:rStyle w:val="Hipervnculo"/>
          <w:rFonts w:ascii="Georgia" w:hAnsi="Georgia"/>
          <w:color w:val="000000" w:themeColor="text1"/>
          <w:sz w:val="18"/>
          <w:szCs w:val="18"/>
          <w:lang w:val="es-PE"/>
        </w:rPr>
        <w:tab/>
      </w:r>
      <w:r w:rsidRPr="008E0099">
        <w:rPr>
          <w:rStyle w:val="Hipervnculo"/>
          <w:rFonts w:ascii="Georgia" w:hAnsi="Georgia"/>
          <w:color w:val="000000" w:themeColor="text1"/>
          <w:sz w:val="18"/>
          <w:szCs w:val="18"/>
          <w:lang w:val="es-PE"/>
        </w:rPr>
        <w:t xml:space="preserve">1. </w:t>
      </w:r>
      <w:r w:rsidRPr="008E0099">
        <w:rPr>
          <w:rStyle w:val="Hipervnculo"/>
          <w:rFonts w:ascii="Georgia" w:hAnsi="Georgia"/>
          <w:color w:val="000000" w:themeColor="text1"/>
          <w:sz w:val="18"/>
          <w:szCs w:val="18"/>
          <w:lang w:val="es-PE"/>
        </w:rPr>
        <w:tab/>
      </w:r>
      <w:r w:rsidRPr="008E0099">
        <w:rPr>
          <w:rStyle w:val="Hipervnculo"/>
          <w:rFonts w:ascii="Georgia" w:hAnsi="Georgia"/>
          <w:color w:val="000000" w:themeColor="text1"/>
          <w:sz w:val="18"/>
          <w:szCs w:val="18"/>
          <w:lang w:val="es-PE"/>
        </w:rPr>
        <w:t xml:space="preserve">El reclamo debe estar referido a un rechazo o liquidación de siniestro por parte de una empresa de seguros, excepto aquellos referidos a siniestros dentro del ámbito del seguro complementario de trabajo de riesgo y de los seguros de invalidez, sobrevivencia y gastos de sepelio del Sistema Nacional de Pensiones (SNP), así como de los del Sistema Privado de Pensiones (SPP), que incluye rentas de jubilación, los cuales se encuentran excluidos de la competencia de la Defensoría. (…). </w:t>
      </w:r>
    </w:p>
    <w:p w:rsidRPr="008E0099" w:rsidR="008E0099" w:rsidP="008E0099" w:rsidRDefault="008E0099" w14:paraId="4422E607" w14:textId="77777777">
      <w:pPr>
        <w:pStyle w:val="Textonotapie"/>
        <w:tabs>
          <w:tab w:val="left" w:pos="284"/>
          <w:tab w:val="left" w:pos="567"/>
        </w:tabs>
        <w:spacing w:after="120"/>
        <w:ind w:left="567" w:hanging="567"/>
        <w:rPr>
          <w:rStyle w:val="Hipervnculo"/>
          <w:rFonts w:ascii="Georgia" w:hAnsi="Georgia"/>
          <w:color w:val="000000" w:themeColor="text1"/>
          <w:sz w:val="18"/>
          <w:szCs w:val="18"/>
          <w:lang w:val="es-PE"/>
        </w:rPr>
      </w:pPr>
      <w:r w:rsidRPr="008E0099">
        <w:rPr>
          <w:rStyle w:val="Hipervnculo"/>
          <w:rFonts w:ascii="Georgia" w:hAnsi="Georgia"/>
          <w:color w:val="000000" w:themeColor="text1"/>
          <w:sz w:val="18"/>
          <w:szCs w:val="18"/>
          <w:lang w:val="es-PE"/>
        </w:rPr>
        <w:tab/>
      </w:r>
      <w:r w:rsidRPr="008E0099">
        <w:rPr>
          <w:rStyle w:val="Hipervnculo"/>
          <w:rFonts w:ascii="Georgia" w:hAnsi="Georgia"/>
          <w:color w:val="000000" w:themeColor="text1"/>
          <w:sz w:val="18"/>
          <w:szCs w:val="18"/>
          <w:lang w:val="es-PE"/>
        </w:rPr>
        <w:t xml:space="preserve">2. </w:t>
      </w:r>
      <w:r w:rsidRPr="008E0099">
        <w:rPr>
          <w:rStyle w:val="Hipervnculo"/>
          <w:rFonts w:ascii="Georgia" w:hAnsi="Georgia"/>
          <w:color w:val="000000" w:themeColor="text1"/>
          <w:sz w:val="18"/>
          <w:szCs w:val="18"/>
          <w:lang w:val="es-PE"/>
        </w:rPr>
        <w:tab/>
      </w:r>
      <w:r w:rsidRPr="008E0099">
        <w:rPr>
          <w:rStyle w:val="Hipervnculo"/>
          <w:rFonts w:ascii="Georgia" w:hAnsi="Georgia"/>
          <w:color w:val="000000" w:themeColor="text1"/>
          <w:sz w:val="18"/>
          <w:szCs w:val="18"/>
          <w:lang w:val="es-PE"/>
        </w:rPr>
        <w:t xml:space="preserve">El reclamo debe ser interpuesto dentro del plazo perentorio de dos (2) años, computados a partir del día siguiente de recibida la primera notificación en que es denegada o rechazada la pretensión por la empresa de seguros. </w:t>
      </w:r>
    </w:p>
    <w:p w:rsidRPr="008E0099" w:rsidR="008E0099" w:rsidP="008E0099" w:rsidRDefault="008E0099" w14:paraId="09DF8578" w14:textId="77777777">
      <w:pPr>
        <w:pStyle w:val="Textonotapie"/>
        <w:tabs>
          <w:tab w:val="left" w:pos="284"/>
          <w:tab w:val="left" w:pos="567"/>
        </w:tabs>
        <w:spacing w:after="120"/>
        <w:ind w:left="567" w:hanging="567"/>
        <w:rPr>
          <w:rStyle w:val="Hipervnculo"/>
          <w:rFonts w:ascii="Georgia" w:hAnsi="Georgia"/>
          <w:color w:val="000000" w:themeColor="text1"/>
          <w:sz w:val="18"/>
          <w:szCs w:val="18"/>
          <w:lang w:val="es-PE"/>
        </w:rPr>
      </w:pPr>
      <w:r w:rsidRPr="008E0099">
        <w:rPr>
          <w:rStyle w:val="Hipervnculo"/>
          <w:rFonts w:ascii="Georgia" w:hAnsi="Georgia"/>
          <w:color w:val="000000" w:themeColor="text1"/>
          <w:sz w:val="18"/>
          <w:szCs w:val="18"/>
          <w:lang w:val="es-PE"/>
        </w:rPr>
        <w:tab/>
      </w:r>
      <w:r w:rsidRPr="008E0099">
        <w:rPr>
          <w:rStyle w:val="Hipervnculo"/>
          <w:rFonts w:ascii="Georgia" w:hAnsi="Georgia"/>
          <w:color w:val="000000" w:themeColor="text1"/>
          <w:sz w:val="18"/>
          <w:szCs w:val="18"/>
          <w:lang w:val="es-PE"/>
        </w:rPr>
        <w:t xml:space="preserve">3. </w:t>
      </w:r>
      <w:r w:rsidRPr="008E0099">
        <w:rPr>
          <w:rStyle w:val="Hipervnculo"/>
          <w:rFonts w:ascii="Georgia" w:hAnsi="Georgia"/>
          <w:color w:val="000000" w:themeColor="text1"/>
          <w:sz w:val="18"/>
          <w:szCs w:val="18"/>
          <w:lang w:val="es-PE"/>
        </w:rPr>
        <w:tab/>
      </w:r>
      <w:r w:rsidRPr="008E0099">
        <w:rPr>
          <w:rStyle w:val="Hipervnculo"/>
          <w:rFonts w:ascii="Georgia" w:hAnsi="Georgia"/>
          <w:color w:val="000000" w:themeColor="text1"/>
          <w:sz w:val="18"/>
          <w:szCs w:val="18"/>
          <w:lang w:val="es-PE"/>
        </w:rPr>
        <w:t xml:space="preserve">El total de la indemnización solicitada a la empresa de seguros no debe exceder los US$ 50,000. Para reclamos en dólares americanos, se considerará el tipo de cambio contable que publica la Superintendencia de Banca, Seguros (SBS) y AFP vigente a la fecha de interposición del reclamo. (…). </w:t>
      </w:r>
    </w:p>
  </w:footnote>
  <w:footnote w:id="6">
    <w:p w:rsidRPr="008E0099" w:rsidR="008E0099" w:rsidP="008E0099" w:rsidRDefault="008E0099" w14:paraId="5F1007C9" w14:textId="77777777">
      <w:pPr>
        <w:pStyle w:val="Textonotapie"/>
        <w:tabs>
          <w:tab w:val="left" w:pos="284"/>
        </w:tabs>
        <w:spacing w:after="120"/>
        <w:ind w:left="284" w:hanging="284"/>
        <w:rPr>
          <w:rFonts w:ascii="Georgia" w:hAnsi="Georgia"/>
          <w:sz w:val="18"/>
          <w:szCs w:val="18"/>
        </w:rPr>
      </w:pPr>
      <w:r w:rsidRPr="008E0099">
        <w:rPr>
          <w:rStyle w:val="Refdenotaalpie"/>
          <w:rFonts w:ascii="Georgia" w:hAnsi="Georgia"/>
          <w:sz w:val="18"/>
          <w:szCs w:val="18"/>
        </w:rPr>
        <w:footnoteRef/>
      </w:r>
      <w:r w:rsidRPr="008E0099">
        <w:rPr>
          <w:rFonts w:ascii="Georgia" w:hAnsi="Georgia"/>
          <w:sz w:val="18"/>
          <w:szCs w:val="18"/>
        </w:rPr>
        <w:t xml:space="preserve"> </w:t>
      </w:r>
      <w:r w:rsidRPr="008E0099">
        <w:rPr>
          <w:rFonts w:ascii="Georgia" w:hAnsi="Georgia"/>
          <w:sz w:val="18"/>
          <w:szCs w:val="18"/>
        </w:rPr>
        <w:tab/>
      </w:r>
      <w:r w:rsidRPr="008E0099">
        <w:rPr>
          <w:rFonts w:ascii="Georgia" w:hAnsi="Georgia"/>
          <w:b/>
          <w:bCs/>
          <w:sz w:val="18"/>
          <w:szCs w:val="18"/>
        </w:rPr>
        <w:t>CONDICIONES GENERALES</w:t>
      </w:r>
    </w:p>
    <w:p w:rsidRPr="008E0099" w:rsidR="008E0099" w:rsidP="008E0099" w:rsidRDefault="008E0099" w14:paraId="050796E5" w14:textId="77777777">
      <w:pPr>
        <w:pStyle w:val="Textonotapie"/>
        <w:tabs>
          <w:tab w:val="left" w:pos="284"/>
        </w:tabs>
        <w:spacing w:after="120"/>
        <w:ind w:left="284" w:hanging="284"/>
        <w:rPr>
          <w:rFonts w:ascii="Georgia" w:hAnsi="Georgia"/>
          <w:b/>
          <w:bCs/>
          <w:sz w:val="18"/>
          <w:szCs w:val="18"/>
        </w:rPr>
      </w:pPr>
      <w:r w:rsidRPr="008E0099">
        <w:rPr>
          <w:rFonts w:ascii="Georgia" w:hAnsi="Georgia"/>
          <w:sz w:val="18"/>
          <w:szCs w:val="18"/>
        </w:rPr>
        <w:tab/>
      </w:r>
      <w:r w:rsidRPr="008E0099">
        <w:rPr>
          <w:rFonts w:ascii="Georgia" w:hAnsi="Georgia"/>
          <w:b/>
          <w:bCs/>
          <w:sz w:val="18"/>
          <w:szCs w:val="18"/>
        </w:rPr>
        <w:t>ARTÍCULO N° 9: CAUSALES DE RESOLUCIÓN DEL CONTRATO</w:t>
      </w:r>
    </w:p>
    <w:p w:rsidRPr="008E0099" w:rsidR="008E0099" w:rsidP="008E0099" w:rsidRDefault="008E0099" w14:paraId="0F347FC0" w14:textId="77777777">
      <w:pPr>
        <w:pStyle w:val="Textonotapie"/>
        <w:tabs>
          <w:tab w:val="left" w:pos="284"/>
        </w:tabs>
        <w:spacing w:after="120"/>
        <w:ind w:left="284" w:hanging="284"/>
        <w:rPr>
          <w:rFonts w:ascii="Georgia" w:hAnsi="Georgia"/>
          <w:sz w:val="18"/>
          <w:szCs w:val="18"/>
        </w:rPr>
      </w:pPr>
      <w:r w:rsidRPr="008E0099">
        <w:rPr>
          <w:rFonts w:ascii="Georgia" w:hAnsi="Georgia"/>
          <w:sz w:val="18"/>
          <w:szCs w:val="18"/>
        </w:rPr>
        <w:tab/>
      </w:r>
      <w:r w:rsidRPr="008E0099">
        <w:rPr>
          <w:rFonts w:ascii="Georgia" w:hAnsi="Georgia"/>
          <w:sz w:val="18"/>
          <w:szCs w:val="18"/>
        </w:rPr>
        <w:t>(…)</w:t>
      </w:r>
    </w:p>
    <w:p w:rsidRPr="008E0099" w:rsidR="008E0099" w:rsidP="008E0099" w:rsidRDefault="008E0099" w14:paraId="6C1590D6" w14:textId="77777777">
      <w:pPr>
        <w:pStyle w:val="Textonotapie"/>
        <w:tabs>
          <w:tab w:val="left" w:pos="284"/>
        </w:tabs>
        <w:spacing w:after="120"/>
        <w:ind w:left="284" w:hanging="284"/>
        <w:rPr>
          <w:rFonts w:ascii="Georgia" w:hAnsi="Georgia"/>
          <w:sz w:val="18"/>
          <w:szCs w:val="18"/>
        </w:rPr>
      </w:pPr>
      <w:r w:rsidRPr="008E0099">
        <w:rPr>
          <w:rFonts w:ascii="Georgia" w:hAnsi="Georgia"/>
          <w:sz w:val="18"/>
          <w:szCs w:val="18"/>
        </w:rPr>
        <w:tab/>
      </w:r>
      <w:r w:rsidRPr="008E0099">
        <w:rPr>
          <w:rFonts w:ascii="Georgia" w:hAnsi="Georgia"/>
          <w:sz w:val="18"/>
          <w:szCs w:val="18"/>
        </w:rPr>
        <w:t>La Solicitud-Certificado del Seguro quedará resuelta con respecto al Asegurado cuando se produzca cualquiera de las siguientes causales:</w:t>
      </w:r>
    </w:p>
    <w:p w:rsidRPr="008E0099" w:rsidR="008E0099" w:rsidP="008E0099" w:rsidRDefault="008E0099" w14:paraId="12624267" w14:textId="77777777">
      <w:pPr>
        <w:pStyle w:val="Textonotapie"/>
        <w:tabs>
          <w:tab w:val="left" w:pos="284"/>
        </w:tabs>
        <w:spacing w:after="120"/>
        <w:ind w:left="284" w:hanging="284"/>
        <w:rPr>
          <w:rFonts w:ascii="Georgia" w:hAnsi="Georgia"/>
          <w:sz w:val="18"/>
          <w:szCs w:val="18"/>
        </w:rPr>
      </w:pPr>
      <w:r w:rsidRPr="008E0099">
        <w:rPr>
          <w:rFonts w:ascii="Georgia" w:hAnsi="Georgia"/>
          <w:sz w:val="18"/>
          <w:szCs w:val="18"/>
        </w:rPr>
        <w:tab/>
      </w:r>
      <w:r w:rsidRPr="008E0099">
        <w:rPr>
          <w:rFonts w:ascii="Georgia" w:hAnsi="Georgia"/>
          <w:sz w:val="18"/>
          <w:szCs w:val="18"/>
        </w:rPr>
        <w:t>(…)</w:t>
      </w:r>
    </w:p>
    <w:p w:rsidRPr="008E0099" w:rsidR="008E0099" w:rsidP="008E0099" w:rsidRDefault="008E0099" w14:paraId="5E9A292E" w14:textId="77777777">
      <w:pPr>
        <w:pStyle w:val="Textonotapie"/>
        <w:tabs>
          <w:tab w:val="left" w:pos="284"/>
          <w:tab w:val="left" w:pos="567"/>
        </w:tabs>
        <w:spacing w:after="120"/>
        <w:ind w:left="567" w:hanging="567"/>
        <w:rPr>
          <w:rFonts w:ascii="Georgia" w:hAnsi="Georgia"/>
          <w:sz w:val="18"/>
          <w:szCs w:val="18"/>
        </w:rPr>
      </w:pPr>
      <w:r w:rsidRPr="008E0099">
        <w:rPr>
          <w:rFonts w:ascii="Georgia" w:hAnsi="Georgia"/>
          <w:sz w:val="18"/>
          <w:szCs w:val="18"/>
        </w:rPr>
        <w:tab/>
      </w:r>
      <w:r w:rsidRPr="008E0099">
        <w:rPr>
          <w:rFonts w:ascii="Georgia" w:hAnsi="Georgia"/>
          <w:sz w:val="18"/>
          <w:szCs w:val="18"/>
        </w:rPr>
        <w:t xml:space="preserve">c. </w:t>
      </w:r>
      <w:r w:rsidRPr="008E0099">
        <w:rPr>
          <w:rFonts w:ascii="Georgia" w:hAnsi="Georgia"/>
          <w:sz w:val="18"/>
          <w:szCs w:val="18"/>
        </w:rPr>
        <w:tab/>
      </w:r>
      <w:r w:rsidRPr="008E0099">
        <w:rPr>
          <w:rFonts w:ascii="Georgia" w:hAnsi="Georgia"/>
          <w:sz w:val="18"/>
          <w:szCs w:val="18"/>
        </w:rPr>
        <w:t>Cuando se presente fraudulentamente una solicitud de cobertura basada en documentos o declaraciones falsas, según lo establecido en el Artículo N° 10. La Compañía comunicará la resolución al Contratante dentro de los treinta (30) días posteriores a haber tomado conocimiento del fraude.</w:t>
      </w:r>
    </w:p>
  </w:footnote>
  <w:footnote w:id="7">
    <w:p w:rsidRPr="008E0099" w:rsidR="008E0099" w:rsidP="008E0099" w:rsidRDefault="008E0099" w14:paraId="5B2AB9A7" w14:textId="607D2EA7">
      <w:pPr>
        <w:pStyle w:val="Textonotapie"/>
        <w:tabs>
          <w:tab w:val="left" w:pos="284"/>
        </w:tabs>
        <w:spacing w:after="120"/>
        <w:ind w:left="284" w:hanging="284"/>
        <w:rPr>
          <w:rFonts w:ascii="Georgia" w:hAnsi="Georgia"/>
          <w:sz w:val="18"/>
          <w:szCs w:val="18"/>
        </w:rPr>
      </w:pPr>
      <w:r w:rsidRPr="008E0099">
        <w:rPr>
          <w:rStyle w:val="Refdenotaalpie"/>
          <w:rFonts w:ascii="Georgia" w:hAnsi="Georgia"/>
          <w:sz w:val="18"/>
          <w:szCs w:val="18"/>
        </w:rPr>
        <w:footnoteRef/>
      </w:r>
      <w:r w:rsidRPr="008E0099" w:rsidR="57C8CCB3">
        <w:rPr>
          <w:rFonts w:ascii="Georgia" w:hAnsi="Georgia"/>
          <w:sz w:val="18"/>
          <w:szCs w:val="18"/>
        </w:rPr>
        <w:t xml:space="preserve"> </w:t>
      </w:r>
      <w:r w:rsidRPr="008E0099">
        <w:rPr>
          <w:rFonts w:ascii="Georgia" w:hAnsi="Georgia"/>
          <w:sz w:val="18"/>
          <w:szCs w:val="18"/>
        </w:rPr>
        <w:tab/>
      </w:r>
      <w:r w:rsidRPr="008E0099" w:rsidR="57C8CCB3">
        <w:rPr>
          <w:rFonts w:ascii="Georgia" w:hAnsi="Georgia"/>
          <w:sz w:val="18"/>
          <w:szCs w:val="18"/>
        </w:rPr>
        <w:t xml:space="preserve">Véase Resolución DEFASEG </w:t>
      </w:r>
      <w:r w:rsidRPr="008E0099" w:rsidR="57C8CCB3">
        <w:rPr>
          <w:rFonts w:ascii="Georgia" w:hAnsi="Georgia"/>
          <w:sz w:val="18"/>
          <w:szCs w:val="18"/>
        </w:rPr>
        <w:t>n.°</w:t>
      </w:r>
      <w:r w:rsidRPr="008E0099" w:rsidR="57C8CCB3">
        <w:rPr>
          <w:rFonts w:ascii="Georgia" w:hAnsi="Georgia"/>
          <w:sz w:val="18"/>
          <w:szCs w:val="18"/>
        </w:rPr>
        <w:t xml:space="preserve"> 28/25 (</w:t>
      </w:r>
      <w:r w:rsidRPr="57C8CCB3" w:rsidR="57C8CCB3">
        <w:rPr>
          <w:rFonts w:ascii="Georgia" w:hAnsi="Georgia"/>
          <w:i w:val="1"/>
          <w:iCs w:val="1"/>
          <w:sz w:val="18"/>
          <w:szCs w:val="18"/>
          <w:u w:val="single"/>
        </w:rPr>
        <w:t xml:space="preserve">Expediente </w:t>
      </w:r>
      <w:r w:rsidRPr="57C8CCB3" w:rsidR="57C8CCB3">
        <w:rPr>
          <w:rFonts w:ascii="Georgia" w:hAnsi="Georgia"/>
          <w:i w:val="1"/>
          <w:iCs w:val="1"/>
          <w:sz w:val="18"/>
          <w:szCs w:val="18"/>
          <w:u w:val="single"/>
        </w:rPr>
        <w:t>n.°</w:t>
      </w:r>
      <w:r w:rsidRPr="57C8CCB3" w:rsidR="57C8CCB3">
        <w:rPr>
          <w:rFonts w:ascii="Georgia" w:hAnsi="Georgia"/>
          <w:i w:val="1"/>
          <w:iCs w:val="1"/>
          <w:sz w:val="18"/>
          <w:szCs w:val="18"/>
          <w:u w:val="single"/>
        </w:rPr>
        <w:t xml:space="preserve"> 6073, Caso Varona Vásquez v </w:t>
      </w:r>
      <w:r w:rsidRPr="57C8CCB3" w:rsidR="57C8CCB3">
        <w:rPr>
          <w:rFonts w:ascii="Georgia" w:hAnsi="Georgia"/>
          <w:i w:val="1"/>
          <w:iCs w:val="1"/>
          <w:sz w:val="18"/>
          <w:szCs w:val="18"/>
          <w:u w:val="single"/>
        </w:rPr>
        <w:t xml:space="preserve">.............................</w:t>
      </w:r>
      <w:r w:rsidRPr="008E0099" w:rsidR="57C8CCB3">
        <w:rPr>
          <w:rFonts w:ascii="Georgia" w:hAnsi="Georgia"/>
          <w:sz w:val="18"/>
          <w:szCs w:val="18"/>
        </w:rPr>
        <w:t>) del 4 de marzo de 2025.</w:t>
      </w:r>
    </w:p>
  </w:footnote>
  <w:footnote w:id="8">
    <w:p w:rsidRPr="008E0099" w:rsidR="008E0099" w:rsidP="008E0099" w:rsidRDefault="008E0099" w14:paraId="112123BF" w14:textId="77777777">
      <w:pPr>
        <w:pStyle w:val="Textonotapie"/>
        <w:tabs>
          <w:tab w:val="left" w:pos="284"/>
        </w:tabs>
        <w:spacing w:after="120"/>
        <w:ind w:left="284" w:hanging="284"/>
        <w:rPr>
          <w:rFonts w:ascii="Georgia" w:hAnsi="Georgia"/>
          <w:sz w:val="18"/>
          <w:szCs w:val="18"/>
        </w:rPr>
      </w:pPr>
      <w:r w:rsidRPr="008E0099">
        <w:rPr>
          <w:rStyle w:val="Refdenotaalpie"/>
          <w:rFonts w:ascii="Georgia" w:hAnsi="Georgia"/>
          <w:sz w:val="18"/>
          <w:szCs w:val="18"/>
        </w:rPr>
        <w:footnoteRef/>
      </w:r>
      <w:r w:rsidRPr="008E0099">
        <w:rPr>
          <w:rFonts w:ascii="Georgia" w:hAnsi="Georgia"/>
          <w:sz w:val="18"/>
          <w:szCs w:val="18"/>
        </w:rPr>
        <w:t xml:space="preserve"> </w:t>
      </w:r>
      <w:r w:rsidRPr="008E0099">
        <w:rPr>
          <w:rFonts w:ascii="Georgia" w:hAnsi="Georgia"/>
          <w:sz w:val="18"/>
          <w:szCs w:val="18"/>
        </w:rPr>
        <w:tab/>
      </w:r>
      <w:r w:rsidRPr="008E0099">
        <w:rPr>
          <w:rFonts w:ascii="Georgia" w:hAnsi="Georgia"/>
          <w:sz w:val="18"/>
          <w:szCs w:val="18"/>
        </w:rPr>
        <w:t xml:space="preserve">Las Condiciones generales de la Póliza, definen el “Uso indebido de tarjeta de débito y/o de crédito” como, aquella: </w:t>
      </w:r>
      <w:r w:rsidRPr="008E0099">
        <w:rPr>
          <w:rFonts w:ascii="Georgia" w:hAnsi="Georgia"/>
          <w:i/>
          <w:iCs/>
          <w:sz w:val="18"/>
          <w:szCs w:val="18"/>
        </w:rPr>
        <w:t>«[u]</w:t>
      </w:r>
      <w:proofErr w:type="spellStart"/>
      <w:r w:rsidRPr="008E0099">
        <w:rPr>
          <w:rFonts w:ascii="Georgia" w:hAnsi="Georgia"/>
          <w:i/>
          <w:iCs/>
          <w:sz w:val="18"/>
          <w:szCs w:val="18"/>
        </w:rPr>
        <w:t>tilización</w:t>
      </w:r>
      <w:proofErr w:type="spellEnd"/>
      <w:r w:rsidRPr="008E0099">
        <w:rPr>
          <w:rFonts w:ascii="Georgia" w:hAnsi="Georgia"/>
          <w:i/>
          <w:iCs/>
          <w:sz w:val="18"/>
          <w:szCs w:val="18"/>
        </w:rPr>
        <w:t xml:space="preserve"> de la(s) tarjeta(s) de Crédito y/o Débito que se produce por el Extravío, Robo, Hurto y/o Secuestro que deriven en defraudaciones, estafas, malversaciones o gastos en Establecimientos Comerciales por un tercero ajeno al titular de la tarjeta, incluyendo las disposiciones de efectivos en cajeros automáticos</w:t>
      </w:r>
      <w:r w:rsidRPr="008E0099">
        <w:rPr>
          <w:rFonts w:ascii="Georgia" w:hAnsi="Georgia"/>
          <w:sz w:val="18"/>
          <w:szCs w:val="18"/>
        </w:rPr>
        <w:t>.»</w:t>
      </w:r>
    </w:p>
  </w:footnote>
  <w:footnote w:id="9">
    <w:p w:rsidRPr="008E0099" w:rsidR="008E0099" w:rsidP="008E0099" w:rsidRDefault="008E0099" w14:paraId="3F651554" w14:textId="77777777">
      <w:pPr>
        <w:pStyle w:val="Textonotapie"/>
        <w:tabs>
          <w:tab w:val="left" w:pos="284"/>
        </w:tabs>
        <w:spacing w:after="120"/>
        <w:ind w:left="284" w:hanging="284"/>
        <w:rPr>
          <w:rFonts w:ascii="Georgia" w:hAnsi="Georgia"/>
          <w:sz w:val="18"/>
          <w:szCs w:val="18"/>
          <w:lang w:val="es-MX"/>
        </w:rPr>
      </w:pPr>
      <w:r w:rsidRPr="008E0099">
        <w:rPr>
          <w:rStyle w:val="Refdenotaalpie"/>
          <w:rFonts w:ascii="Georgia" w:hAnsi="Georgia"/>
          <w:sz w:val="18"/>
          <w:szCs w:val="18"/>
        </w:rPr>
        <w:footnoteRef/>
      </w:r>
      <w:r w:rsidRPr="008E0099">
        <w:rPr>
          <w:rFonts w:ascii="Georgia" w:hAnsi="Georgia"/>
          <w:sz w:val="18"/>
          <w:szCs w:val="18"/>
        </w:rPr>
        <w:t xml:space="preserve"> </w:t>
      </w:r>
      <w:r w:rsidRPr="008E0099">
        <w:rPr>
          <w:rFonts w:ascii="Georgia" w:hAnsi="Georgia"/>
          <w:sz w:val="18"/>
          <w:szCs w:val="18"/>
        </w:rPr>
        <w:tab/>
      </w:r>
      <w:r w:rsidRPr="008E0099">
        <w:rPr>
          <w:rFonts w:ascii="Georgia" w:hAnsi="Georgia"/>
          <w:sz w:val="18"/>
          <w:szCs w:val="18"/>
        </w:rPr>
        <w:t xml:space="preserve">Véase </w:t>
      </w:r>
      <w:r w:rsidRPr="008E0099">
        <w:rPr>
          <w:rFonts w:ascii="Georgia" w:hAnsi="Georgia"/>
          <w:sz w:val="18"/>
          <w:szCs w:val="18"/>
          <w:lang w:val="es-MX"/>
        </w:rPr>
        <w:t xml:space="preserve">Resolución DEFASEG </w:t>
      </w:r>
      <w:proofErr w:type="spellStart"/>
      <w:r w:rsidRPr="008E0099">
        <w:rPr>
          <w:rFonts w:ascii="Georgia" w:hAnsi="Georgia"/>
          <w:sz w:val="18"/>
          <w:szCs w:val="18"/>
          <w:lang w:val="es-MX"/>
        </w:rPr>
        <w:t>n.°</w:t>
      </w:r>
      <w:proofErr w:type="spellEnd"/>
      <w:r w:rsidRPr="008E0099">
        <w:rPr>
          <w:rFonts w:ascii="Georgia" w:hAnsi="Georgia"/>
          <w:sz w:val="18"/>
          <w:szCs w:val="18"/>
          <w:lang w:val="es-MX"/>
        </w:rPr>
        <w:t xml:space="preserve"> 32/19 (</w:t>
      </w:r>
      <w:r w:rsidRPr="008E0099">
        <w:rPr>
          <w:rFonts w:ascii="Georgia" w:hAnsi="Georgia"/>
          <w:i/>
          <w:iCs/>
          <w:sz w:val="18"/>
          <w:szCs w:val="18"/>
          <w:u w:val="single"/>
          <w:lang w:val="es-MX"/>
        </w:rPr>
        <w:t xml:space="preserve">Expediente </w:t>
      </w:r>
      <w:proofErr w:type="spellStart"/>
      <w:r w:rsidRPr="008E0099">
        <w:rPr>
          <w:rFonts w:ascii="Georgia" w:hAnsi="Georgia"/>
          <w:i/>
          <w:iCs/>
          <w:sz w:val="18"/>
          <w:szCs w:val="18"/>
          <w:u w:val="single"/>
          <w:lang w:val="es-MX"/>
        </w:rPr>
        <w:t>n.°</w:t>
      </w:r>
      <w:proofErr w:type="spellEnd"/>
      <w:r w:rsidRPr="008E0099">
        <w:rPr>
          <w:rFonts w:ascii="Georgia" w:hAnsi="Georgia"/>
          <w:i/>
          <w:iCs/>
          <w:sz w:val="18"/>
          <w:szCs w:val="18"/>
          <w:u w:val="single"/>
          <w:lang w:val="es-MX"/>
        </w:rPr>
        <w:t xml:space="preserve"> 3974, Caso Custodio Gutiérrez v. Rímac</w:t>
      </w:r>
      <w:r w:rsidRPr="008E0099">
        <w:rPr>
          <w:rFonts w:ascii="Georgia" w:hAnsi="Georgia"/>
          <w:sz w:val="18"/>
          <w:szCs w:val="18"/>
          <w:lang w:val="es-MX"/>
        </w:rPr>
        <w:t>) del 11 de marzo de 2019.</w:t>
      </w:r>
    </w:p>
  </w:footnote>
  <w:footnote w:id="10">
    <w:p w:rsidRPr="008E0099" w:rsidR="008E0099" w:rsidP="008E0099" w:rsidRDefault="008E0099" w14:paraId="23F0012C" w14:textId="77777777">
      <w:pPr>
        <w:pStyle w:val="Textonotapie"/>
        <w:tabs>
          <w:tab w:val="left" w:pos="284"/>
        </w:tabs>
        <w:spacing w:after="120"/>
        <w:ind w:left="284" w:hanging="284"/>
        <w:rPr>
          <w:rFonts w:ascii="Georgia" w:hAnsi="Georgia"/>
          <w:sz w:val="18"/>
          <w:szCs w:val="18"/>
          <w:lang w:val="es-MX"/>
        </w:rPr>
      </w:pPr>
      <w:r w:rsidRPr="008E0099">
        <w:rPr>
          <w:rStyle w:val="Refdenotaalpie"/>
          <w:rFonts w:ascii="Georgia" w:hAnsi="Georgia"/>
          <w:sz w:val="18"/>
          <w:szCs w:val="18"/>
        </w:rPr>
        <w:footnoteRef/>
      </w:r>
      <w:r w:rsidRPr="008E0099">
        <w:rPr>
          <w:rFonts w:ascii="Georgia" w:hAnsi="Georgia"/>
          <w:sz w:val="18"/>
          <w:szCs w:val="18"/>
        </w:rPr>
        <w:t xml:space="preserve"> </w:t>
      </w:r>
      <w:r w:rsidRPr="008E0099">
        <w:rPr>
          <w:rFonts w:ascii="Georgia" w:hAnsi="Georgia"/>
          <w:sz w:val="18"/>
          <w:szCs w:val="18"/>
        </w:rPr>
        <w:tab/>
      </w:r>
      <w:r w:rsidRPr="008E0099">
        <w:rPr>
          <w:rFonts w:ascii="Georgia" w:hAnsi="Georgia"/>
          <w:sz w:val="18"/>
          <w:szCs w:val="18"/>
        </w:rPr>
        <w:t xml:space="preserve">Véase Resolución DEFASEG </w:t>
      </w:r>
      <w:proofErr w:type="spellStart"/>
      <w:r w:rsidRPr="008E0099">
        <w:rPr>
          <w:rFonts w:ascii="Georgia" w:hAnsi="Georgia"/>
          <w:sz w:val="18"/>
          <w:szCs w:val="18"/>
        </w:rPr>
        <w:t>n.°</w:t>
      </w:r>
      <w:proofErr w:type="spellEnd"/>
      <w:r w:rsidRPr="008E0099">
        <w:rPr>
          <w:rFonts w:ascii="Georgia" w:hAnsi="Georgia"/>
          <w:sz w:val="18"/>
          <w:szCs w:val="18"/>
        </w:rPr>
        <w:t xml:space="preserve"> 23/22 (</w:t>
      </w:r>
      <w:r w:rsidRPr="008E0099">
        <w:rPr>
          <w:rFonts w:ascii="Georgia" w:hAnsi="Georgia"/>
          <w:i/>
          <w:iCs/>
          <w:sz w:val="18"/>
          <w:szCs w:val="18"/>
          <w:u w:val="single"/>
        </w:rPr>
        <w:t xml:space="preserve">Expediente </w:t>
      </w:r>
      <w:proofErr w:type="spellStart"/>
      <w:r w:rsidRPr="008E0099">
        <w:rPr>
          <w:rFonts w:ascii="Georgia" w:hAnsi="Georgia"/>
          <w:i/>
          <w:iCs/>
          <w:sz w:val="18"/>
          <w:szCs w:val="18"/>
          <w:u w:val="single"/>
        </w:rPr>
        <w:t>n.°</w:t>
      </w:r>
      <w:proofErr w:type="spellEnd"/>
      <w:r w:rsidRPr="008E0099">
        <w:rPr>
          <w:rFonts w:ascii="Georgia" w:hAnsi="Georgia"/>
          <w:i/>
          <w:iCs/>
          <w:sz w:val="18"/>
          <w:szCs w:val="18"/>
          <w:u w:val="single"/>
        </w:rPr>
        <w:t xml:space="preserve"> 4900, Caso Villacorta Farah v MAPFRE</w:t>
      </w:r>
      <w:r w:rsidRPr="008E0099">
        <w:rPr>
          <w:rFonts w:ascii="Georgia" w:hAnsi="Georgia"/>
          <w:sz w:val="18"/>
          <w:szCs w:val="18"/>
        </w:rPr>
        <w:t xml:space="preserve">) del </w:t>
      </w:r>
      <w:r w:rsidRPr="008E0099">
        <w:rPr>
          <w:rFonts w:ascii="Georgia" w:hAnsi="Georgia"/>
          <w:sz w:val="18"/>
          <w:szCs w:val="18"/>
          <w:lang w:val="es-MX"/>
        </w:rPr>
        <w:t>16 de febrero de 2022.</w:t>
      </w:r>
    </w:p>
  </w:footnote>
  <w:footnote w:id="11">
    <w:p w:rsidRPr="008E0099" w:rsidR="008E0099" w:rsidP="008E0099" w:rsidRDefault="008E0099" w14:paraId="4969BDAA" w14:textId="77777777">
      <w:pPr>
        <w:pStyle w:val="Textonotapie"/>
        <w:tabs>
          <w:tab w:val="left" w:pos="284"/>
        </w:tabs>
        <w:spacing w:after="120"/>
        <w:ind w:left="284" w:hanging="284"/>
        <w:rPr>
          <w:rFonts w:ascii="Georgia" w:hAnsi="Georgia"/>
          <w:sz w:val="18"/>
          <w:szCs w:val="18"/>
        </w:rPr>
      </w:pPr>
      <w:r w:rsidRPr="008E0099">
        <w:rPr>
          <w:rStyle w:val="Refdenotaalpie"/>
          <w:rFonts w:ascii="Georgia" w:hAnsi="Georgia"/>
          <w:sz w:val="18"/>
          <w:szCs w:val="18"/>
        </w:rPr>
        <w:footnoteRef/>
      </w:r>
      <w:r w:rsidRPr="008E0099">
        <w:rPr>
          <w:rFonts w:ascii="Georgia" w:hAnsi="Georgia"/>
          <w:sz w:val="18"/>
          <w:szCs w:val="18"/>
        </w:rPr>
        <w:t xml:space="preserve"> </w:t>
      </w:r>
      <w:r w:rsidRPr="008E0099">
        <w:rPr>
          <w:rFonts w:ascii="Georgia" w:hAnsi="Georgia"/>
          <w:sz w:val="18"/>
          <w:szCs w:val="18"/>
        </w:rPr>
        <w:tab/>
      </w:r>
      <w:r w:rsidRPr="008E0099">
        <w:rPr>
          <w:rFonts w:ascii="Georgia" w:hAnsi="Georgia"/>
          <w:b/>
          <w:bCs/>
          <w:sz w:val="18"/>
          <w:szCs w:val="18"/>
        </w:rPr>
        <w:t>Ley del Contrato de Seguro</w:t>
      </w:r>
    </w:p>
    <w:p w:rsidRPr="008E0099" w:rsidR="008E0099" w:rsidP="008E0099" w:rsidRDefault="008E0099" w14:paraId="789E03F0" w14:textId="77777777">
      <w:pPr>
        <w:pStyle w:val="Textonotapie"/>
        <w:tabs>
          <w:tab w:val="left" w:pos="284"/>
        </w:tabs>
        <w:spacing w:after="120"/>
        <w:ind w:left="284" w:hanging="284"/>
        <w:rPr>
          <w:rFonts w:ascii="Georgia" w:hAnsi="Georgia"/>
          <w:b/>
          <w:bCs/>
          <w:sz w:val="18"/>
          <w:szCs w:val="18"/>
        </w:rPr>
      </w:pPr>
      <w:r w:rsidRPr="008E0099">
        <w:rPr>
          <w:rFonts w:ascii="Georgia" w:hAnsi="Georgia"/>
          <w:b/>
          <w:bCs/>
          <w:sz w:val="18"/>
          <w:szCs w:val="18"/>
        </w:rPr>
        <w:tab/>
      </w:r>
      <w:r w:rsidRPr="008E0099">
        <w:rPr>
          <w:rFonts w:ascii="Georgia" w:hAnsi="Georgia"/>
          <w:b/>
          <w:bCs/>
          <w:sz w:val="18"/>
          <w:szCs w:val="18"/>
        </w:rPr>
        <w:t>Artículo 69o.- Informaciones</w:t>
      </w:r>
    </w:p>
    <w:p w:rsidRPr="008E0099" w:rsidR="008E0099" w:rsidP="008E0099" w:rsidRDefault="008E0099" w14:paraId="6109FE94" w14:textId="77777777">
      <w:pPr>
        <w:pStyle w:val="Textonotapie"/>
        <w:tabs>
          <w:tab w:val="left" w:pos="284"/>
        </w:tabs>
        <w:spacing w:after="120"/>
        <w:ind w:left="284" w:hanging="284"/>
        <w:rPr>
          <w:rFonts w:ascii="Georgia" w:hAnsi="Georgia"/>
          <w:sz w:val="18"/>
          <w:szCs w:val="18"/>
        </w:rPr>
      </w:pPr>
      <w:r w:rsidRPr="008E0099">
        <w:rPr>
          <w:rFonts w:ascii="Georgia" w:hAnsi="Georgia"/>
          <w:sz w:val="18"/>
          <w:szCs w:val="18"/>
        </w:rPr>
        <w:tab/>
      </w:r>
      <w:r w:rsidRPr="008E0099">
        <w:rPr>
          <w:rFonts w:ascii="Georgia" w:hAnsi="Georgia"/>
          <w:sz w:val="18"/>
          <w:szCs w:val="18"/>
        </w:rPr>
        <w:t xml:space="preserve">Sin perjuicio de lo dispuesto en el artículo anterior, el contratante, el asegurado o el beneficiario deben suministrar al asegurador, a su pedido, la información veraz, razonable y necesaria para verificar el siniestro o la extensión de la prestación a su cargo y </w:t>
      </w:r>
      <w:proofErr w:type="gramStart"/>
      <w:r w:rsidRPr="008E0099">
        <w:rPr>
          <w:rFonts w:ascii="Georgia" w:hAnsi="Georgia"/>
          <w:sz w:val="18"/>
          <w:szCs w:val="18"/>
        </w:rPr>
        <w:t>permitirle</w:t>
      </w:r>
      <w:proofErr w:type="gramEnd"/>
      <w:r w:rsidRPr="008E0099">
        <w:rPr>
          <w:rFonts w:ascii="Georgia" w:hAnsi="Georgia"/>
          <w:sz w:val="18"/>
          <w:szCs w:val="18"/>
        </w:rPr>
        <w:t xml:space="preserve"> las indagaciones necesarias a tales fines.</w:t>
      </w:r>
    </w:p>
  </w:footnote>
  <w:footnote w:id="12">
    <w:p w:rsidRPr="008E0099" w:rsidR="008E0099" w:rsidP="008E0099" w:rsidRDefault="008E0099" w14:paraId="57785F49" w14:textId="77777777">
      <w:pPr>
        <w:pStyle w:val="Textonotapie"/>
        <w:tabs>
          <w:tab w:val="left" w:pos="284"/>
        </w:tabs>
        <w:spacing w:after="120"/>
        <w:ind w:left="284" w:hanging="284"/>
        <w:rPr>
          <w:rFonts w:ascii="Georgia" w:hAnsi="Georgia"/>
          <w:sz w:val="18"/>
          <w:szCs w:val="18"/>
        </w:rPr>
      </w:pPr>
      <w:r w:rsidRPr="008E0099">
        <w:rPr>
          <w:rStyle w:val="Refdenotaalpie"/>
          <w:rFonts w:ascii="Georgia" w:hAnsi="Georgia"/>
          <w:sz w:val="18"/>
          <w:szCs w:val="18"/>
        </w:rPr>
        <w:footnoteRef/>
      </w:r>
      <w:r w:rsidRPr="008E0099">
        <w:rPr>
          <w:rFonts w:ascii="Georgia" w:hAnsi="Georgia"/>
          <w:sz w:val="18"/>
          <w:szCs w:val="18"/>
        </w:rPr>
        <w:t xml:space="preserve"> </w:t>
      </w:r>
      <w:r w:rsidRPr="008E0099">
        <w:rPr>
          <w:rFonts w:ascii="Georgia" w:hAnsi="Georgia"/>
          <w:sz w:val="18"/>
          <w:szCs w:val="18"/>
        </w:rPr>
        <w:tab/>
      </w:r>
      <w:r w:rsidRPr="008E0099">
        <w:rPr>
          <w:rFonts w:ascii="Georgia" w:hAnsi="Georgia"/>
          <w:b/>
          <w:bCs/>
          <w:sz w:val="18"/>
          <w:szCs w:val="18"/>
        </w:rPr>
        <w:t>Ley del Contrato de Seguro</w:t>
      </w:r>
    </w:p>
    <w:p w:rsidRPr="008E0099" w:rsidR="008E0099" w:rsidP="008E0099" w:rsidRDefault="008E0099" w14:paraId="3FEC6676" w14:textId="77777777">
      <w:pPr>
        <w:pStyle w:val="Textonotapie"/>
        <w:tabs>
          <w:tab w:val="left" w:pos="284"/>
        </w:tabs>
        <w:spacing w:after="120"/>
        <w:ind w:left="284" w:hanging="284"/>
        <w:rPr>
          <w:rFonts w:ascii="Georgia" w:hAnsi="Georgia"/>
          <w:b/>
          <w:bCs/>
          <w:sz w:val="18"/>
          <w:szCs w:val="18"/>
        </w:rPr>
      </w:pPr>
      <w:r w:rsidRPr="008E0099">
        <w:rPr>
          <w:rFonts w:ascii="Georgia" w:hAnsi="Georgia"/>
          <w:sz w:val="18"/>
          <w:szCs w:val="18"/>
        </w:rPr>
        <w:tab/>
      </w:r>
      <w:r w:rsidRPr="008E0099">
        <w:rPr>
          <w:rFonts w:ascii="Georgia" w:hAnsi="Georgia"/>
          <w:b/>
          <w:bCs/>
          <w:sz w:val="18"/>
          <w:szCs w:val="18"/>
        </w:rPr>
        <w:t>Artículo 73o.- Fraude</w:t>
      </w:r>
    </w:p>
    <w:p w:rsidRPr="008E0099" w:rsidR="008E0099" w:rsidP="008E0099" w:rsidRDefault="008E0099" w14:paraId="6B2388C4" w14:textId="77777777">
      <w:pPr>
        <w:pStyle w:val="Textonotapie"/>
        <w:tabs>
          <w:tab w:val="left" w:pos="284"/>
        </w:tabs>
        <w:spacing w:after="120"/>
        <w:ind w:left="284" w:hanging="284"/>
        <w:rPr>
          <w:rFonts w:ascii="Georgia" w:hAnsi="Georgia"/>
          <w:sz w:val="18"/>
          <w:szCs w:val="18"/>
          <w:lang w:val="es-MX"/>
        </w:rPr>
      </w:pPr>
      <w:r w:rsidRPr="008E0099">
        <w:rPr>
          <w:rFonts w:ascii="Georgia" w:hAnsi="Georgia"/>
          <w:sz w:val="18"/>
          <w:szCs w:val="18"/>
        </w:rPr>
        <w:tab/>
      </w:r>
      <w:r w:rsidRPr="008E0099">
        <w:rPr>
          <w:rFonts w:ascii="Georgia" w:hAnsi="Georgia"/>
          <w:sz w:val="18"/>
          <w:szCs w:val="18"/>
        </w:rPr>
        <w:t>El asegurado pierde el derecho a ser indemnizado si actúa fraudulentamente, exagera los daños o emplea medios falsos para probarlos.</w:t>
      </w:r>
    </w:p>
  </w:footnote>
  <w:footnote w:id="13">
    <w:p w:rsidRPr="008E0099" w:rsidR="008E0099" w:rsidP="008E0099" w:rsidRDefault="008E0099" w14:paraId="4D42C77B" w14:textId="77777777">
      <w:pPr>
        <w:pStyle w:val="Textonotapie"/>
        <w:tabs>
          <w:tab w:val="left" w:pos="284"/>
        </w:tabs>
        <w:spacing w:after="120"/>
        <w:ind w:left="284" w:hanging="284"/>
        <w:rPr>
          <w:rFonts w:ascii="Georgia" w:hAnsi="Georgia"/>
          <w:sz w:val="18"/>
          <w:szCs w:val="18"/>
          <w:lang w:val="es-MX"/>
        </w:rPr>
      </w:pPr>
      <w:r w:rsidRPr="008E0099">
        <w:rPr>
          <w:rStyle w:val="Refdenotaalpie"/>
          <w:rFonts w:ascii="Georgia" w:hAnsi="Georgia"/>
          <w:sz w:val="18"/>
          <w:szCs w:val="18"/>
        </w:rPr>
        <w:footnoteRef/>
      </w:r>
      <w:r w:rsidRPr="008E0099">
        <w:rPr>
          <w:rFonts w:ascii="Georgia" w:hAnsi="Georgia"/>
          <w:sz w:val="18"/>
          <w:szCs w:val="18"/>
        </w:rPr>
        <w:t xml:space="preserve"> </w:t>
      </w:r>
      <w:r w:rsidRPr="008E0099">
        <w:rPr>
          <w:rFonts w:ascii="Georgia" w:hAnsi="Georgia"/>
          <w:sz w:val="18"/>
          <w:szCs w:val="18"/>
        </w:rPr>
        <w:tab/>
      </w:r>
      <w:r w:rsidRPr="008E0099">
        <w:rPr>
          <w:rFonts w:ascii="Georgia" w:hAnsi="Georgia" w:cstheme="minorHAnsi"/>
          <w:sz w:val="18"/>
          <w:szCs w:val="18"/>
          <w:lang w:val="es-MX"/>
        </w:rPr>
        <w:t>Real Academia Española (RAE) y Asociación de Academias de la Lengua Española (ASALE). Diccionario Panhispánico del Español Jurídico (DPEJ) [en línea]. [https://dpej.rae.es/</w:t>
      </w:r>
      <w:proofErr w:type="gramStart"/>
      <w:r w:rsidRPr="008E0099">
        <w:rPr>
          <w:rFonts w:ascii="Georgia" w:hAnsi="Georgia" w:cstheme="minorHAnsi"/>
          <w:sz w:val="18"/>
          <w:szCs w:val="18"/>
          <w:lang w:val="es-MX"/>
        </w:rPr>
        <w:t>][</w:t>
      </w:r>
      <w:proofErr w:type="gramEnd"/>
      <w:r w:rsidRPr="008E0099">
        <w:rPr>
          <w:rFonts w:ascii="Georgia" w:hAnsi="Georgia" w:cstheme="minorHAnsi"/>
          <w:sz w:val="18"/>
          <w:szCs w:val="18"/>
          <w:lang w:val="es-MX"/>
        </w:rPr>
        <w:t>Consulta: 10/06/2025].</w:t>
      </w:r>
    </w:p>
  </w:footnote>
  <w:footnote w:id="14">
    <w:p w:rsidRPr="008E0099" w:rsidR="008E0099" w:rsidP="008E0099" w:rsidRDefault="008E0099" w14:paraId="15EB9254" w14:textId="77777777">
      <w:pPr>
        <w:pStyle w:val="Textonotapie"/>
        <w:tabs>
          <w:tab w:val="left" w:pos="284"/>
        </w:tabs>
        <w:spacing w:after="120"/>
        <w:ind w:left="284" w:hanging="284"/>
        <w:rPr>
          <w:rFonts w:ascii="Georgia" w:hAnsi="Georgia"/>
          <w:sz w:val="18"/>
          <w:szCs w:val="18"/>
          <w:lang w:val="es-MX"/>
        </w:rPr>
      </w:pPr>
      <w:r w:rsidRPr="008E0099">
        <w:rPr>
          <w:rStyle w:val="Refdenotaalpie"/>
          <w:rFonts w:ascii="Georgia" w:hAnsi="Georgia"/>
          <w:sz w:val="18"/>
          <w:szCs w:val="18"/>
        </w:rPr>
        <w:footnoteRef/>
      </w:r>
      <w:r w:rsidRPr="008E0099">
        <w:rPr>
          <w:rFonts w:ascii="Georgia" w:hAnsi="Georgia"/>
          <w:sz w:val="18"/>
          <w:szCs w:val="18"/>
        </w:rPr>
        <w:t xml:space="preserve"> </w:t>
      </w:r>
      <w:r w:rsidRPr="008E0099">
        <w:rPr>
          <w:rFonts w:ascii="Georgia" w:hAnsi="Georgia"/>
          <w:sz w:val="18"/>
          <w:szCs w:val="18"/>
        </w:rPr>
        <w:tab/>
      </w:r>
      <w:r w:rsidRPr="008E0099">
        <w:rPr>
          <w:rFonts w:ascii="Georgia" w:hAnsi="Georgia" w:cstheme="minorHAnsi"/>
          <w:sz w:val="18"/>
          <w:szCs w:val="18"/>
          <w:lang w:val="es-MX"/>
        </w:rPr>
        <w:t>Fundación MAPFRE. Diccionario de Seguros [en línea]. [https://www.fundacionmapfre.org/publicaciones/diccionario-mapfre-seguros/</w:t>
      </w:r>
      <w:proofErr w:type="gramStart"/>
      <w:r w:rsidRPr="008E0099">
        <w:rPr>
          <w:rFonts w:ascii="Georgia" w:hAnsi="Georgia" w:cstheme="minorHAnsi"/>
          <w:sz w:val="18"/>
          <w:szCs w:val="18"/>
          <w:lang w:val="es-MX"/>
        </w:rPr>
        <w:t>][</w:t>
      </w:r>
      <w:proofErr w:type="gramEnd"/>
      <w:r w:rsidRPr="008E0099">
        <w:rPr>
          <w:rFonts w:ascii="Georgia" w:hAnsi="Georgia" w:cstheme="minorHAnsi"/>
          <w:sz w:val="18"/>
          <w:szCs w:val="18"/>
          <w:lang w:val="es-MX"/>
        </w:rPr>
        <w:t>Consulta: 10/06/2025].</w:t>
      </w:r>
    </w:p>
  </w:footnote>
  <w:footnote w:id="15">
    <w:p w:rsidRPr="008E0099" w:rsidR="008E0099" w:rsidP="008E0099" w:rsidRDefault="008E0099" w14:paraId="09594F6D" w14:textId="77777777">
      <w:pPr>
        <w:pStyle w:val="Textonotapie"/>
        <w:tabs>
          <w:tab w:val="left" w:pos="284"/>
        </w:tabs>
        <w:spacing w:after="120"/>
        <w:ind w:left="284" w:hanging="284"/>
        <w:rPr>
          <w:rFonts w:ascii="Georgia" w:hAnsi="Georgia"/>
          <w:sz w:val="18"/>
          <w:szCs w:val="18"/>
          <w:lang w:val="es-MX"/>
        </w:rPr>
      </w:pPr>
      <w:r w:rsidRPr="008E0099">
        <w:rPr>
          <w:rStyle w:val="Refdenotaalpie"/>
          <w:rFonts w:ascii="Georgia" w:hAnsi="Georgia"/>
          <w:sz w:val="18"/>
          <w:szCs w:val="18"/>
        </w:rPr>
        <w:footnoteRef/>
      </w:r>
      <w:r w:rsidRPr="008E0099">
        <w:rPr>
          <w:rFonts w:ascii="Georgia" w:hAnsi="Georgia"/>
          <w:sz w:val="18"/>
          <w:szCs w:val="18"/>
        </w:rPr>
        <w:t xml:space="preserve"> </w:t>
      </w:r>
      <w:r w:rsidRPr="008E0099">
        <w:rPr>
          <w:rFonts w:ascii="Georgia" w:hAnsi="Georgia"/>
          <w:sz w:val="18"/>
          <w:szCs w:val="18"/>
        </w:rPr>
        <w:tab/>
      </w:r>
      <w:r w:rsidRPr="008E0099">
        <w:rPr>
          <w:rFonts w:ascii="Georgia" w:hAnsi="Georgia" w:cstheme="minorHAnsi"/>
          <w:sz w:val="18"/>
          <w:szCs w:val="18"/>
          <w:lang w:val="es-MX"/>
        </w:rPr>
        <w:t xml:space="preserve">Maryland </w:t>
      </w:r>
      <w:proofErr w:type="spellStart"/>
      <w:r w:rsidRPr="008E0099">
        <w:rPr>
          <w:rFonts w:ascii="Georgia" w:hAnsi="Georgia" w:cstheme="minorHAnsi"/>
          <w:sz w:val="18"/>
          <w:szCs w:val="18"/>
          <w:lang w:val="es-MX"/>
        </w:rPr>
        <w:t>Insurance</w:t>
      </w:r>
      <w:proofErr w:type="spellEnd"/>
      <w:r w:rsidRPr="008E0099">
        <w:rPr>
          <w:rFonts w:ascii="Georgia" w:hAnsi="Georgia" w:cstheme="minorHAnsi"/>
          <w:sz w:val="18"/>
          <w:szCs w:val="18"/>
          <w:lang w:val="es-MX"/>
        </w:rPr>
        <w:t xml:space="preserve"> </w:t>
      </w:r>
      <w:proofErr w:type="spellStart"/>
      <w:r w:rsidRPr="008E0099">
        <w:rPr>
          <w:rFonts w:ascii="Georgia" w:hAnsi="Georgia" w:cstheme="minorHAnsi"/>
          <w:sz w:val="18"/>
          <w:szCs w:val="18"/>
          <w:lang w:val="es-MX"/>
        </w:rPr>
        <w:t>Administration</w:t>
      </w:r>
      <w:proofErr w:type="spellEnd"/>
      <w:r w:rsidRPr="008E0099">
        <w:rPr>
          <w:rFonts w:ascii="Georgia" w:hAnsi="Georgia" w:cstheme="minorHAnsi"/>
          <w:sz w:val="18"/>
          <w:szCs w:val="18"/>
          <w:lang w:val="es-MX"/>
        </w:rPr>
        <w:t>. Guía del consumidor sobre fraude de seguros [en línea]. [https://insurance.maryland.gov</w:t>
      </w:r>
      <w:proofErr w:type="gramStart"/>
      <w:r w:rsidRPr="008E0099">
        <w:rPr>
          <w:rFonts w:ascii="Georgia" w:hAnsi="Georgia" w:cstheme="minorHAnsi"/>
          <w:sz w:val="18"/>
          <w:szCs w:val="18"/>
          <w:lang w:val="es-MX"/>
        </w:rPr>
        <w:t>][</w:t>
      </w:r>
      <w:proofErr w:type="gramEnd"/>
      <w:r w:rsidRPr="008E0099">
        <w:rPr>
          <w:rFonts w:ascii="Georgia" w:hAnsi="Georgia" w:cstheme="minorHAnsi"/>
          <w:sz w:val="18"/>
          <w:szCs w:val="18"/>
          <w:lang w:val="es-MX"/>
        </w:rPr>
        <w:t>Consulta: 10/06/2025].</w:t>
      </w:r>
    </w:p>
  </w:footnote>
  <w:footnote w:id="16">
    <w:p w:rsidRPr="008E0099" w:rsidR="008E0099" w:rsidP="008E0099" w:rsidRDefault="008E0099" w14:paraId="4248B0D6" w14:textId="77777777">
      <w:pPr>
        <w:pStyle w:val="Textonotapie"/>
        <w:tabs>
          <w:tab w:val="left" w:pos="284"/>
        </w:tabs>
        <w:spacing w:after="120"/>
        <w:ind w:left="284" w:hanging="284"/>
        <w:rPr>
          <w:rFonts w:ascii="Georgia" w:hAnsi="Georgia"/>
          <w:b/>
          <w:bCs/>
          <w:sz w:val="18"/>
          <w:szCs w:val="18"/>
        </w:rPr>
      </w:pPr>
      <w:r w:rsidRPr="008E0099">
        <w:rPr>
          <w:rStyle w:val="Refdenotaalpie"/>
          <w:rFonts w:ascii="Georgia" w:hAnsi="Georgia"/>
          <w:sz w:val="18"/>
          <w:szCs w:val="18"/>
        </w:rPr>
        <w:footnoteRef/>
      </w:r>
      <w:r w:rsidRPr="008E0099">
        <w:rPr>
          <w:rFonts w:ascii="Georgia" w:hAnsi="Georgia"/>
          <w:sz w:val="18"/>
          <w:szCs w:val="18"/>
        </w:rPr>
        <w:t xml:space="preserve"> </w:t>
      </w:r>
      <w:r w:rsidRPr="008E0099">
        <w:rPr>
          <w:rFonts w:ascii="Georgia" w:hAnsi="Georgia"/>
          <w:sz w:val="18"/>
          <w:szCs w:val="18"/>
        </w:rPr>
        <w:tab/>
      </w:r>
      <w:r w:rsidRPr="008E0099">
        <w:rPr>
          <w:rFonts w:ascii="Georgia" w:hAnsi="Georgia"/>
          <w:b/>
          <w:bCs/>
          <w:sz w:val="18"/>
          <w:szCs w:val="18"/>
        </w:rPr>
        <w:t>Ley del Contrato de Seguro</w:t>
      </w:r>
    </w:p>
    <w:p w:rsidRPr="008E0099" w:rsidR="008E0099" w:rsidP="008E0099" w:rsidRDefault="008E0099" w14:paraId="79B4C9F8" w14:textId="77777777">
      <w:pPr>
        <w:pStyle w:val="Textonotapie"/>
        <w:tabs>
          <w:tab w:val="left" w:pos="284"/>
        </w:tabs>
        <w:spacing w:after="120"/>
        <w:ind w:left="284" w:hanging="284"/>
        <w:rPr>
          <w:rFonts w:ascii="Georgia" w:hAnsi="Georgia" w:cstheme="minorHAnsi"/>
          <w:b/>
          <w:bCs/>
          <w:sz w:val="18"/>
          <w:szCs w:val="18"/>
          <w:lang w:val="es-MX"/>
        </w:rPr>
      </w:pPr>
      <w:r w:rsidRPr="008E0099">
        <w:rPr>
          <w:rFonts w:ascii="Georgia" w:hAnsi="Georgia" w:cstheme="minorHAnsi"/>
          <w:b/>
          <w:bCs/>
          <w:sz w:val="18"/>
          <w:szCs w:val="18"/>
          <w:lang w:val="es-MX"/>
        </w:rPr>
        <w:tab/>
      </w:r>
      <w:r w:rsidRPr="008E0099">
        <w:rPr>
          <w:rFonts w:ascii="Georgia" w:hAnsi="Georgia" w:cstheme="minorHAnsi"/>
          <w:b/>
          <w:bCs/>
          <w:sz w:val="18"/>
          <w:szCs w:val="18"/>
          <w:lang w:val="es-MX"/>
        </w:rPr>
        <w:t>Artículo 77o.- Cargas de las partes</w:t>
      </w:r>
    </w:p>
    <w:p w:rsidRPr="008E0099" w:rsidR="008E0099" w:rsidP="008E0099" w:rsidRDefault="008E0099" w14:paraId="27B53332" w14:textId="77777777">
      <w:pPr>
        <w:pStyle w:val="Textonotapie"/>
        <w:tabs>
          <w:tab w:val="left" w:pos="284"/>
        </w:tabs>
        <w:spacing w:after="120"/>
        <w:ind w:left="284" w:hanging="284"/>
        <w:rPr>
          <w:rFonts w:ascii="Georgia" w:hAnsi="Georgia" w:cstheme="minorHAnsi"/>
          <w:sz w:val="18"/>
          <w:szCs w:val="18"/>
          <w:lang w:val="es-MX"/>
        </w:rPr>
      </w:pPr>
      <w:r w:rsidRPr="008E0099">
        <w:rPr>
          <w:rFonts w:ascii="Georgia" w:hAnsi="Georgia" w:cstheme="minorHAnsi"/>
          <w:sz w:val="18"/>
          <w:szCs w:val="18"/>
          <w:lang w:val="es-MX"/>
        </w:rPr>
        <w:tab/>
      </w:r>
      <w:r w:rsidRPr="008E0099">
        <w:rPr>
          <w:rFonts w:ascii="Georgia" w:hAnsi="Georgia" w:cstheme="minorHAnsi"/>
          <w:sz w:val="18"/>
          <w:szCs w:val="18"/>
          <w:lang w:val="es-MX"/>
        </w:rPr>
        <w:t>Corresponde al asegurado demostrar la ocurrencia del siniestro, así como la cuantía de la pérdida si fuera el caso, y al asegurador la carga de demostrar las causas que lo liberan de su prestación indemnizatoria.</w:t>
      </w:r>
    </w:p>
  </w:footnote>
  <w:footnote w:id="17">
    <w:p w:rsidRPr="008E0099" w:rsidR="008E0099" w:rsidP="008E0099" w:rsidRDefault="008E0099" w14:paraId="6D79C1A1" w14:textId="77777777">
      <w:pPr>
        <w:pStyle w:val="Textonotapie"/>
        <w:tabs>
          <w:tab w:val="left" w:pos="284"/>
        </w:tabs>
        <w:spacing w:after="120"/>
        <w:ind w:left="284" w:hanging="284"/>
        <w:rPr>
          <w:rFonts w:ascii="Georgia" w:hAnsi="Georgia"/>
          <w:sz w:val="18"/>
          <w:szCs w:val="18"/>
        </w:rPr>
      </w:pPr>
      <w:r w:rsidRPr="008E0099">
        <w:rPr>
          <w:rStyle w:val="Refdenotaalpie"/>
          <w:rFonts w:ascii="Georgia" w:hAnsi="Georgia"/>
          <w:sz w:val="18"/>
          <w:szCs w:val="18"/>
        </w:rPr>
        <w:footnoteRef/>
      </w:r>
      <w:r w:rsidRPr="008E0099">
        <w:rPr>
          <w:rFonts w:ascii="Georgia" w:hAnsi="Georgia"/>
          <w:sz w:val="18"/>
          <w:szCs w:val="18"/>
        </w:rPr>
        <w:t xml:space="preserve"> </w:t>
      </w:r>
      <w:r w:rsidRPr="008E0099">
        <w:rPr>
          <w:rFonts w:ascii="Georgia" w:hAnsi="Georgia"/>
          <w:sz w:val="18"/>
          <w:szCs w:val="18"/>
        </w:rPr>
        <w:tab/>
      </w:r>
      <w:r w:rsidRPr="008E0099">
        <w:rPr>
          <w:rFonts w:ascii="Georgia" w:hAnsi="Georgia" w:cstheme="minorHAnsi"/>
          <w:sz w:val="18"/>
          <w:szCs w:val="18"/>
          <w:lang w:val="es-MX"/>
        </w:rPr>
        <w:t>Véase</w:t>
      </w:r>
      <w:r w:rsidRPr="008E0099">
        <w:rPr>
          <w:rFonts w:ascii="Georgia" w:hAnsi="Georgia"/>
          <w:sz w:val="18"/>
          <w:szCs w:val="18"/>
        </w:rPr>
        <w:t xml:space="preserve"> BUSTAMANTE ALARCÓN, Reynaldo. El derecho fundamental a probar y su contenido esencial. En: Ius et veritas. </w:t>
      </w:r>
      <w:proofErr w:type="spellStart"/>
      <w:r w:rsidRPr="008E0099">
        <w:rPr>
          <w:rFonts w:ascii="Georgia" w:hAnsi="Georgia"/>
          <w:sz w:val="18"/>
          <w:szCs w:val="18"/>
        </w:rPr>
        <w:t>n.°</w:t>
      </w:r>
      <w:proofErr w:type="spellEnd"/>
      <w:r w:rsidRPr="008E0099">
        <w:rPr>
          <w:rFonts w:ascii="Georgia" w:hAnsi="Georgia"/>
          <w:sz w:val="18"/>
          <w:szCs w:val="18"/>
        </w:rPr>
        <w:t xml:space="preserve"> 14 (1997). Pág. 172.</w:t>
      </w:r>
    </w:p>
  </w:footnote>
  <w:footnote w:id="18">
    <w:p w:rsidRPr="008E0099" w:rsidR="008E0099" w:rsidP="008E0099" w:rsidRDefault="008E0099" w14:paraId="73062DBA" w14:textId="77777777">
      <w:pPr>
        <w:pStyle w:val="Textonotapie"/>
        <w:tabs>
          <w:tab w:val="left" w:pos="284"/>
        </w:tabs>
        <w:spacing w:after="120"/>
        <w:ind w:left="284" w:hanging="284"/>
        <w:rPr>
          <w:rFonts w:ascii="Georgia" w:hAnsi="Georgia" w:cstheme="minorHAnsi"/>
          <w:sz w:val="18"/>
          <w:szCs w:val="18"/>
          <w:lang w:val="es-MX"/>
        </w:rPr>
      </w:pPr>
      <w:r w:rsidRPr="008E0099">
        <w:rPr>
          <w:rStyle w:val="Refdenotaalpie"/>
          <w:rFonts w:ascii="Georgia" w:hAnsi="Georgia"/>
          <w:sz w:val="18"/>
          <w:szCs w:val="18"/>
        </w:rPr>
        <w:footnoteRef/>
      </w:r>
      <w:r w:rsidRPr="008E0099">
        <w:rPr>
          <w:rFonts w:ascii="Georgia" w:hAnsi="Georgia"/>
          <w:sz w:val="18"/>
          <w:szCs w:val="18"/>
        </w:rPr>
        <w:t xml:space="preserve"> </w:t>
      </w:r>
      <w:r w:rsidRPr="008E0099">
        <w:rPr>
          <w:rFonts w:ascii="Georgia" w:hAnsi="Georgia"/>
          <w:sz w:val="18"/>
          <w:szCs w:val="18"/>
        </w:rPr>
        <w:tab/>
      </w:r>
      <w:r w:rsidRPr="008E0099">
        <w:rPr>
          <w:rFonts w:ascii="Georgia" w:hAnsi="Georgia" w:cstheme="minorHAnsi"/>
          <w:sz w:val="18"/>
          <w:szCs w:val="18"/>
          <w:lang w:val="es-MX"/>
        </w:rPr>
        <w:t>Arellano Iturriaga Sergio El siniestro y su nexo causal. En: Revista Chilena de Derecho de Seguros. Año 19 (26). Págs. 77-78.</w:t>
      </w:r>
    </w:p>
  </w:footnote>
  <w:footnote w:id="19">
    <w:p w:rsidRPr="008E0099" w:rsidR="008E0099" w:rsidP="008E0099" w:rsidRDefault="008E0099" w14:paraId="4F153CAB" w14:textId="77777777">
      <w:pPr>
        <w:pStyle w:val="Textonotapie"/>
        <w:tabs>
          <w:tab w:val="left" w:pos="284"/>
        </w:tabs>
        <w:spacing w:after="120"/>
        <w:ind w:left="284" w:hanging="284"/>
        <w:rPr>
          <w:rFonts w:ascii="Georgia" w:hAnsi="Georgia" w:cstheme="minorHAnsi"/>
          <w:sz w:val="18"/>
          <w:szCs w:val="18"/>
          <w:lang w:val="es-MX"/>
        </w:rPr>
      </w:pPr>
      <w:r w:rsidRPr="008E0099">
        <w:rPr>
          <w:rStyle w:val="Refdenotaalpie"/>
          <w:rFonts w:ascii="Georgia" w:hAnsi="Georgia"/>
          <w:sz w:val="18"/>
          <w:szCs w:val="18"/>
        </w:rPr>
        <w:footnoteRef/>
      </w:r>
      <w:r w:rsidRPr="008E0099">
        <w:rPr>
          <w:rFonts w:ascii="Georgia" w:hAnsi="Georgia"/>
          <w:sz w:val="18"/>
          <w:szCs w:val="18"/>
        </w:rPr>
        <w:t xml:space="preserve"> </w:t>
      </w:r>
      <w:r w:rsidRPr="008E0099">
        <w:rPr>
          <w:rFonts w:ascii="Georgia" w:hAnsi="Georgia"/>
          <w:sz w:val="18"/>
          <w:szCs w:val="18"/>
        </w:rPr>
        <w:tab/>
      </w:r>
      <w:r w:rsidRPr="008E0099">
        <w:rPr>
          <w:rFonts w:ascii="Georgia" w:hAnsi="Georgia" w:cstheme="minorHAnsi"/>
          <w:sz w:val="18"/>
          <w:szCs w:val="18"/>
          <w:lang w:val="es-MX"/>
        </w:rPr>
        <w:t>El polígrafo o detector de mentiras es, un dispositivo capaz de registrar los cambios físico-síquicos de una persona, cuando es interrogada mediante un “test de verdad”, sobre un hecho en el que se sospecha ha participado o del cual tiene conocimiento como testigo. GÓMEZ PAVAJEAU, Carlos Arturo y Francisco Javier FARFÁN MOLINA. El polígrafo y su utilización como acto de investigación en el derecho sancionatorio. En: Revista Derecho Penal y Criminología. Volumen XXXV, número 98 (2014). Pág. 132.</w:t>
      </w:r>
    </w:p>
  </w:footnote>
  <w:footnote w:id="20">
    <w:p w:rsidRPr="008E0099" w:rsidR="008E0099" w:rsidP="008E0099" w:rsidRDefault="008E0099" w14:paraId="7CC54EF3" w14:textId="77777777">
      <w:pPr>
        <w:pStyle w:val="Textonotapie"/>
        <w:tabs>
          <w:tab w:val="left" w:pos="284"/>
        </w:tabs>
        <w:spacing w:after="120"/>
        <w:ind w:left="284" w:hanging="284"/>
        <w:rPr>
          <w:rFonts w:ascii="Georgia" w:hAnsi="Georgia" w:cstheme="minorHAnsi"/>
          <w:sz w:val="18"/>
          <w:szCs w:val="18"/>
          <w:lang w:val="es-MX"/>
        </w:rPr>
      </w:pPr>
      <w:r w:rsidRPr="008E0099">
        <w:rPr>
          <w:rStyle w:val="Refdenotaalpie"/>
          <w:rFonts w:ascii="Georgia" w:hAnsi="Georgia"/>
          <w:sz w:val="18"/>
          <w:szCs w:val="18"/>
        </w:rPr>
        <w:footnoteRef/>
      </w:r>
      <w:r w:rsidRPr="008E0099">
        <w:rPr>
          <w:rFonts w:ascii="Georgia" w:hAnsi="Georgia"/>
          <w:sz w:val="18"/>
          <w:szCs w:val="18"/>
        </w:rPr>
        <w:t xml:space="preserve"> </w:t>
      </w:r>
      <w:r w:rsidRPr="008E0099">
        <w:rPr>
          <w:rFonts w:ascii="Georgia" w:hAnsi="Georgia"/>
          <w:sz w:val="18"/>
          <w:szCs w:val="18"/>
        </w:rPr>
        <w:tab/>
      </w:r>
      <w:r w:rsidRPr="008E0099">
        <w:rPr>
          <w:rFonts w:ascii="Georgia" w:hAnsi="Georgia" w:cstheme="minorHAnsi"/>
          <w:sz w:val="18"/>
          <w:szCs w:val="18"/>
          <w:lang w:val="es-MX"/>
        </w:rPr>
        <w:t xml:space="preserve">STC (Expediente </w:t>
      </w:r>
      <w:proofErr w:type="spellStart"/>
      <w:r w:rsidRPr="008E0099">
        <w:rPr>
          <w:rFonts w:ascii="Georgia" w:hAnsi="Georgia" w:cstheme="minorHAnsi"/>
          <w:sz w:val="18"/>
          <w:szCs w:val="18"/>
          <w:lang w:val="es-MX"/>
        </w:rPr>
        <w:t>n.°</w:t>
      </w:r>
      <w:proofErr w:type="spellEnd"/>
      <w:r w:rsidRPr="008E0099">
        <w:rPr>
          <w:rFonts w:ascii="Georgia" w:hAnsi="Georgia" w:cstheme="minorHAnsi"/>
          <w:sz w:val="18"/>
          <w:szCs w:val="18"/>
          <w:lang w:val="es-MX"/>
        </w:rPr>
        <w:t xml:space="preserve"> 273-2010-PA/TC, Sindicato Unitario de Trabajadores de </w:t>
      </w:r>
      <w:proofErr w:type="spellStart"/>
      <w:r w:rsidRPr="008E0099">
        <w:rPr>
          <w:rFonts w:ascii="Georgia" w:hAnsi="Georgia" w:cstheme="minorHAnsi"/>
          <w:sz w:val="18"/>
          <w:szCs w:val="18"/>
          <w:lang w:val="es-MX"/>
        </w:rPr>
        <w:t>Electrolima</w:t>
      </w:r>
      <w:proofErr w:type="spellEnd"/>
      <w:r w:rsidRPr="008E0099">
        <w:rPr>
          <w:rFonts w:ascii="Georgia" w:hAnsi="Georgia" w:cstheme="minorHAnsi"/>
          <w:sz w:val="18"/>
          <w:szCs w:val="18"/>
          <w:lang w:val="es-MX"/>
        </w:rPr>
        <w:t>, Empresas Concesionarias Eléctricas y afines) del 6 de agosto de 2014.</w:t>
      </w:r>
    </w:p>
  </w:footnote>
  <w:footnote w:id="21">
    <w:p w:rsidRPr="008E0099" w:rsidR="008E0099" w:rsidP="008E0099" w:rsidRDefault="008E0099" w14:paraId="3872B085" w14:textId="77777777">
      <w:pPr>
        <w:pStyle w:val="Textonotapie"/>
        <w:tabs>
          <w:tab w:val="left" w:pos="284"/>
        </w:tabs>
        <w:spacing w:after="120"/>
        <w:ind w:left="284" w:hanging="284"/>
        <w:rPr>
          <w:rFonts w:ascii="Georgia" w:hAnsi="Georgia" w:cstheme="minorHAnsi"/>
          <w:sz w:val="18"/>
          <w:szCs w:val="18"/>
          <w:lang w:val="es-MX"/>
        </w:rPr>
      </w:pPr>
      <w:r w:rsidRPr="008E0099">
        <w:rPr>
          <w:rStyle w:val="Refdenotaalpie"/>
          <w:rFonts w:ascii="Georgia" w:hAnsi="Georgia"/>
          <w:sz w:val="18"/>
          <w:szCs w:val="18"/>
        </w:rPr>
        <w:footnoteRef/>
      </w:r>
      <w:r w:rsidRPr="008E0099">
        <w:rPr>
          <w:rFonts w:ascii="Georgia" w:hAnsi="Georgia"/>
          <w:sz w:val="18"/>
          <w:szCs w:val="18"/>
        </w:rPr>
        <w:t xml:space="preserve"> </w:t>
      </w:r>
      <w:r w:rsidRPr="008E0099">
        <w:rPr>
          <w:rFonts w:ascii="Georgia" w:hAnsi="Georgia"/>
          <w:sz w:val="18"/>
          <w:szCs w:val="18"/>
        </w:rPr>
        <w:tab/>
      </w:r>
      <w:r w:rsidRPr="008E0099">
        <w:rPr>
          <w:rFonts w:ascii="Georgia" w:hAnsi="Georgia" w:cstheme="minorHAnsi"/>
          <w:sz w:val="18"/>
          <w:szCs w:val="18"/>
          <w:lang w:val="es-MX"/>
        </w:rPr>
        <w:t xml:space="preserve">Resolución DEFASEG </w:t>
      </w:r>
      <w:proofErr w:type="spellStart"/>
      <w:r w:rsidRPr="008E0099">
        <w:rPr>
          <w:rFonts w:ascii="Georgia" w:hAnsi="Georgia" w:cstheme="minorHAnsi"/>
          <w:sz w:val="18"/>
          <w:szCs w:val="18"/>
          <w:lang w:val="es-MX"/>
        </w:rPr>
        <w:t>n.°</w:t>
      </w:r>
      <w:proofErr w:type="spellEnd"/>
      <w:r w:rsidRPr="008E0099">
        <w:rPr>
          <w:rFonts w:ascii="Georgia" w:hAnsi="Georgia" w:cstheme="minorHAnsi"/>
          <w:sz w:val="18"/>
          <w:szCs w:val="18"/>
          <w:lang w:val="es-MX"/>
        </w:rPr>
        <w:t xml:space="preserve"> 25/21 (</w:t>
      </w:r>
      <w:r w:rsidRPr="008E0099">
        <w:rPr>
          <w:rFonts w:ascii="Georgia" w:hAnsi="Georgia" w:cstheme="minorHAnsi"/>
          <w:i/>
          <w:iCs/>
          <w:sz w:val="18"/>
          <w:szCs w:val="18"/>
          <w:u w:val="single"/>
          <w:lang w:val="es-MX"/>
        </w:rPr>
        <w:t xml:space="preserve">Expediente </w:t>
      </w:r>
      <w:proofErr w:type="spellStart"/>
      <w:r w:rsidRPr="008E0099">
        <w:rPr>
          <w:rFonts w:ascii="Georgia" w:hAnsi="Georgia" w:cstheme="minorHAnsi"/>
          <w:i/>
          <w:iCs/>
          <w:sz w:val="18"/>
          <w:szCs w:val="18"/>
          <w:u w:val="single"/>
          <w:lang w:val="es-MX"/>
        </w:rPr>
        <w:t>n.°</w:t>
      </w:r>
      <w:proofErr w:type="spellEnd"/>
      <w:r w:rsidRPr="008E0099">
        <w:rPr>
          <w:rFonts w:ascii="Georgia" w:hAnsi="Georgia" w:cstheme="minorHAnsi"/>
          <w:i/>
          <w:iCs/>
          <w:sz w:val="18"/>
          <w:szCs w:val="18"/>
          <w:u w:val="single"/>
          <w:lang w:val="es-MX"/>
        </w:rPr>
        <w:t xml:space="preserve"> 4445, Caso Calero Janampa v. Pacífico</w:t>
      </w:r>
      <w:r w:rsidRPr="008E0099">
        <w:rPr>
          <w:rFonts w:ascii="Georgia" w:hAnsi="Georgia" w:cstheme="minorHAnsi"/>
          <w:sz w:val="18"/>
          <w:szCs w:val="18"/>
          <w:lang w:val="es-MX"/>
        </w:rPr>
        <w:t>) del 5 de marzo de 2021.</w:t>
      </w:r>
    </w:p>
  </w:footnote>
  <w:footnote w:id="22">
    <w:p w:rsidRPr="008E0099" w:rsidR="008E0099" w:rsidP="008E0099" w:rsidRDefault="008E0099" w14:paraId="22EABC0E" w14:textId="77777777">
      <w:pPr>
        <w:pStyle w:val="Textonotapie"/>
        <w:tabs>
          <w:tab w:val="left" w:pos="284"/>
        </w:tabs>
        <w:spacing w:after="120"/>
        <w:ind w:left="284" w:hanging="284"/>
        <w:rPr>
          <w:rFonts w:ascii="Georgia" w:hAnsi="Georgia" w:cstheme="minorHAnsi"/>
          <w:sz w:val="18"/>
          <w:szCs w:val="18"/>
          <w:lang w:val="es-MX"/>
        </w:rPr>
      </w:pPr>
      <w:r w:rsidRPr="008E0099">
        <w:rPr>
          <w:rStyle w:val="Refdenotaalpie"/>
          <w:rFonts w:ascii="Georgia" w:hAnsi="Georgia"/>
          <w:sz w:val="18"/>
          <w:szCs w:val="18"/>
        </w:rPr>
        <w:footnoteRef/>
      </w:r>
      <w:r w:rsidRPr="008E0099">
        <w:rPr>
          <w:rFonts w:ascii="Georgia" w:hAnsi="Georgia"/>
          <w:sz w:val="18"/>
          <w:szCs w:val="18"/>
        </w:rPr>
        <w:t xml:space="preserve"> </w:t>
      </w:r>
      <w:r w:rsidRPr="008E0099">
        <w:rPr>
          <w:rFonts w:ascii="Georgia" w:hAnsi="Georgia"/>
          <w:sz w:val="18"/>
          <w:szCs w:val="18"/>
        </w:rPr>
        <w:tab/>
      </w:r>
      <w:r w:rsidRPr="008E0099">
        <w:rPr>
          <w:rFonts w:ascii="Georgia" w:hAnsi="Georgia" w:cstheme="minorHAnsi"/>
          <w:sz w:val="18"/>
          <w:szCs w:val="18"/>
          <w:lang w:val="es-MX"/>
        </w:rPr>
        <w:t xml:space="preserve">Para el Tribunal Constitucional, la denominada prueba diabólica, es una prueba de difícil e, incluso, imposible acreditación, pero ello no por su inexistencia, sino por el considerable grado de dificultad que implica su obtención. STC (Expediente </w:t>
      </w:r>
      <w:proofErr w:type="spellStart"/>
      <w:r w:rsidRPr="008E0099">
        <w:rPr>
          <w:rFonts w:ascii="Georgia" w:hAnsi="Georgia" w:cstheme="minorHAnsi"/>
          <w:sz w:val="18"/>
          <w:szCs w:val="18"/>
          <w:lang w:val="es-MX"/>
        </w:rPr>
        <w:t>n.°</w:t>
      </w:r>
      <w:proofErr w:type="spellEnd"/>
      <w:r w:rsidRPr="008E0099">
        <w:rPr>
          <w:rFonts w:ascii="Georgia" w:hAnsi="Georgia" w:cstheme="minorHAnsi"/>
          <w:sz w:val="18"/>
          <w:szCs w:val="18"/>
          <w:lang w:val="es-MX"/>
        </w:rPr>
        <w:t xml:space="preserve"> 6135-2006-PA/TC, </w:t>
      </w:r>
      <w:proofErr w:type="spellStart"/>
      <w:r w:rsidRPr="008E0099">
        <w:rPr>
          <w:rFonts w:ascii="Georgia" w:hAnsi="Georgia" w:cstheme="minorHAnsi"/>
          <w:sz w:val="18"/>
          <w:szCs w:val="18"/>
          <w:lang w:val="es-MX"/>
        </w:rPr>
        <w:t>Hatuchay</w:t>
      </w:r>
      <w:proofErr w:type="spellEnd"/>
      <w:r w:rsidRPr="008E0099">
        <w:rPr>
          <w:rFonts w:ascii="Georgia" w:hAnsi="Georgia" w:cstheme="minorHAnsi"/>
          <w:sz w:val="18"/>
          <w:szCs w:val="18"/>
          <w:lang w:val="es-MX"/>
        </w:rPr>
        <w:t xml:space="preserve"> EIRL) del 19 de enero de 2023.</w:t>
      </w:r>
    </w:p>
  </w:footnote>
  <w:footnote w:id="23">
    <w:p w:rsidRPr="008E0099" w:rsidR="008E0099" w:rsidP="008E0099" w:rsidRDefault="008E0099" w14:paraId="223D217B" w14:textId="77777777">
      <w:pPr>
        <w:pStyle w:val="Textonotapie"/>
        <w:tabs>
          <w:tab w:val="left" w:pos="284"/>
        </w:tabs>
        <w:spacing w:after="120"/>
        <w:ind w:left="284" w:hanging="284"/>
        <w:rPr>
          <w:rFonts w:ascii="Georgia" w:hAnsi="Georgia" w:cstheme="minorHAnsi"/>
          <w:sz w:val="18"/>
          <w:szCs w:val="18"/>
          <w:lang w:val="es-MX"/>
        </w:rPr>
      </w:pPr>
      <w:r w:rsidRPr="008E0099">
        <w:rPr>
          <w:rStyle w:val="Refdenotaalpie"/>
          <w:rFonts w:ascii="Georgia" w:hAnsi="Georgia"/>
          <w:sz w:val="18"/>
          <w:szCs w:val="18"/>
        </w:rPr>
        <w:footnoteRef/>
      </w:r>
      <w:r w:rsidRPr="008E0099">
        <w:rPr>
          <w:rFonts w:ascii="Georgia" w:hAnsi="Georgia"/>
          <w:sz w:val="18"/>
          <w:szCs w:val="18"/>
        </w:rPr>
        <w:t xml:space="preserve"> </w:t>
      </w:r>
      <w:r w:rsidRPr="008E0099">
        <w:rPr>
          <w:rFonts w:ascii="Georgia" w:hAnsi="Georgia"/>
          <w:sz w:val="18"/>
          <w:szCs w:val="18"/>
        </w:rPr>
        <w:tab/>
      </w:r>
      <w:r w:rsidRPr="008E0099">
        <w:rPr>
          <w:rFonts w:ascii="Georgia" w:hAnsi="Georgia" w:cstheme="minorHAnsi"/>
          <w:sz w:val="18"/>
          <w:szCs w:val="18"/>
          <w:lang w:val="es-MX"/>
        </w:rPr>
        <w:t xml:space="preserve">Resolución DEFASEG </w:t>
      </w:r>
      <w:proofErr w:type="spellStart"/>
      <w:r w:rsidRPr="008E0099">
        <w:rPr>
          <w:rFonts w:ascii="Georgia" w:hAnsi="Georgia" w:cstheme="minorHAnsi"/>
          <w:sz w:val="18"/>
          <w:szCs w:val="18"/>
          <w:lang w:val="es-MX"/>
        </w:rPr>
        <w:t>n.°</w:t>
      </w:r>
      <w:proofErr w:type="spellEnd"/>
      <w:r w:rsidRPr="008E0099">
        <w:rPr>
          <w:rFonts w:ascii="Georgia" w:hAnsi="Georgia" w:cstheme="minorHAnsi"/>
          <w:sz w:val="18"/>
          <w:szCs w:val="18"/>
          <w:lang w:val="es-MX"/>
        </w:rPr>
        <w:t xml:space="preserve"> 166/21 (</w:t>
      </w:r>
      <w:r w:rsidRPr="008E0099">
        <w:rPr>
          <w:rFonts w:ascii="Georgia" w:hAnsi="Georgia" w:cstheme="minorHAnsi"/>
          <w:i/>
          <w:iCs/>
          <w:sz w:val="18"/>
          <w:szCs w:val="18"/>
          <w:u w:val="single"/>
          <w:lang w:val="es-MX"/>
        </w:rPr>
        <w:t xml:space="preserve">Expediente </w:t>
      </w:r>
      <w:proofErr w:type="spellStart"/>
      <w:r w:rsidRPr="008E0099">
        <w:rPr>
          <w:rFonts w:ascii="Georgia" w:hAnsi="Georgia" w:cstheme="minorHAnsi"/>
          <w:i/>
          <w:iCs/>
          <w:sz w:val="18"/>
          <w:szCs w:val="18"/>
          <w:u w:val="single"/>
          <w:lang w:val="es-MX"/>
        </w:rPr>
        <w:t>n.°</w:t>
      </w:r>
      <w:proofErr w:type="spellEnd"/>
      <w:r w:rsidRPr="008E0099">
        <w:rPr>
          <w:rFonts w:ascii="Georgia" w:hAnsi="Georgia" w:cstheme="minorHAnsi"/>
          <w:i/>
          <w:iCs/>
          <w:sz w:val="18"/>
          <w:szCs w:val="18"/>
          <w:u w:val="single"/>
          <w:lang w:val="es-MX"/>
        </w:rPr>
        <w:t xml:space="preserve"> 4819, Caso Alva Cuadros </w:t>
      </w:r>
      <w:bookmarkStart w:name="OLE_LINK2" w:id="5"/>
      <w:r w:rsidRPr="008E0099">
        <w:rPr>
          <w:rFonts w:ascii="Georgia" w:hAnsi="Georgia" w:cstheme="minorHAnsi"/>
          <w:i/>
          <w:iCs/>
          <w:sz w:val="18"/>
          <w:szCs w:val="18"/>
          <w:u w:val="single"/>
          <w:lang w:val="es-MX"/>
        </w:rPr>
        <w:t>v. Pacífico</w:t>
      </w:r>
      <w:r w:rsidRPr="008E0099">
        <w:rPr>
          <w:rFonts w:ascii="Georgia" w:hAnsi="Georgia" w:cstheme="minorHAnsi"/>
          <w:sz w:val="18"/>
          <w:szCs w:val="18"/>
          <w:lang w:val="es-MX"/>
        </w:rPr>
        <w:t xml:space="preserve">) del </w:t>
      </w:r>
      <w:bookmarkEnd w:id="5"/>
      <w:r w:rsidRPr="008E0099">
        <w:rPr>
          <w:rFonts w:ascii="Georgia" w:hAnsi="Georgia" w:cstheme="minorHAnsi"/>
          <w:sz w:val="18"/>
          <w:szCs w:val="18"/>
          <w:lang w:val="es-MX"/>
        </w:rPr>
        <w:t>23 de noviembre de 2021.</w:t>
      </w:r>
    </w:p>
  </w:footnote>
  <w:footnote w:id="24">
    <w:p w:rsidRPr="008E0099" w:rsidR="008E0099" w:rsidP="008E0099" w:rsidRDefault="008E0099" w14:paraId="1E3A2E99" w14:textId="77777777">
      <w:pPr>
        <w:pStyle w:val="Textonotapie"/>
        <w:tabs>
          <w:tab w:val="left" w:pos="284"/>
        </w:tabs>
        <w:spacing w:after="120"/>
        <w:ind w:left="284" w:hanging="284"/>
        <w:rPr>
          <w:rFonts w:ascii="Georgia" w:hAnsi="Georgia" w:cstheme="minorHAnsi"/>
          <w:b/>
          <w:bCs/>
          <w:sz w:val="18"/>
          <w:szCs w:val="18"/>
          <w:lang w:val="es-MX"/>
        </w:rPr>
      </w:pPr>
      <w:r w:rsidRPr="008E0099">
        <w:rPr>
          <w:rStyle w:val="Refdenotaalpie"/>
          <w:rFonts w:ascii="Georgia" w:hAnsi="Georgia"/>
          <w:sz w:val="18"/>
          <w:szCs w:val="18"/>
        </w:rPr>
        <w:footnoteRef/>
      </w:r>
      <w:r w:rsidRPr="008E0099">
        <w:rPr>
          <w:rFonts w:ascii="Georgia" w:hAnsi="Georgia"/>
          <w:sz w:val="18"/>
          <w:szCs w:val="18"/>
        </w:rPr>
        <w:t xml:space="preserve"> </w:t>
      </w:r>
      <w:r w:rsidRPr="008E0099">
        <w:rPr>
          <w:rFonts w:ascii="Georgia" w:hAnsi="Georgia"/>
          <w:sz w:val="18"/>
          <w:szCs w:val="18"/>
        </w:rPr>
        <w:tab/>
      </w:r>
      <w:r w:rsidRPr="008E0099">
        <w:rPr>
          <w:rFonts w:ascii="Georgia" w:hAnsi="Georgia" w:cstheme="minorHAnsi"/>
          <w:b/>
          <w:bCs/>
          <w:sz w:val="18"/>
          <w:szCs w:val="18"/>
          <w:lang w:val="es-MX"/>
        </w:rPr>
        <w:t>Código Procesal Civil</w:t>
      </w:r>
    </w:p>
    <w:p w:rsidRPr="008E0099" w:rsidR="008E0099" w:rsidP="008E0099" w:rsidRDefault="008E0099" w14:paraId="391A5EED" w14:textId="77777777">
      <w:pPr>
        <w:pStyle w:val="Textonotapie"/>
        <w:tabs>
          <w:tab w:val="left" w:pos="284"/>
        </w:tabs>
        <w:spacing w:after="120"/>
        <w:ind w:left="284" w:hanging="284"/>
        <w:rPr>
          <w:rFonts w:ascii="Georgia" w:hAnsi="Georgia" w:cstheme="minorHAnsi"/>
          <w:sz w:val="18"/>
          <w:szCs w:val="18"/>
          <w:lang w:val="es-MX"/>
        </w:rPr>
      </w:pPr>
      <w:r w:rsidRPr="008E0099">
        <w:rPr>
          <w:rFonts w:ascii="Georgia" w:hAnsi="Georgia" w:cstheme="minorHAnsi"/>
          <w:sz w:val="18"/>
          <w:szCs w:val="18"/>
          <w:lang w:val="es-MX"/>
        </w:rPr>
        <w:tab/>
      </w:r>
      <w:r w:rsidRPr="008E0099">
        <w:rPr>
          <w:rFonts w:ascii="Georgia" w:hAnsi="Georgia" w:cstheme="minorHAnsi"/>
          <w:b/>
          <w:bCs/>
          <w:sz w:val="18"/>
          <w:szCs w:val="18"/>
          <w:lang w:val="es-MX"/>
        </w:rPr>
        <w:t xml:space="preserve">Artículo 197.- Valoración de la </w:t>
      </w:r>
      <w:proofErr w:type="gramStart"/>
      <w:r w:rsidRPr="008E0099">
        <w:rPr>
          <w:rFonts w:ascii="Georgia" w:hAnsi="Georgia" w:cstheme="minorHAnsi"/>
          <w:b/>
          <w:bCs/>
          <w:sz w:val="18"/>
          <w:szCs w:val="18"/>
          <w:lang w:val="es-MX"/>
        </w:rPr>
        <w:t>prueba.-</w:t>
      </w:r>
      <w:proofErr w:type="gramEnd"/>
      <w:r w:rsidRPr="008E0099">
        <w:rPr>
          <w:rFonts w:ascii="Georgia" w:hAnsi="Georgia" w:cstheme="minorHAnsi"/>
          <w:sz w:val="18"/>
          <w:szCs w:val="18"/>
          <w:lang w:val="es-MX"/>
        </w:rPr>
        <w:t xml:space="preserve"> Todos los medios probatorios son valorados por el Juez en forma conjunta, utilizando su apreciación razonada. Sin embargo, en la resolución sólo serán expresadas las valoraciones esenciales y determinantes que sustentan su decisión.</w:t>
      </w:r>
    </w:p>
  </w:footnote>
  <w:footnote w:id="25">
    <w:p w:rsidRPr="00E968FC" w:rsidR="008E0099" w:rsidP="008E0099" w:rsidRDefault="008E0099" w14:paraId="43B87E8B" w14:textId="77777777">
      <w:pPr>
        <w:pStyle w:val="Textonotapie"/>
        <w:tabs>
          <w:tab w:val="left" w:pos="284"/>
        </w:tabs>
        <w:spacing w:after="120"/>
        <w:ind w:left="284" w:hanging="284"/>
        <w:rPr>
          <w:rFonts w:ascii="Georgia" w:hAnsi="Georgia"/>
          <w:lang w:val="es-MX"/>
        </w:rPr>
      </w:pPr>
      <w:r w:rsidRPr="008E0099">
        <w:rPr>
          <w:rStyle w:val="Refdenotaalpie"/>
          <w:rFonts w:ascii="Georgia" w:hAnsi="Georgia"/>
          <w:sz w:val="18"/>
          <w:szCs w:val="18"/>
        </w:rPr>
        <w:footnoteRef/>
      </w:r>
      <w:r w:rsidRPr="008E0099">
        <w:rPr>
          <w:rFonts w:ascii="Georgia" w:hAnsi="Georgia"/>
          <w:sz w:val="18"/>
          <w:szCs w:val="18"/>
        </w:rPr>
        <w:t xml:space="preserve"> </w:t>
      </w:r>
      <w:r w:rsidRPr="008E0099">
        <w:rPr>
          <w:rFonts w:ascii="Georgia" w:hAnsi="Georgia"/>
          <w:sz w:val="18"/>
          <w:szCs w:val="18"/>
        </w:rPr>
        <w:tab/>
      </w:r>
      <w:r w:rsidRPr="008E0099">
        <w:rPr>
          <w:rFonts w:ascii="Georgia" w:hAnsi="Georgia"/>
          <w:sz w:val="18"/>
          <w:szCs w:val="18"/>
        </w:rPr>
        <w:t xml:space="preserve">Corte Suprema de Justicia de la República (2024). Recurso de casación </w:t>
      </w:r>
      <w:proofErr w:type="spellStart"/>
      <w:r w:rsidRPr="008E0099">
        <w:rPr>
          <w:rFonts w:ascii="Georgia" w:hAnsi="Georgia"/>
          <w:sz w:val="18"/>
          <w:szCs w:val="18"/>
        </w:rPr>
        <w:t>n.°</w:t>
      </w:r>
      <w:proofErr w:type="spellEnd"/>
      <w:r w:rsidRPr="008E0099">
        <w:rPr>
          <w:rFonts w:ascii="Georgia" w:hAnsi="Georgia"/>
          <w:sz w:val="18"/>
          <w:szCs w:val="18"/>
        </w:rPr>
        <w:t xml:space="preserve"> 933 - </w:t>
      </w:r>
      <w:r w:rsidRPr="008E0099">
        <w:rPr>
          <w:rFonts w:ascii="Georgia" w:hAnsi="Georgia" w:cstheme="minorHAnsi"/>
          <w:sz w:val="18"/>
          <w:szCs w:val="18"/>
          <w:lang w:val="es-MX"/>
        </w:rPr>
        <w:t>2021</w:t>
      </w:r>
      <w:r w:rsidRPr="008E0099">
        <w:rPr>
          <w:rFonts w:ascii="Georgia" w:hAnsi="Georgia"/>
          <w:sz w:val="18"/>
          <w:szCs w:val="18"/>
        </w:rPr>
        <w:t>. Cusco.</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001631D6" w:rsidRDefault="001631D6" w14:paraId="7E38E125" w14:textId="2F2F027B">
    <w:pPr>
      <w:pStyle w:val="Encabezado"/>
    </w:pPr>
    <w:r>
      <w:rPr>
        <w:noProof/>
      </w:rPr>
      <w:drawing>
        <wp:inline distT="0" distB="0" distL="0" distR="0" wp14:anchorId="2EECEDB8" wp14:editId="52687486">
          <wp:extent cx="2095500" cy="709671"/>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
                  <a:srcRect t="19452" b="20309"/>
                  <a:stretch/>
                </pic:blipFill>
                <pic:spPr bwMode="auto">
                  <a:xfrm>
                    <a:off x="0" y="0"/>
                    <a:ext cx="2134010" cy="722713"/>
                  </a:xfrm>
                  <a:prstGeom prst="rect">
                    <a:avLst/>
                  </a:prstGeom>
                  <a:ln>
                    <a:noFill/>
                  </a:ln>
                  <a:extLst>
                    <a:ext uri="{53640926-AAD7-44D8-BBD7-CCE9431645EC}">
                      <a14:shadowObscured xmlns:a14="http://schemas.microsoft.com/office/drawing/2010/main"/>
                    </a:ext>
                  </a:extLst>
                </pic:spPr>
              </pic:pic>
            </a:graphicData>
          </a:graphic>
        </wp:inline>
      </w:drawing>
    </w:r>
  </w:p>
  <w:p w:rsidR="001631D6" w:rsidRDefault="001631D6" w14:paraId="322E2FE4" w14:textId="77777777">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B3300CAE"/>
    <w:multiLevelType w:val="hybridMultilevel"/>
    <w:tmpl w:val="E92D1EDA"/>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D13D7A49"/>
    <w:multiLevelType w:val="hybridMultilevel"/>
    <w:tmpl w:val="70CF66E0"/>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044AB963"/>
    <w:multiLevelType w:val="hybridMultilevel"/>
    <w:tmpl w:val="19D189CC"/>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15:restartNumberingAfterBreak="0">
    <w:nsid w:val="04527805"/>
    <w:multiLevelType w:val="hybridMultilevel"/>
    <w:tmpl w:val="A2D426E2"/>
    <w:lvl w:ilvl="0" w:tplc="280A0011">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4" w15:restartNumberingAfterBreak="0">
    <w:nsid w:val="06CA3131"/>
    <w:multiLevelType w:val="hybridMultilevel"/>
    <w:tmpl w:val="9BB4E6B4"/>
    <w:lvl w:ilvl="0" w:tplc="F574F586">
      <w:start w:val="1"/>
      <w:numFmt w:val="upp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5" w15:restartNumberingAfterBreak="0">
    <w:nsid w:val="086FB39D"/>
    <w:multiLevelType w:val="hybridMultilevel"/>
    <w:tmpl w:val="7621AC8B"/>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6" w15:restartNumberingAfterBreak="0">
    <w:nsid w:val="0B557E06"/>
    <w:multiLevelType w:val="hybridMultilevel"/>
    <w:tmpl w:val="CA828902"/>
    <w:lvl w:ilvl="0" w:tplc="31005C92">
      <w:start w:val="1"/>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7" w15:restartNumberingAfterBreak="0">
    <w:nsid w:val="0BFB5D8C"/>
    <w:multiLevelType w:val="hybridMultilevel"/>
    <w:tmpl w:val="54442868"/>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8" w15:restartNumberingAfterBreak="0">
    <w:nsid w:val="0D7B5FF2"/>
    <w:multiLevelType w:val="hybridMultilevel"/>
    <w:tmpl w:val="82D6CB34"/>
    <w:lvl w:ilvl="0" w:tplc="466ADFA0">
      <w:start w:val="1"/>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9" w15:restartNumberingAfterBreak="0">
    <w:nsid w:val="0E0452DF"/>
    <w:multiLevelType w:val="hybridMultilevel"/>
    <w:tmpl w:val="C538A742"/>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0" w15:restartNumberingAfterBreak="0">
    <w:nsid w:val="0F6E34B3"/>
    <w:multiLevelType w:val="hybridMultilevel"/>
    <w:tmpl w:val="E262875E"/>
    <w:lvl w:ilvl="0" w:tplc="0D0C04A0">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1" w15:restartNumberingAfterBreak="0">
    <w:nsid w:val="131B231E"/>
    <w:multiLevelType w:val="multilevel"/>
    <w:tmpl w:val="F2961B9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13C763A8"/>
    <w:multiLevelType w:val="hybridMultilevel"/>
    <w:tmpl w:val="485071E0"/>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3" w15:restartNumberingAfterBreak="0">
    <w:nsid w:val="18570416"/>
    <w:multiLevelType w:val="multilevel"/>
    <w:tmpl w:val="F1B89ECA"/>
    <w:lvl w:ilvl="0">
      <w:start w:val="5"/>
      <w:numFmt w:val="decimal"/>
      <w:lvlText w:val="%1."/>
      <w:lvlJc w:val="left"/>
      <w:pPr>
        <w:ind w:left="360" w:hanging="360"/>
      </w:pPr>
    </w:lvl>
    <w:lvl w:ilvl="1">
      <w:start w:val="3"/>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14" w15:restartNumberingAfterBreak="0">
    <w:nsid w:val="199D5E75"/>
    <w:multiLevelType w:val="hybridMultilevel"/>
    <w:tmpl w:val="F236A4CE"/>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5" w15:restartNumberingAfterBreak="0">
    <w:nsid w:val="1A684A3A"/>
    <w:multiLevelType w:val="hybridMultilevel"/>
    <w:tmpl w:val="A268FAD2"/>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16" w15:restartNumberingAfterBreak="0">
    <w:nsid w:val="1B4B499B"/>
    <w:multiLevelType w:val="hybridMultilevel"/>
    <w:tmpl w:val="CF7AFACE"/>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7" w15:restartNumberingAfterBreak="0">
    <w:nsid w:val="1CBC1935"/>
    <w:multiLevelType w:val="hybridMultilevel"/>
    <w:tmpl w:val="3E1073F2"/>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8" w15:restartNumberingAfterBreak="0">
    <w:nsid w:val="20B446AC"/>
    <w:multiLevelType w:val="hybridMultilevel"/>
    <w:tmpl w:val="EE083144"/>
    <w:lvl w:ilvl="0" w:tplc="280A000F">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9" w15:restartNumberingAfterBreak="0">
    <w:nsid w:val="22937377"/>
    <w:multiLevelType w:val="hybridMultilevel"/>
    <w:tmpl w:val="66431F58"/>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0" w15:restartNumberingAfterBreak="0">
    <w:nsid w:val="22DE685E"/>
    <w:multiLevelType w:val="hybridMultilevel"/>
    <w:tmpl w:val="B750E52C"/>
    <w:lvl w:ilvl="0" w:tplc="E348E752">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21" w15:restartNumberingAfterBreak="0">
    <w:nsid w:val="23F94D99"/>
    <w:multiLevelType w:val="hybridMultilevel"/>
    <w:tmpl w:val="91862E40"/>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2" w15:restartNumberingAfterBreak="0">
    <w:nsid w:val="2502060D"/>
    <w:multiLevelType w:val="hybridMultilevel"/>
    <w:tmpl w:val="23DC35DC"/>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3" w15:restartNumberingAfterBreak="0">
    <w:nsid w:val="28B318CD"/>
    <w:multiLevelType w:val="hybridMultilevel"/>
    <w:tmpl w:val="53C288F6"/>
    <w:lvl w:ilvl="0" w:tplc="79A660F0">
      <w:start w:val="1"/>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24" w15:restartNumberingAfterBreak="0">
    <w:nsid w:val="29AEA2FD"/>
    <w:multiLevelType w:val="hybridMultilevel"/>
    <w:tmpl w:val="A1FF629C"/>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5" w15:restartNumberingAfterBreak="0">
    <w:nsid w:val="2FFF7D83"/>
    <w:multiLevelType w:val="hybridMultilevel"/>
    <w:tmpl w:val="0BB45FD2"/>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6" w15:restartNumberingAfterBreak="0">
    <w:nsid w:val="3337151C"/>
    <w:multiLevelType w:val="hybridMultilevel"/>
    <w:tmpl w:val="4D6A2C5A"/>
    <w:lvl w:ilvl="0" w:tplc="0BECA542">
      <w:start w:val="1"/>
      <w:numFmt w:val="lowerRoman"/>
      <w:lvlText w:val="(%1)"/>
      <w:lvlJc w:val="left"/>
      <w:pPr>
        <w:ind w:left="720" w:hanging="720"/>
      </w:pPr>
    </w:lvl>
    <w:lvl w:ilvl="1" w:tplc="280A0019">
      <w:start w:val="1"/>
      <w:numFmt w:val="lowerLetter"/>
      <w:lvlText w:val="%2."/>
      <w:lvlJc w:val="left"/>
      <w:pPr>
        <w:ind w:left="1080" w:hanging="360"/>
      </w:pPr>
    </w:lvl>
    <w:lvl w:ilvl="2" w:tplc="280A001B">
      <w:start w:val="1"/>
      <w:numFmt w:val="lowerRoman"/>
      <w:lvlText w:val="%3."/>
      <w:lvlJc w:val="right"/>
      <w:pPr>
        <w:ind w:left="1800" w:hanging="180"/>
      </w:pPr>
    </w:lvl>
    <w:lvl w:ilvl="3" w:tplc="280A000F">
      <w:start w:val="1"/>
      <w:numFmt w:val="decimal"/>
      <w:lvlText w:val="%4."/>
      <w:lvlJc w:val="left"/>
      <w:pPr>
        <w:ind w:left="2520" w:hanging="360"/>
      </w:pPr>
    </w:lvl>
    <w:lvl w:ilvl="4" w:tplc="280A0019">
      <w:start w:val="1"/>
      <w:numFmt w:val="lowerLetter"/>
      <w:lvlText w:val="%5."/>
      <w:lvlJc w:val="left"/>
      <w:pPr>
        <w:ind w:left="3240" w:hanging="360"/>
      </w:pPr>
    </w:lvl>
    <w:lvl w:ilvl="5" w:tplc="280A001B">
      <w:start w:val="1"/>
      <w:numFmt w:val="lowerRoman"/>
      <w:lvlText w:val="%6."/>
      <w:lvlJc w:val="right"/>
      <w:pPr>
        <w:ind w:left="3960" w:hanging="180"/>
      </w:pPr>
    </w:lvl>
    <w:lvl w:ilvl="6" w:tplc="280A000F">
      <w:start w:val="1"/>
      <w:numFmt w:val="decimal"/>
      <w:lvlText w:val="%7."/>
      <w:lvlJc w:val="left"/>
      <w:pPr>
        <w:ind w:left="4680" w:hanging="360"/>
      </w:pPr>
    </w:lvl>
    <w:lvl w:ilvl="7" w:tplc="280A0019">
      <w:start w:val="1"/>
      <w:numFmt w:val="lowerLetter"/>
      <w:lvlText w:val="%8."/>
      <w:lvlJc w:val="left"/>
      <w:pPr>
        <w:ind w:left="5400" w:hanging="360"/>
      </w:pPr>
    </w:lvl>
    <w:lvl w:ilvl="8" w:tplc="280A001B">
      <w:start w:val="1"/>
      <w:numFmt w:val="lowerRoman"/>
      <w:lvlText w:val="%9."/>
      <w:lvlJc w:val="right"/>
      <w:pPr>
        <w:ind w:left="6120" w:hanging="180"/>
      </w:pPr>
    </w:lvl>
  </w:abstractNum>
  <w:abstractNum w:abstractNumId="27" w15:restartNumberingAfterBreak="0">
    <w:nsid w:val="36DF3B95"/>
    <w:multiLevelType w:val="hybridMultilevel"/>
    <w:tmpl w:val="E9982968"/>
    <w:lvl w:ilvl="0" w:tplc="7390E266">
      <w:start w:val="1"/>
      <w:numFmt w:val="bullet"/>
      <w:lvlText w:val="-"/>
      <w:lvlJc w:val="left"/>
      <w:pPr>
        <w:ind w:left="720" w:hanging="360"/>
      </w:pPr>
      <w:rPr>
        <w:rFonts w:hint="default" w:ascii="Georgia" w:hAnsi="Georgia"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28" w15:restartNumberingAfterBreak="0">
    <w:nsid w:val="36E76F88"/>
    <w:multiLevelType w:val="hybridMultilevel"/>
    <w:tmpl w:val="54525BF0"/>
    <w:lvl w:ilvl="0" w:tplc="280A000F">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9" w15:restartNumberingAfterBreak="0">
    <w:nsid w:val="37615185"/>
    <w:multiLevelType w:val="multilevel"/>
    <w:tmpl w:val="4D62F7FE"/>
    <w:lvl w:ilvl="0">
      <w:start w:val="5"/>
      <w:numFmt w:val="decimal"/>
      <w:lvlText w:val="%1."/>
      <w:lvlJc w:val="left"/>
      <w:pPr>
        <w:ind w:left="376" w:hanging="376"/>
      </w:pPr>
      <w:rPr>
        <w:rFonts w:hint="default"/>
      </w:rPr>
    </w:lvl>
    <w:lvl w:ilvl="1">
      <w:start w:val="1"/>
      <w:numFmt w:val="decimal"/>
      <w:lvlText w:val="%1.%2."/>
      <w:lvlJc w:val="left"/>
      <w:pPr>
        <w:ind w:left="376" w:hanging="37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0" w15:restartNumberingAfterBreak="0">
    <w:nsid w:val="3C931931"/>
    <w:multiLevelType w:val="hybridMultilevel"/>
    <w:tmpl w:val="F794AD9E"/>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1" w15:restartNumberingAfterBreak="0">
    <w:nsid w:val="3F793AD8"/>
    <w:multiLevelType w:val="hybridMultilevel"/>
    <w:tmpl w:val="BF083CB2"/>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2" w15:restartNumberingAfterBreak="0">
    <w:nsid w:val="43141376"/>
    <w:multiLevelType w:val="hybridMultilevel"/>
    <w:tmpl w:val="9BB4E6B4"/>
    <w:lvl w:ilvl="0" w:tplc="FFFFFFFF">
      <w:start w:val="1"/>
      <w:numFmt w:val="upperLetter"/>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33" w15:restartNumberingAfterBreak="0">
    <w:nsid w:val="44CF0589"/>
    <w:multiLevelType w:val="hybridMultilevel"/>
    <w:tmpl w:val="503A4DD0"/>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4" w15:restartNumberingAfterBreak="0">
    <w:nsid w:val="45EB135E"/>
    <w:multiLevelType w:val="hybridMultilevel"/>
    <w:tmpl w:val="A268FAD2"/>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5" w15:restartNumberingAfterBreak="0">
    <w:nsid w:val="49A502E0"/>
    <w:multiLevelType w:val="hybridMultilevel"/>
    <w:tmpl w:val="C38698F0"/>
    <w:lvl w:ilvl="0" w:tplc="280A000F">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36" w15:restartNumberingAfterBreak="0">
    <w:nsid w:val="4A9029CC"/>
    <w:multiLevelType w:val="hybridMultilevel"/>
    <w:tmpl w:val="FEF83CB0"/>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37" w15:restartNumberingAfterBreak="0">
    <w:nsid w:val="4AF431AD"/>
    <w:multiLevelType w:val="multilevel"/>
    <w:tmpl w:val="F04E959E"/>
    <w:lvl w:ilvl="0">
      <w:start w:val="6"/>
      <w:numFmt w:val="decimal"/>
      <w:lvlText w:val="%1."/>
      <w:lvlJc w:val="left"/>
      <w:pPr>
        <w:ind w:left="360" w:hanging="360"/>
      </w:p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38" w15:restartNumberingAfterBreak="0">
    <w:nsid w:val="4B2A492E"/>
    <w:multiLevelType w:val="multilevel"/>
    <w:tmpl w:val="62B63FC2"/>
    <w:lvl w:ilvl="0">
      <w:start w:val="6"/>
      <w:numFmt w:val="decimal"/>
      <w:lvlText w:val="%1."/>
      <w:lvlJc w:val="left"/>
      <w:pPr>
        <w:ind w:left="360" w:hanging="360"/>
      </w:pPr>
    </w:lvl>
    <w:lvl w:ilvl="1">
      <w:start w:val="3"/>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39" w15:restartNumberingAfterBreak="0">
    <w:nsid w:val="4F524235"/>
    <w:multiLevelType w:val="hybridMultilevel"/>
    <w:tmpl w:val="73F29A82"/>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40" w15:restartNumberingAfterBreak="0">
    <w:nsid w:val="51045A20"/>
    <w:multiLevelType w:val="hybridMultilevel"/>
    <w:tmpl w:val="15FA867C"/>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41" w15:restartNumberingAfterBreak="0">
    <w:nsid w:val="52AF5988"/>
    <w:multiLevelType w:val="hybridMultilevel"/>
    <w:tmpl w:val="485071E0"/>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42" w15:restartNumberingAfterBreak="0">
    <w:nsid w:val="52DD303E"/>
    <w:multiLevelType w:val="hybridMultilevel"/>
    <w:tmpl w:val="0CFEB2A8"/>
    <w:lvl w:ilvl="0" w:tplc="280A0019">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43" w15:restartNumberingAfterBreak="0">
    <w:nsid w:val="58587335"/>
    <w:multiLevelType w:val="hybridMultilevel"/>
    <w:tmpl w:val="FEF83CB0"/>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44" w15:restartNumberingAfterBreak="0">
    <w:nsid w:val="5EF65DDD"/>
    <w:multiLevelType w:val="hybridMultilevel"/>
    <w:tmpl w:val="F844F004"/>
    <w:lvl w:ilvl="0" w:tplc="81AADADE">
      <w:start w:val="3"/>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45" w15:restartNumberingAfterBreak="0">
    <w:nsid w:val="614A2F2F"/>
    <w:multiLevelType w:val="hybridMultilevel"/>
    <w:tmpl w:val="B05431BC"/>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46" w15:restartNumberingAfterBreak="0">
    <w:nsid w:val="615F36BF"/>
    <w:multiLevelType w:val="hybridMultilevel"/>
    <w:tmpl w:val="DBB8DD2C"/>
    <w:lvl w:ilvl="0" w:tplc="280A000F">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47" w15:restartNumberingAfterBreak="0">
    <w:nsid w:val="6202330A"/>
    <w:multiLevelType w:val="hybridMultilevel"/>
    <w:tmpl w:val="6AC6C6D6"/>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48" w15:restartNumberingAfterBreak="0">
    <w:nsid w:val="62DF6132"/>
    <w:multiLevelType w:val="hybridMultilevel"/>
    <w:tmpl w:val="128CF040"/>
    <w:lvl w:ilvl="0" w:tplc="280A0001">
      <w:start w:val="1"/>
      <w:numFmt w:val="bullet"/>
      <w:lvlText w:val=""/>
      <w:lvlJc w:val="left"/>
      <w:pPr>
        <w:ind w:left="720" w:hanging="360"/>
      </w:pPr>
      <w:rPr>
        <w:rFonts w:hint="default" w:ascii="Symbol" w:hAnsi="Symbol"/>
      </w:rPr>
    </w:lvl>
    <w:lvl w:ilvl="1" w:tplc="280A0003" w:tentative="1">
      <w:start w:val="1"/>
      <w:numFmt w:val="bullet"/>
      <w:lvlText w:val="o"/>
      <w:lvlJc w:val="left"/>
      <w:pPr>
        <w:ind w:left="1440" w:hanging="360"/>
      </w:pPr>
      <w:rPr>
        <w:rFonts w:hint="default" w:ascii="Courier New" w:hAnsi="Courier New" w:cs="Courier New"/>
      </w:rPr>
    </w:lvl>
    <w:lvl w:ilvl="2" w:tplc="280A0005" w:tentative="1">
      <w:start w:val="1"/>
      <w:numFmt w:val="bullet"/>
      <w:lvlText w:val=""/>
      <w:lvlJc w:val="left"/>
      <w:pPr>
        <w:ind w:left="2160" w:hanging="360"/>
      </w:pPr>
      <w:rPr>
        <w:rFonts w:hint="default" w:ascii="Wingdings" w:hAnsi="Wingdings"/>
      </w:rPr>
    </w:lvl>
    <w:lvl w:ilvl="3" w:tplc="280A0001" w:tentative="1">
      <w:start w:val="1"/>
      <w:numFmt w:val="bullet"/>
      <w:lvlText w:val=""/>
      <w:lvlJc w:val="left"/>
      <w:pPr>
        <w:ind w:left="2880" w:hanging="360"/>
      </w:pPr>
      <w:rPr>
        <w:rFonts w:hint="default" w:ascii="Symbol" w:hAnsi="Symbol"/>
      </w:rPr>
    </w:lvl>
    <w:lvl w:ilvl="4" w:tplc="280A0003" w:tentative="1">
      <w:start w:val="1"/>
      <w:numFmt w:val="bullet"/>
      <w:lvlText w:val="o"/>
      <w:lvlJc w:val="left"/>
      <w:pPr>
        <w:ind w:left="3600" w:hanging="360"/>
      </w:pPr>
      <w:rPr>
        <w:rFonts w:hint="default" w:ascii="Courier New" w:hAnsi="Courier New" w:cs="Courier New"/>
      </w:rPr>
    </w:lvl>
    <w:lvl w:ilvl="5" w:tplc="280A0005" w:tentative="1">
      <w:start w:val="1"/>
      <w:numFmt w:val="bullet"/>
      <w:lvlText w:val=""/>
      <w:lvlJc w:val="left"/>
      <w:pPr>
        <w:ind w:left="4320" w:hanging="360"/>
      </w:pPr>
      <w:rPr>
        <w:rFonts w:hint="default" w:ascii="Wingdings" w:hAnsi="Wingdings"/>
      </w:rPr>
    </w:lvl>
    <w:lvl w:ilvl="6" w:tplc="280A0001" w:tentative="1">
      <w:start w:val="1"/>
      <w:numFmt w:val="bullet"/>
      <w:lvlText w:val=""/>
      <w:lvlJc w:val="left"/>
      <w:pPr>
        <w:ind w:left="5040" w:hanging="360"/>
      </w:pPr>
      <w:rPr>
        <w:rFonts w:hint="default" w:ascii="Symbol" w:hAnsi="Symbol"/>
      </w:rPr>
    </w:lvl>
    <w:lvl w:ilvl="7" w:tplc="280A0003" w:tentative="1">
      <w:start w:val="1"/>
      <w:numFmt w:val="bullet"/>
      <w:lvlText w:val="o"/>
      <w:lvlJc w:val="left"/>
      <w:pPr>
        <w:ind w:left="5760" w:hanging="360"/>
      </w:pPr>
      <w:rPr>
        <w:rFonts w:hint="default" w:ascii="Courier New" w:hAnsi="Courier New" w:cs="Courier New"/>
      </w:rPr>
    </w:lvl>
    <w:lvl w:ilvl="8" w:tplc="280A0005" w:tentative="1">
      <w:start w:val="1"/>
      <w:numFmt w:val="bullet"/>
      <w:lvlText w:val=""/>
      <w:lvlJc w:val="left"/>
      <w:pPr>
        <w:ind w:left="6480" w:hanging="360"/>
      </w:pPr>
      <w:rPr>
        <w:rFonts w:hint="default" w:ascii="Wingdings" w:hAnsi="Wingdings"/>
      </w:rPr>
    </w:lvl>
  </w:abstractNum>
  <w:abstractNum w:abstractNumId="49" w15:restartNumberingAfterBreak="0">
    <w:nsid w:val="643B6E6E"/>
    <w:multiLevelType w:val="hybridMultilevel"/>
    <w:tmpl w:val="3AA673C4"/>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50" w15:restartNumberingAfterBreak="0">
    <w:nsid w:val="6B930B85"/>
    <w:multiLevelType w:val="hybridMultilevel"/>
    <w:tmpl w:val="0A757A59"/>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51" w15:restartNumberingAfterBreak="0">
    <w:nsid w:val="7066448F"/>
    <w:multiLevelType w:val="hybridMultilevel"/>
    <w:tmpl w:val="F236A4CE"/>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52" w15:restartNumberingAfterBreak="0">
    <w:nsid w:val="720A498D"/>
    <w:multiLevelType w:val="multilevel"/>
    <w:tmpl w:val="DF4041E8"/>
    <w:lvl w:ilvl="0">
      <w:start w:val="26"/>
      <w:numFmt w:val="decimal"/>
      <w:lvlText w:val="%1."/>
      <w:lvlJc w:val="left"/>
      <w:pPr>
        <w:ind w:left="480" w:hanging="480"/>
      </w:p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53" w15:restartNumberingAfterBreak="0">
    <w:nsid w:val="79E47C2E"/>
    <w:multiLevelType w:val="hybridMultilevel"/>
    <w:tmpl w:val="CF80E312"/>
    <w:lvl w:ilvl="0" w:tplc="CE04F36C">
      <w:start w:val="1"/>
      <w:numFmt w:val="decimal"/>
      <w:lvlText w:val="%1)"/>
      <w:lvlJc w:val="left"/>
      <w:pPr>
        <w:ind w:left="720" w:hanging="360"/>
      </w:pPr>
      <w:rPr>
        <w:rFonts w:ascii="Times New Roman" w:hAnsi="Times New Roman" w:cs="Times New Roman" w:eastAsiaTheme="minorEastAsia"/>
      </w:r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54" w15:restartNumberingAfterBreak="0">
    <w:nsid w:val="7B0B32F2"/>
    <w:multiLevelType w:val="hybridMultilevel"/>
    <w:tmpl w:val="54442868"/>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55" w15:restartNumberingAfterBreak="0">
    <w:nsid w:val="7B455D63"/>
    <w:multiLevelType w:val="hybridMultilevel"/>
    <w:tmpl w:val="35DCAA84"/>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56" w15:restartNumberingAfterBreak="0">
    <w:nsid w:val="7B98482C"/>
    <w:multiLevelType w:val="hybridMultilevel"/>
    <w:tmpl w:val="506E09A6"/>
    <w:lvl w:ilvl="0" w:tplc="5EE01CA2">
      <w:start w:val="1"/>
      <w:numFmt w:val="lowerLetter"/>
      <w:lvlText w:val="%1)"/>
      <w:lvlJc w:val="left"/>
      <w:pPr>
        <w:ind w:left="720" w:hanging="360"/>
      </w:pPr>
      <w:rPr>
        <w:rFonts w:ascii="Arial Narrow" w:hAnsi="Arial Narrow" w:eastAsia="Times New Roman" w:cs="Arial"/>
      </w:rPr>
    </w:lvl>
    <w:lvl w:ilvl="1" w:tplc="0C0A0003">
      <w:numFmt w:val="decimal"/>
      <w:lvlText w:val="o"/>
      <w:lvlJc w:val="left"/>
      <w:pPr>
        <w:ind w:left="1440" w:hanging="360"/>
      </w:pPr>
      <w:rPr>
        <w:rFonts w:hint="default" w:ascii="Courier New" w:hAnsi="Courier New" w:cs="Courier New"/>
      </w:rPr>
    </w:lvl>
    <w:lvl w:ilvl="2" w:tplc="0C0A0005">
      <w:numFmt w:val="decimal"/>
      <w:lvlText w:val=""/>
      <w:lvlJc w:val="left"/>
      <w:pPr>
        <w:ind w:left="2160" w:hanging="360"/>
      </w:pPr>
      <w:rPr>
        <w:rFonts w:hint="default" w:ascii="Wingdings" w:hAnsi="Wingdings"/>
      </w:rPr>
    </w:lvl>
    <w:lvl w:ilvl="3" w:tplc="0C0A0001">
      <w:numFmt w:val="decimal"/>
      <w:lvlText w:val=""/>
      <w:lvlJc w:val="left"/>
      <w:pPr>
        <w:ind w:left="2880" w:hanging="360"/>
      </w:pPr>
      <w:rPr>
        <w:rFonts w:hint="default" w:ascii="Symbol" w:hAnsi="Symbol"/>
      </w:rPr>
    </w:lvl>
    <w:lvl w:ilvl="4" w:tplc="0C0A0003">
      <w:numFmt w:val="decimal"/>
      <w:lvlText w:val="o"/>
      <w:lvlJc w:val="left"/>
      <w:pPr>
        <w:ind w:left="3600" w:hanging="360"/>
      </w:pPr>
      <w:rPr>
        <w:rFonts w:hint="default" w:ascii="Courier New" w:hAnsi="Courier New" w:cs="Courier New"/>
      </w:rPr>
    </w:lvl>
    <w:lvl w:ilvl="5" w:tplc="0C0A0005">
      <w:numFmt w:val="decimal"/>
      <w:lvlText w:val=""/>
      <w:lvlJc w:val="left"/>
      <w:pPr>
        <w:ind w:left="4320" w:hanging="360"/>
      </w:pPr>
      <w:rPr>
        <w:rFonts w:hint="default" w:ascii="Wingdings" w:hAnsi="Wingdings"/>
      </w:rPr>
    </w:lvl>
    <w:lvl w:ilvl="6" w:tplc="0C0A0001">
      <w:numFmt w:val="decimal"/>
      <w:lvlText w:val=""/>
      <w:lvlJc w:val="left"/>
      <w:pPr>
        <w:ind w:left="5040" w:hanging="360"/>
      </w:pPr>
      <w:rPr>
        <w:rFonts w:hint="default" w:ascii="Symbol" w:hAnsi="Symbol"/>
      </w:rPr>
    </w:lvl>
    <w:lvl w:ilvl="7" w:tplc="0C0A0003">
      <w:numFmt w:val="decimal"/>
      <w:lvlText w:val="o"/>
      <w:lvlJc w:val="left"/>
      <w:pPr>
        <w:ind w:left="5760" w:hanging="360"/>
      </w:pPr>
      <w:rPr>
        <w:rFonts w:hint="default" w:ascii="Courier New" w:hAnsi="Courier New" w:cs="Courier New"/>
      </w:rPr>
    </w:lvl>
    <w:lvl w:ilvl="8" w:tplc="0C0A0005">
      <w:numFmt w:val="decimal"/>
      <w:lvlText w:val=""/>
      <w:lvlJc w:val="left"/>
      <w:pPr>
        <w:ind w:left="6480" w:hanging="360"/>
      </w:pPr>
      <w:rPr>
        <w:rFonts w:hint="default" w:ascii="Wingdings" w:hAnsi="Wingdings"/>
      </w:rPr>
    </w:lvl>
  </w:abstractNum>
  <w:abstractNum w:abstractNumId="57" w15:restartNumberingAfterBreak="0">
    <w:nsid w:val="7CBE5F8F"/>
    <w:multiLevelType w:val="hybridMultilevel"/>
    <w:tmpl w:val="3530ECB2"/>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num w:numId="1" w16cid:durableId="1413771054">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870648044">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656689820">
    <w:abstractNumId w:val="5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416705277">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65626376">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790009740">
    <w:abstractNumId w:val="20"/>
  </w:num>
  <w:num w:numId="7" w16cid:durableId="140269568">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109357287">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19615425">
    <w:abstractNumId w:val="5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466434724">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2142653762">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2067145309">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624119241">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85343219">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546678661">
    <w:abstractNumId w:val="5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429354070">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234969398">
    <w:abstractNumId w:val="44"/>
  </w:num>
  <w:num w:numId="18" w16cid:durableId="1849784155">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326373195">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572420418">
    <w:abstractNumId w:val="5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119494185">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2111852354">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309477666">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2118404467">
    <w:abstractNumId w:val="23"/>
  </w:num>
  <w:num w:numId="25" w16cid:durableId="2063404188">
    <w:abstractNumId w:val="4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221014114">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90651126">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729688401">
    <w:abstractNumId w:val="6"/>
  </w:num>
  <w:num w:numId="29" w16cid:durableId="620304067">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7629429">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392046590">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995798888">
    <w:abstractNumId w:val="4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1385445608">
    <w:abstractNumId w:val="4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508831034">
    <w:abstractNumId w:val="56"/>
  </w:num>
  <w:num w:numId="35" w16cid:durableId="125967622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932008299">
    <w:abstractNumId w:val="8"/>
  </w:num>
  <w:num w:numId="37" w16cid:durableId="2103842061">
    <w:abstractNumId w:val="4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1914004328">
    <w:abstractNumId w:val="51"/>
  </w:num>
  <w:num w:numId="39" w16cid:durableId="375400375">
    <w:abstractNumId w:val="3"/>
  </w:num>
  <w:num w:numId="40" w16cid:durableId="153646298">
    <w:abstractNumId w:val="4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1955166616">
    <w:abstractNumId w:val="48"/>
  </w:num>
  <w:num w:numId="42" w16cid:durableId="1367632935">
    <w:abstractNumId w:val="52"/>
    <w:lvlOverride w:ilvl="0">
      <w:startOverride w:val="2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16cid:durableId="212337622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16cid:durableId="323818373">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16cid:durableId="295722133">
    <w:abstractNumId w:val="37"/>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16cid:durableId="1459179354">
    <w:abstractNumId w:val="38"/>
    <w:lvlOverride w:ilvl="0">
      <w:startOverride w:val="6"/>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16cid:durableId="879367563">
    <w:abstractNumId w:val="27"/>
  </w:num>
  <w:num w:numId="48" w16cid:durableId="1820147613">
    <w:abstractNumId w:val="13"/>
    <w:lvlOverride w:ilvl="0">
      <w:startOverride w:val="5"/>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16cid:durableId="1210023773">
    <w:abstractNumId w:val="35"/>
  </w:num>
  <w:num w:numId="50" w16cid:durableId="1221936204">
    <w:abstractNumId w:val="29"/>
  </w:num>
  <w:num w:numId="51" w16cid:durableId="1578200737">
    <w:abstractNumId w:val="19"/>
  </w:num>
  <w:num w:numId="52" w16cid:durableId="2045446585">
    <w:abstractNumId w:val="24"/>
  </w:num>
  <w:num w:numId="53" w16cid:durableId="236061337">
    <w:abstractNumId w:val="5"/>
  </w:num>
  <w:num w:numId="54" w16cid:durableId="908076149">
    <w:abstractNumId w:val="2"/>
  </w:num>
  <w:num w:numId="55" w16cid:durableId="1301306779">
    <w:abstractNumId w:val="11"/>
  </w:num>
  <w:num w:numId="56" w16cid:durableId="1375540179">
    <w:abstractNumId w:val="50"/>
  </w:num>
  <w:num w:numId="57" w16cid:durableId="605236648">
    <w:abstractNumId w:val="0"/>
  </w:num>
  <w:num w:numId="58" w16cid:durableId="1927105074">
    <w:abstractNumId w:val="1"/>
  </w:num>
  <w:numIdMacAtCleanup w:val="4"/>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00"/>
  <w:proofState w:spelling="clean" w:grammar="dirty"/>
  <w:trackRevisions w:val="false"/>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F15FBA"/>
    <w:rsid w:val="00000B98"/>
    <w:rsid w:val="00002EBE"/>
    <w:rsid w:val="00007872"/>
    <w:rsid w:val="00007C13"/>
    <w:rsid w:val="0001004C"/>
    <w:rsid w:val="000132DB"/>
    <w:rsid w:val="000155B3"/>
    <w:rsid w:val="00015A30"/>
    <w:rsid w:val="00020318"/>
    <w:rsid w:val="00021CE8"/>
    <w:rsid w:val="00021EC1"/>
    <w:rsid w:val="0002216F"/>
    <w:rsid w:val="00023FD6"/>
    <w:rsid w:val="00025849"/>
    <w:rsid w:val="0002647A"/>
    <w:rsid w:val="0002748F"/>
    <w:rsid w:val="00030456"/>
    <w:rsid w:val="0003193C"/>
    <w:rsid w:val="00032526"/>
    <w:rsid w:val="00032C2E"/>
    <w:rsid w:val="00032F73"/>
    <w:rsid w:val="0003324F"/>
    <w:rsid w:val="00033D57"/>
    <w:rsid w:val="000352FB"/>
    <w:rsid w:val="00035695"/>
    <w:rsid w:val="00035BA1"/>
    <w:rsid w:val="00035CCC"/>
    <w:rsid w:val="000362A3"/>
    <w:rsid w:val="00042E86"/>
    <w:rsid w:val="00043F13"/>
    <w:rsid w:val="0004567C"/>
    <w:rsid w:val="00045B2C"/>
    <w:rsid w:val="0005357E"/>
    <w:rsid w:val="00054CC0"/>
    <w:rsid w:val="000626FC"/>
    <w:rsid w:val="00066E53"/>
    <w:rsid w:val="0007077B"/>
    <w:rsid w:val="0007150C"/>
    <w:rsid w:val="00072AB4"/>
    <w:rsid w:val="00073516"/>
    <w:rsid w:val="00074CB3"/>
    <w:rsid w:val="00077BCB"/>
    <w:rsid w:val="000834F4"/>
    <w:rsid w:val="0008387F"/>
    <w:rsid w:val="00084E51"/>
    <w:rsid w:val="00085C13"/>
    <w:rsid w:val="00090136"/>
    <w:rsid w:val="00091A7E"/>
    <w:rsid w:val="00093257"/>
    <w:rsid w:val="00094DDA"/>
    <w:rsid w:val="0009632B"/>
    <w:rsid w:val="000A1BF0"/>
    <w:rsid w:val="000A32D2"/>
    <w:rsid w:val="000A5F16"/>
    <w:rsid w:val="000B085C"/>
    <w:rsid w:val="000B201A"/>
    <w:rsid w:val="000B35F3"/>
    <w:rsid w:val="000C1BC7"/>
    <w:rsid w:val="000C23F0"/>
    <w:rsid w:val="000C3C3C"/>
    <w:rsid w:val="000D2700"/>
    <w:rsid w:val="000D3AAD"/>
    <w:rsid w:val="000D4627"/>
    <w:rsid w:val="000D72A1"/>
    <w:rsid w:val="000E19E9"/>
    <w:rsid w:val="000E6D79"/>
    <w:rsid w:val="000F1BDF"/>
    <w:rsid w:val="000F1DF6"/>
    <w:rsid w:val="000F4E06"/>
    <w:rsid w:val="000F7060"/>
    <w:rsid w:val="000F793E"/>
    <w:rsid w:val="00103188"/>
    <w:rsid w:val="00107A19"/>
    <w:rsid w:val="001103B4"/>
    <w:rsid w:val="001113E8"/>
    <w:rsid w:val="001121CB"/>
    <w:rsid w:val="00116E8B"/>
    <w:rsid w:val="00121D19"/>
    <w:rsid w:val="001244A4"/>
    <w:rsid w:val="00125D56"/>
    <w:rsid w:val="001272A9"/>
    <w:rsid w:val="00131840"/>
    <w:rsid w:val="00131FAD"/>
    <w:rsid w:val="00137476"/>
    <w:rsid w:val="001405F4"/>
    <w:rsid w:val="00140C67"/>
    <w:rsid w:val="00142D88"/>
    <w:rsid w:val="0014310A"/>
    <w:rsid w:val="0014392D"/>
    <w:rsid w:val="001462E2"/>
    <w:rsid w:val="0015456C"/>
    <w:rsid w:val="001545B7"/>
    <w:rsid w:val="001631D6"/>
    <w:rsid w:val="001662D0"/>
    <w:rsid w:val="001674E5"/>
    <w:rsid w:val="0017198C"/>
    <w:rsid w:val="00173975"/>
    <w:rsid w:val="001749D9"/>
    <w:rsid w:val="00175DA8"/>
    <w:rsid w:val="00177DE9"/>
    <w:rsid w:val="00180976"/>
    <w:rsid w:val="001819BA"/>
    <w:rsid w:val="0018455D"/>
    <w:rsid w:val="00185768"/>
    <w:rsid w:val="001919F2"/>
    <w:rsid w:val="00192CAC"/>
    <w:rsid w:val="00193409"/>
    <w:rsid w:val="0019343D"/>
    <w:rsid w:val="001954EF"/>
    <w:rsid w:val="00195646"/>
    <w:rsid w:val="001A0D7C"/>
    <w:rsid w:val="001A19AE"/>
    <w:rsid w:val="001A1D3F"/>
    <w:rsid w:val="001A26F0"/>
    <w:rsid w:val="001A3593"/>
    <w:rsid w:val="001A4C9A"/>
    <w:rsid w:val="001A51FB"/>
    <w:rsid w:val="001B5804"/>
    <w:rsid w:val="001B5E00"/>
    <w:rsid w:val="001B6607"/>
    <w:rsid w:val="001B67A0"/>
    <w:rsid w:val="001B6A25"/>
    <w:rsid w:val="001B6FFA"/>
    <w:rsid w:val="001B7CAB"/>
    <w:rsid w:val="001C2B16"/>
    <w:rsid w:val="001C5BFF"/>
    <w:rsid w:val="001C66A4"/>
    <w:rsid w:val="001D01FD"/>
    <w:rsid w:val="001D460D"/>
    <w:rsid w:val="001D5564"/>
    <w:rsid w:val="001E06DF"/>
    <w:rsid w:val="001E1429"/>
    <w:rsid w:val="001E42D5"/>
    <w:rsid w:val="001E6B7D"/>
    <w:rsid w:val="001E78C8"/>
    <w:rsid w:val="001F004E"/>
    <w:rsid w:val="001F2B52"/>
    <w:rsid w:val="001F6093"/>
    <w:rsid w:val="0020442B"/>
    <w:rsid w:val="002044C0"/>
    <w:rsid w:val="002049AF"/>
    <w:rsid w:val="002077CA"/>
    <w:rsid w:val="00207EBB"/>
    <w:rsid w:val="00210261"/>
    <w:rsid w:val="00225D47"/>
    <w:rsid w:val="00225DE7"/>
    <w:rsid w:val="0022786F"/>
    <w:rsid w:val="00233ED8"/>
    <w:rsid w:val="0023521A"/>
    <w:rsid w:val="002359D5"/>
    <w:rsid w:val="002370F4"/>
    <w:rsid w:val="0024261D"/>
    <w:rsid w:val="0024444A"/>
    <w:rsid w:val="00251125"/>
    <w:rsid w:val="00251C91"/>
    <w:rsid w:val="002605BB"/>
    <w:rsid w:val="002608DC"/>
    <w:rsid w:val="00266CCD"/>
    <w:rsid w:val="002671AE"/>
    <w:rsid w:val="00267932"/>
    <w:rsid w:val="002713C2"/>
    <w:rsid w:val="00272948"/>
    <w:rsid w:val="00275F4C"/>
    <w:rsid w:val="00280092"/>
    <w:rsid w:val="00281026"/>
    <w:rsid w:val="00284530"/>
    <w:rsid w:val="002933C5"/>
    <w:rsid w:val="0029398F"/>
    <w:rsid w:val="0029474B"/>
    <w:rsid w:val="00295D63"/>
    <w:rsid w:val="002A1509"/>
    <w:rsid w:val="002A2188"/>
    <w:rsid w:val="002A23D3"/>
    <w:rsid w:val="002A2594"/>
    <w:rsid w:val="002A27E8"/>
    <w:rsid w:val="002A3836"/>
    <w:rsid w:val="002A666E"/>
    <w:rsid w:val="002B0C7B"/>
    <w:rsid w:val="002B14D5"/>
    <w:rsid w:val="002B550C"/>
    <w:rsid w:val="002B6439"/>
    <w:rsid w:val="002C30A0"/>
    <w:rsid w:val="002C3386"/>
    <w:rsid w:val="002C484D"/>
    <w:rsid w:val="002C7082"/>
    <w:rsid w:val="002C7C2B"/>
    <w:rsid w:val="002D0468"/>
    <w:rsid w:val="002D1C78"/>
    <w:rsid w:val="002D280C"/>
    <w:rsid w:val="002D3B3B"/>
    <w:rsid w:val="002D681D"/>
    <w:rsid w:val="002E259E"/>
    <w:rsid w:val="002E35A4"/>
    <w:rsid w:val="002E708C"/>
    <w:rsid w:val="002E730D"/>
    <w:rsid w:val="002E7CCD"/>
    <w:rsid w:val="002F1C0E"/>
    <w:rsid w:val="002F1C69"/>
    <w:rsid w:val="003002BF"/>
    <w:rsid w:val="003028FA"/>
    <w:rsid w:val="003058B6"/>
    <w:rsid w:val="00311F7B"/>
    <w:rsid w:val="00312437"/>
    <w:rsid w:val="0031516E"/>
    <w:rsid w:val="00316958"/>
    <w:rsid w:val="00316A1B"/>
    <w:rsid w:val="0032570B"/>
    <w:rsid w:val="00325974"/>
    <w:rsid w:val="00326621"/>
    <w:rsid w:val="0032738B"/>
    <w:rsid w:val="0033198C"/>
    <w:rsid w:val="00331FB9"/>
    <w:rsid w:val="0033435B"/>
    <w:rsid w:val="003367E9"/>
    <w:rsid w:val="00337458"/>
    <w:rsid w:val="00341276"/>
    <w:rsid w:val="003421EE"/>
    <w:rsid w:val="0034614C"/>
    <w:rsid w:val="00346A99"/>
    <w:rsid w:val="00346F97"/>
    <w:rsid w:val="003470DF"/>
    <w:rsid w:val="0035026A"/>
    <w:rsid w:val="00350BE1"/>
    <w:rsid w:val="00362C13"/>
    <w:rsid w:val="003632D1"/>
    <w:rsid w:val="00366599"/>
    <w:rsid w:val="003671E8"/>
    <w:rsid w:val="00373593"/>
    <w:rsid w:val="00375540"/>
    <w:rsid w:val="00377B6C"/>
    <w:rsid w:val="00381984"/>
    <w:rsid w:val="00383692"/>
    <w:rsid w:val="003857AC"/>
    <w:rsid w:val="00385C08"/>
    <w:rsid w:val="003861F2"/>
    <w:rsid w:val="00386CB7"/>
    <w:rsid w:val="00391B12"/>
    <w:rsid w:val="0039280A"/>
    <w:rsid w:val="00393CEF"/>
    <w:rsid w:val="0039536B"/>
    <w:rsid w:val="003977C8"/>
    <w:rsid w:val="003A0005"/>
    <w:rsid w:val="003A0B41"/>
    <w:rsid w:val="003A4AC2"/>
    <w:rsid w:val="003B36C2"/>
    <w:rsid w:val="003B46E3"/>
    <w:rsid w:val="003B4770"/>
    <w:rsid w:val="003B5737"/>
    <w:rsid w:val="003B5A8D"/>
    <w:rsid w:val="003B684A"/>
    <w:rsid w:val="003D001C"/>
    <w:rsid w:val="003D32D3"/>
    <w:rsid w:val="003D5263"/>
    <w:rsid w:val="003D5461"/>
    <w:rsid w:val="003D54FC"/>
    <w:rsid w:val="003D6B90"/>
    <w:rsid w:val="003E0B23"/>
    <w:rsid w:val="003E0F70"/>
    <w:rsid w:val="003E57C8"/>
    <w:rsid w:val="003E6104"/>
    <w:rsid w:val="003E6410"/>
    <w:rsid w:val="003E6BA6"/>
    <w:rsid w:val="003F3702"/>
    <w:rsid w:val="003F3F8C"/>
    <w:rsid w:val="003F5878"/>
    <w:rsid w:val="003F6005"/>
    <w:rsid w:val="003F7065"/>
    <w:rsid w:val="003F73A8"/>
    <w:rsid w:val="00400965"/>
    <w:rsid w:val="00400CDF"/>
    <w:rsid w:val="00402F39"/>
    <w:rsid w:val="0040487D"/>
    <w:rsid w:val="0040707C"/>
    <w:rsid w:val="004071D2"/>
    <w:rsid w:val="00410BC0"/>
    <w:rsid w:val="004157F2"/>
    <w:rsid w:val="00417664"/>
    <w:rsid w:val="0041770E"/>
    <w:rsid w:val="00417E23"/>
    <w:rsid w:val="0042673B"/>
    <w:rsid w:val="00427108"/>
    <w:rsid w:val="00427FB7"/>
    <w:rsid w:val="00431A3A"/>
    <w:rsid w:val="0043236E"/>
    <w:rsid w:val="00435416"/>
    <w:rsid w:val="004357E3"/>
    <w:rsid w:val="00435F11"/>
    <w:rsid w:val="004369D2"/>
    <w:rsid w:val="00437C27"/>
    <w:rsid w:val="00440C04"/>
    <w:rsid w:val="00442F39"/>
    <w:rsid w:val="0044391E"/>
    <w:rsid w:val="00444D29"/>
    <w:rsid w:val="0044521A"/>
    <w:rsid w:val="00446576"/>
    <w:rsid w:val="004531E0"/>
    <w:rsid w:val="0045603E"/>
    <w:rsid w:val="00457C69"/>
    <w:rsid w:val="00460AA9"/>
    <w:rsid w:val="00460DC4"/>
    <w:rsid w:val="004649E2"/>
    <w:rsid w:val="00467825"/>
    <w:rsid w:val="0046791C"/>
    <w:rsid w:val="00470816"/>
    <w:rsid w:val="004710AF"/>
    <w:rsid w:val="004734D9"/>
    <w:rsid w:val="00473BA4"/>
    <w:rsid w:val="00473C4F"/>
    <w:rsid w:val="004757DE"/>
    <w:rsid w:val="00477D05"/>
    <w:rsid w:val="00477EC9"/>
    <w:rsid w:val="004832C1"/>
    <w:rsid w:val="004848A8"/>
    <w:rsid w:val="004850F1"/>
    <w:rsid w:val="004854D9"/>
    <w:rsid w:val="004856B2"/>
    <w:rsid w:val="00485D27"/>
    <w:rsid w:val="0048636C"/>
    <w:rsid w:val="00486BF3"/>
    <w:rsid w:val="00492B39"/>
    <w:rsid w:val="00492D3C"/>
    <w:rsid w:val="00493BF0"/>
    <w:rsid w:val="00497EBC"/>
    <w:rsid w:val="004A05A4"/>
    <w:rsid w:val="004A0E99"/>
    <w:rsid w:val="004A49EE"/>
    <w:rsid w:val="004B2DE9"/>
    <w:rsid w:val="004B3E9E"/>
    <w:rsid w:val="004B62D2"/>
    <w:rsid w:val="004B6DF1"/>
    <w:rsid w:val="004B75F0"/>
    <w:rsid w:val="004B78B8"/>
    <w:rsid w:val="004B7CA6"/>
    <w:rsid w:val="004C10B4"/>
    <w:rsid w:val="004C5624"/>
    <w:rsid w:val="004C6A2A"/>
    <w:rsid w:val="004C71C2"/>
    <w:rsid w:val="004C7F8F"/>
    <w:rsid w:val="004D0A64"/>
    <w:rsid w:val="004D0D95"/>
    <w:rsid w:val="004D73C5"/>
    <w:rsid w:val="004D791B"/>
    <w:rsid w:val="004E0F9A"/>
    <w:rsid w:val="004E11D7"/>
    <w:rsid w:val="004E33F1"/>
    <w:rsid w:val="004E4BF4"/>
    <w:rsid w:val="004E50D6"/>
    <w:rsid w:val="004E539E"/>
    <w:rsid w:val="004F053A"/>
    <w:rsid w:val="004F1255"/>
    <w:rsid w:val="004F1BB1"/>
    <w:rsid w:val="004F1DEE"/>
    <w:rsid w:val="004F429E"/>
    <w:rsid w:val="004F5262"/>
    <w:rsid w:val="004F5CE0"/>
    <w:rsid w:val="004F5F7B"/>
    <w:rsid w:val="004F6AAF"/>
    <w:rsid w:val="004F7BD8"/>
    <w:rsid w:val="005018BF"/>
    <w:rsid w:val="00501AF9"/>
    <w:rsid w:val="00503872"/>
    <w:rsid w:val="00504533"/>
    <w:rsid w:val="00504A0E"/>
    <w:rsid w:val="00504D86"/>
    <w:rsid w:val="005050AC"/>
    <w:rsid w:val="0050549B"/>
    <w:rsid w:val="00505FC4"/>
    <w:rsid w:val="00513C64"/>
    <w:rsid w:val="00514DF5"/>
    <w:rsid w:val="00515C76"/>
    <w:rsid w:val="00516549"/>
    <w:rsid w:val="00517150"/>
    <w:rsid w:val="005204C2"/>
    <w:rsid w:val="005229CE"/>
    <w:rsid w:val="00530403"/>
    <w:rsid w:val="00531FBE"/>
    <w:rsid w:val="00532BB0"/>
    <w:rsid w:val="0053602A"/>
    <w:rsid w:val="005362E0"/>
    <w:rsid w:val="00536BDD"/>
    <w:rsid w:val="005376CB"/>
    <w:rsid w:val="00544D50"/>
    <w:rsid w:val="0054550B"/>
    <w:rsid w:val="00550297"/>
    <w:rsid w:val="00551545"/>
    <w:rsid w:val="0055163A"/>
    <w:rsid w:val="00552B03"/>
    <w:rsid w:val="00554619"/>
    <w:rsid w:val="00555960"/>
    <w:rsid w:val="005568D5"/>
    <w:rsid w:val="00563D50"/>
    <w:rsid w:val="00565F03"/>
    <w:rsid w:val="00570141"/>
    <w:rsid w:val="005765C3"/>
    <w:rsid w:val="00576EE9"/>
    <w:rsid w:val="0057735F"/>
    <w:rsid w:val="005778C7"/>
    <w:rsid w:val="00582E11"/>
    <w:rsid w:val="0058358B"/>
    <w:rsid w:val="00584675"/>
    <w:rsid w:val="00585253"/>
    <w:rsid w:val="00585648"/>
    <w:rsid w:val="00586503"/>
    <w:rsid w:val="00586CF0"/>
    <w:rsid w:val="00590F82"/>
    <w:rsid w:val="005934FB"/>
    <w:rsid w:val="005A0FA4"/>
    <w:rsid w:val="005A25CA"/>
    <w:rsid w:val="005A3111"/>
    <w:rsid w:val="005A76E5"/>
    <w:rsid w:val="005A778E"/>
    <w:rsid w:val="005B54BB"/>
    <w:rsid w:val="005B5BB2"/>
    <w:rsid w:val="005B63C1"/>
    <w:rsid w:val="005C5922"/>
    <w:rsid w:val="005C65E8"/>
    <w:rsid w:val="005C7583"/>
    <w:rsid w:val="005D1456"/>
    <w:rsid w:val="005D1638"/>
    <w:rsid w:val="005D2A9F"/>
    <w:rsid w:val="005D60DD"/>
    <w:rsid w:val="005D75EE"/>
    <w:rsid w:val="005E2F82"/>
    <w:rsid w:val="005E53F7"/>
    <w:rsid w:val="005F11E0"/>
    <w:rsid w:val="005F1349"/>
    <w:rsid w:val="005F148C"/>
    <w:rsid w:val="005F4B45"/>
    <w:rsid w:val="005F4B55"/>
    <w:rsid w:val="005F56B2"/>
    <w:rsid w:val="00601A1B"/>
    <w:rsid w:val="0060316A"/>
    <w:rsid w:val="0060466F"/>
    <w:rsid w:val="006115B5"/>
    <w:rsid w:val="00615431"/>
    <w:rsid w:val="0062037B"/>
    <w:rsid w:val="00621ACC"/>
    <w:rsid w:val="00630726"/>
    <w:rsid w:val="00637273"/>
    <w:rsid w:val="00641B74"/>
    <w:rsid w:val="006453C0"/>
    <w:rsid w:val="00647AEE"/>
    <w:rsid w:val="00650033"/>
    <w:rsid w:val="00651449"/>
    <w:rsid w:val="00652ED5"/>
    <w:rsid w:val="006603F9"/>
    <w:rsid w:val="00660E60"/>
    <w:rsid w:val="006616F6"/>
    <w:rsid w:val="0066418F"/>
    <w:rsid w:val="00665EBA"/>
    <w:rsid w:val="00666E5D"/>
    <w:rsid w:val="006704E4"/>
    <w:rsid w:val="0067060D"/>
    <w:rsid w:val="0067663E"/>
    <w:rsid w:val="00680A82"/>
    <w:rsid w:val="006859F9"/>
    <w:rsid w:val="00693653"/>
    <w:rsid w:val="0069382D"/>
    <w:rsid w:val="00694105"/>
    <w:rsid w:val="0069583E"/>
    <w:rsid w:val="00696F0F"/>
    <w:rsid w:val="006A008D"/>
    <w:rsid w:val="006A1077"/>
    <w:rsid w:val="006A4B64"/>
    <w:rsid w:val="006A5F94"/>
    <w:rsid w:val="006A636C"/>
    <w:rsid w:val="006A6DC4"/>
    <w:rsid w:val="006C26EF"/>
    <w:rsid w:val="006C282F"/>
    <w:rsid w:val="006C28E8"/>
    <w:rsid w:val="006C2D3B"/>
    <w:rsid w:val="006C39B2"/>
    <w:rsid w:val="006D0029"/>
    <w:rsid w:val="006D33B8"/>
    <w:rsid w:val="006D4722"/>
    <w:rsid w:val="006D484E"/>
    <w:rsid w:val="006E1CEB"/>
    <w:rsid w:val="006E3440"/>
    <w:rsid w:val="006E6272"/>
    <w:rsid w:val="006E6D6B"/>
    <w:rsid w:val="006E7155"/>
    <w:rsid w:val="006F1AD3"/>
    <w:rsid w:val="006F404F"/>
    <w:rsid w:val="00702944"/>
    <w:rsid w:val="0070531E"/>
    <w:rsid w:val="0070702B"/>
    <w:rsid w:val="00707C3F"/>
    <w:rsid w:val="007134AC"/>
    <w:rsid w:val="0072118B"/>
    <w:rsid w:val="0072160B"/>
    <w:rsid w:val="007224F7"/>
    <w:rsid w:val="0072406C"/>
    <w:rsid w:val="00724770"/>
    <w:rsid w:val="00724EAD"/>
    <w:rsid w:val="007300F4"/>
    <w:rsid w:val="007308D3"/>
    <w:rsid w:val="00732DCE"/>
    <w:rsid w:val="0073373B"/>
    <w:rsid w:val="00734447"/>
    <w:rsid w:val="00736579"/>
    <w:rsid w:val="00737BB1"/>
    <w:rsid w:val="00741AD4"/>
    <w:rsid w:val="007427CE"/>
    <w:rsid w:val="00742D07"/>
    <w:rsid w:val="00742DA4"/>
    <w:rsid w:val="00744237"/>
    <w:rsid w:val="007474DB"/>
    <w:rsid w:val="0075116B"/>
    <w:rsid w:val="007519C2"/>
    <w:rsid w:val="00753557"/>
    <w:rsid w:val="00757FB9"/>
    <w:rsid w:val="007607C3"/>
    <w:rsid w:val="00761BD3"/>
    <w:rsid w:val="007632DA"/>
    <w:rsid w:val="00764E6A"/>
    <w:rsid w:val="0076572B"/>
    <w:rsid w:val="00766646"/>
    <w:rsid w:val="00766790"/>
    <w:rsid w:val="00767808"/>
    <w:rsid w:val="00770F3C"/>
    <w:rsid w:val="00772FCC"/>
    <w:rsid w:val="00775EFE"/>
    <w:rsid w:val="0077768C"/>
    <w:rsid w:val="00782489"/>
    <w:rsid w:val="00783E37"/>
    <w:rsid w:val="00783FDB"/>
    <w:rsid w:val="00784262"/>
    <w:rsid w:val="00791A65"/>
    <w:rsid w:val="00793030"/>
    <w:rsid w:val="007934DC"/>
    <w:rsid w:val="00793D9C"/>
    <w:rsid w:val="00793F6A"/>
    <w:rsid w:val="0079416E"/>
    <w:rsid w:val="007A00E6"/>
    <w:rsid w:val="007A1D6A"/>
    <w:rsid w:val="007A3C6A"/>
    <w:rsid w:val="007B149C"/>
    <w:rsid w:val="007B307A"/>
    <w:rsid w:val="007B35D4"/>
    <w:rsid w:val="007B42E7"/>
    <w:rsid w:val="007B49C6"/>
    <w:rsid w:val="007B49ED"/>
    <w:rsid w:val="007B617A"/>
    <w:rsid w:val="007C032D"/>
    <w:rsid w:val="007C2FC5"/>
    <w:rsid w:val="007C3730"/>
    <w:rsid w:val="007C4A95"/>
    <w:rsid w:val="007D020B"/>
    <w:rsid w:val="007D0AFD"/>
    <w:rsid w:val="007D2A3D"/>
    <w:rsid w:val="007D353F"/>
    <w:rsid w:val="007D4065"/>
    <w:rsid w:val="007D4822"/>
    <w:rsid w:val="007E0BA1"/>
    <w:rsid w:val="007E0D90"/>
    <w:rsid w:val="007E585F"/>
    <w:rsid w:val="007F0728"/>
    <w:rsid w:val="007F4240"/>
    <w:rsid w:val="007F76A7"/>
    <w:rsid w:val="00804FBA"/>
    <w:rsid w:val="00807D21"/>
    <w:rsid w:val="00813F42"/>
    <w:rsid w:val="00814359"/>
    <w:rsid w:val="00814D84"/>
    <w:rsid w:val="00816F2C"/>
    <w:rsid w:val="00820600"/>
    <w:rsid w:val="008221BD"/>
    <w:rsid w:val="00822C4A"/>
    <w:rsid w:val="008251B2"/>
    <w:rsid w:val="00830CDD"/>
    <w:rsid w:val="00834DFE"/>
    <w:rsid w:val="0083501C"/>
    <w:rsid w:val="008351DD"/>
    <w:rsid w:val="00835AC8"/>
    <w:rsid w:val="00835D6A"/>
    <w:rsid w:val="00842606"/>
    <w:rsid w:val="008479C7"/>
    <w:rsid w:val="00851608"/>
    <w:rsid w:val="00861405"/>
    <w:rsid w:val="00864800"/>
    <w:rsid w:val="00865B73"/>
    <w:rsid w:val="0087071A"/>
    <w:rsid w:val="00873527"/>
    <w:rsid w:val="008806F2"/>
    <w:rsid w:val="008850C9"/>
    <w:rsid w:val="008872DD"/>
    <w:rsid w:val="00892A1F"/>
    <w:rsid w:val="008930FB"/>
    <w:rsid w:val="00893308"/>
    <w:rsid w:val="00893DF4"/>
    <w:rsid w:val="008952D5"/>
    <w:rsid w:val="00895FF5"/>
    <w:rsid w:val="00896431"/>
    <w:rsid w:val="00896835"/>
    <w:rsid w:val="008A03CD"/>
    <w:rsid w:val="008A0611"/>
    <w:rsid w:val="008A0B4B"/>
    <w:rsid w:val="008A1DAB"/>
    <w:rsid w:val="008A451E"/>
    <w:rsid w:val="008A4E5A"/>
    <w:rsid w:val="008A5BD8"/>
    <w:rsid w:val="008A67AB"/>
    <w:rsid w:val="008B18E3"/>
    <w:rsid w:val="008B2385"/>
    <w:rsid w:val="008B40D1"/>
    <w:rsid w:val="008B4C54"/>
    <w:rsid w:val="008B7BFC"/>
    <w:rsid w:val="008C7D4A"/>
    <w:rsid w:val="008D0547"/>
    <w:rsid w:val="008D18D0"/>
    <w:rsid w:val="008D5A92"/>
    <w:rsid w:val="008D72D9"/>
    <w:rsid w:val="008D7B08"/>
    <w:rsid w:val="008E0099"/>
    <w:rsid w:val="008E588C"/>
    <w:rsid w:val="008E648A"/>
    <w:rsid w:val="008E6CD3"/>
    <w:rsid w:val="008F02BA"/>
    <w:rsid w:val="008F0727"/>
    <w:rsid w:val="008F4552"/>
    <w:rsid w:val="008F57C7"/>
    <w:rsid w:val="008F5F85"/>
    <w:rsid w:val="00900610"/>
    <w:rsid w:val="00901291"/>
    <w:rsid w:val="00902518"/>
    <w:rsid w:val="00902A17"/>
    <w:rsid w:val="00902B75"/>
    <w:rsid w:val="00912FEF"/>
    <w:rsid w:val="009144B3"/>
    <w:rsid w:val="009145AA"/>
    <w:rsid w:val="00915DEE"/>
    <w:rsid w:val="00916C04"/>
    <w:rsid w:val="009207B4"/>
    <w:rsid w:val="00921DFA"/>
    <w:rsid w:val="0092266A"/>
    <w:rsid w:val="0092661C"/>
    <w:rsid w:val="00926F92"/>
    <w:rsid w:val="00934888"/>
    <w:rsid w:val="0094049B"/>
    <w:rsid w:val="00943560"/>
    <w:rsid w:val="00946A3D"/>
    <w:rsid w:val="009507AE"/>
    <w:rsid w:val="009511AC"/>
    <w:rsid w:val="00951FF5"/>
    <w:rsid w:val="009525BB"/>
    <w:rsid w:val="009560CE"/>
    <w:rsid w:val="00961B7C"/>
    <w:rsid w:val="0096329F"/>
    <w:rsid w:val="0096681A"/>
    <w:rsid w:val="00966F17"/>
    <w:rsid w:val="00970FF2"/>
    <w:rsid w:val="00971CC3"/>
    <w:rsid w:val="00972C37"/>
    <w:rsid w:val="009767BB"/>
    <w:rsid w:val="00977F56"/>
    <w:rsid w:val="009800DC"/>
    <w:rsid w:val="00980E6B"/>
    <w:rsid w:val="00981056"/>
    <w:rsid w:val="00982A42"/>
    <w:rsid w:val="00992D67"/>
    <w:rsid w:val="00994438"/>
    <w:rsid w:val="00995D6B"/>
    <w:rsid w:val="00997575"/>
    <w:rsid w:val="009A2FEB"/>
    <w:rsid w:val="009A4863"/>
    <w:rsid w:val="009A624F"/>
    <w:rsid w:val="009A7580"/>
    <w:rsid w:val="009B3934"/>
    <w:rsid w:val="009C28AE"/>
    <w:rsid w:val="009C4A1C"/>
    <w:rsid w:val="009D011D"/>
    <w:rsid w:val="009D0698"/>
    <w:rsid w:val="009D1A13"/>
    <w:rsid w:val="009D381D"/>
    <w:rsid w:val="009D4785"/>
    <w:rsid w:val="009D586E"/>
    <w:rsid w:val="009D6CE8"/>
    <w:rsid w:val="009E0703"/>
    <w:rsid w:val="009E0BD4"/>
    <w:rsid w:val="009E0D72"/>
    <w:rsid w:val="009E119B"/>
    <w:rsid w:val="009E254D"/>
    <w:rsid w:val="009E3C7C"/>
    <w:rsid w:val="009F4FDB"/>
    <w:rsid w:val="009F7BC5"/>
    <w:rsid w:val="00A02198"/>
    <w:rsid w:val="00A02723"/>
    <w:rsid w:val="00A06853"/>
    <w:rsid w:val="00A109DB"/>
    <w:rsid w:val="00A13B6C"/>
    <w:rsid w:val="00A13C14"/>
    <w:rsid w:val="00A14315"/>
    <w:rsid w:val="00A223FC"/>
    <w:rsid w:val="00A22F39"/>
    <w:rsid w:val="00A23AD8"/>
    <w:rsid w:val="00A26DFC"/>
    <w:rsid w:val="00A272A6"/>
    <w:rsid w:val="00A3131A"/>
    <w:rsid w:val="00A31A69"/>
    <w:rsid w:val="00A344AD"/>
    <w:rsid w:val="00A34729"/>
    <w:rsid w:val="00A41C35"/>
    <w:rsid w:val="00A4311F"/>
    <w:rsid w:val="00A502FB"/>
    <w:rsid w:val="00A50DFC"/>
    <w:rsid w:val="00A51630"/>
    <w:rsid w:val="00A562D2"/>
    <w:rsid w:val="00A56557"/>
    <w:rsid w:val="00A6021D"/>
    <w:rsid w:val="00A60552"/>
    <w:rsid w:val="00A64140"/>
    <w:rsid w:val="00A66785"/>
    <w:rsid w:val="00A71BF9"/>
    <w:rsid w:val="00A7352B"/>
    <w:rsid w:val="00A73933"/>
    <w:rsid w:val="00A74AD3"/>
    <w:rsid w:val="00A77240"/>
    <w:rsid w:val="00A80BAD"/>
    <w:rsid w:val="00A8248E"/>
    <w:rsid w:val="00A836F3"/>
    <w:rsid w:val="00A8424C"/>
    <w:rsid w:val="00A8661A"/>
    <w:rsid w:val="00A8699E"/>
    <w:rsid w:val="00A94FA8"/>
    <w:rsid w:val="00A979A6"/>
    <w:rsid w:val="00AA1DA4"/>
    <w:rsid w:val="00AA2F30"/>
    <w:rsid w:val="00AB03AA"/>
    <w:rsid w:val="00AB0546"/>
    <w:rsid w:val="00AB1068"/>
    <w:rsid w:val="00AB2F8F"/>
    <w:rsid w:val="00AB3716"/>
    <w:rsid w:val="00AB563B"/>
    <w:rsid w:val="00AC1795"/>
    <w:rsid w:val="00AC4C0C"/>
    <w:rsid w:val="00AC55A3"/>
    <w:rsid w:val="00AC68FA"/>
    <w:rsid w:val="00AC75E9"/>
    <w:rsid w:val="00AC7D5A"/>
    <w:rsid w:val="00AD20C0"/>
    <w:rsid w:val="00AE1616"/>
    <w:rsid w:val="00AE1A9B"/>
    <w:rsid w:val="00AE33DC"/>
    <w:rsid w:val="00AE376F"/>
    <w:rsid w:val="00AE40BA"/>
    <w:rsid w:val="00AF70E1"/>
    <w:rsid w:val="00B04114"/>
    <w:rsid w:val="00B04263"/>
    <w:rsid w:val="00B054B8"/>
    <w:rsid w:val="00B1395E"/>
    <w:rsid w:val="00B1534E"/>
    <w:rsid w:val="00B15A8C"/>
    <w:rsid w:val="00B201F4"/>
    <w:rsid w:val="00B2063E"/>
    <w:rsid w:val="00B23BB8"/>
    <w:rsid w:val="00B26691"/>
    <w:rsid w:val="00B3048B"/>
    <w:rsid w:val="00B3067C"/>
    <w:rsid w:val="00B35D43"/>
    <w:rsid w:val="00B3610C"/>
    <w:rsid w:val="00B36813"/>
    <w:rsid w:val="00B371A5"/>
    <w:rsid w:val="00B37946"/>
    <w:rsid w:val="00B37CC6"/>
    <w:rsid w:val="00B42927"/>
    <w:rsid w:val="00B460DD"/>
    <w:rsid w:val="00B4610E"/>
    <w:rsid w:val="00B5031E"/>
    <w:rsid w:val="00B5125F"/>
    <w:rsid w:val="00B5282A"/>
    <w:rsid w:val="00B557D5"/>
    <w:rsid w:val="00B56ABA"/>
    <w:rsid w:val="00B60917"/>
    <w:rsid w:val="00B60E25"/>
    <w:rsid w:val="00B73E8E"/>
    <w:rsid w:val="00B74AEE"/>
    <w:rsid w:val="00B75B4C"/>
    <w:rsid w:val="00B773DA"/>
    <w:rsid w:val="00B82571"/>
    <w:rsid w:val="00B8325E"/>
    <w:rsid w:val="00B84F66"/>
    <w:rsid w:val="00B8602A"/>
    <w:rsid w:val="00B86626"/>
    <w:rsid w:val="00B920E6"/>
    <w:rsid w:val="00B96DD8"/>
    <w:rsid w:val="00BA2001"/>
    <w:rsid w:val="00BA23BD"/>
    <w:rsid w:val="00BA2C8E"/>
    <w:rsid w:val="00BA6133"/>
    <w:rsid w:val="00BB4CEC"/>
    <w:rsid w:val="00BB6919"/>
    <w:rsid w:val="00BB7248"/>
    <w:rsid w:val="00BC46B9"/>
    <w:rsid w:val="00BC5D74"/>
    <w:rsid w:val="00BC6134"/>
    <w:rsid w:val="00BC633A"/>
    <w:rsid w:val="00BD063F"/>
    <w:rsid w:val="00BD0726"/>
    <w:rsid w:val="00BD1B3E"/>
    <w:rsid w:val="00BD5FD0"/>
    <w:rsid w:val="00BD6B49"/>
    <w:rsid w:val="00BE2224"/>
    <w:rsid w:val="00BE23A8"/>
    <w:rsid w:val="00BE55C2"/>
    <w:rsid w:val="00BE63E4"/>
    <w:rsid w:val="00BF1D90"/>
    <w:rsid w:val="00BF23CA"/>
    <w:rsid w:val="00BF5D2A"/>
    <w:rsid w:val="00BF63A2"/>
    <w:rsid w:val="00C00CBB"/>
    <w:rsid w:val="00C04895"/>
    <w:rsid w:val="00C069D2"/>
    <w:rsid w:val="00C1111D"/>
    <w:rsid w:val="00C11655"/>
    <w:rsid w:val="00C12D0E"/>
    <w:rsid w:val="00C13666"/>
    <w:rsid w:val="00C14B18"/>
    <w:rsid w:val="00C1521C"/>
    <w:rsid w:val="00C17927"/>
    <w:rsid w:val="00C21994"/>
    <w:rsid w:val="00C25234"/>
    <w:rsid w:val="00C256EC"/>
    <w:rsid w:val="00C26F0A"/>
    <w:rsid w:val="00C30B13"/>
    <w:rsid w:val="00C32C59"/>
    <w:rsid w:val="00C411DB"/>
    <w:rsid w:val="00C44E30"/>
    <w:rsid w:val="00C4515B"/>
    <w:rsid w:val="00C525D9"/>
    <w:rsid w:val="00C56902"/>
    <w:rsid w:val="00C61136"/>
    <w:rsid w:val="00C61D7C"/>
    <w:rsid w:val="00C621FF"/>
    <w:rsid w:val="00C65A42"/>
    <w:rsid w:val="00C708E1"/>
    <w:rsid w:val="00C70C36"/>
    <w:rsid w:val="00C77882"/>
    <w:rsid w:val="00C77BFD"/>
    <w:rsid w:val="00C80779"/>
    <w:rsid w:val="00C80D2C"/>
    <w:rsid w:val="00C82615"/>
    <w:rsid w:val="00C840C3"/>
    <w:rsid w:val="00C85630"/>
    <w:rsid w:val="00C856BF"/>
    <w:rsid w:val="00C87C02"/>
    <w:rsid w:val="00C901C9"/>
    <w:rsid w:val="00C929DC"/>
    <w:rsid w:val="00C950B9"/>
    <w:rsid w:val="00C962B1"/>
    <w:rsid w:val="00C962C7"/>
    <w:rsid w:val="00C9738A"/>
    <w:rsid w:val="00CA0D2E"/>
    <w:rsid w:val="00CA1CAC"/>
    <w:rsid w:val="00CA477B"/>
    <w:rsid w:val="00CA4FD6"/>
    <w:rsid w:val="00CA5213"/>
    <w:rsid w:val="00CA72E7"/>
    <w:rsid w:val="00CA771E"/>
    <w:rsid w:val="00CA7EDF"/>
    <w:rsid w:val="00CB0E23"/>
    <w:rsid w:val="00CB22D1"/>
    <w:rsid w:val="00CB451A"/>
    <w:rsid w:val="00CB6045"/>
    <w:rsid w:val="00CB7C37"/>
    <w:rsid w:val="00CB7EA4"/>
    <w:rsid w:val="00CC0341"/>
    <w:rsid w:val="00CC424F"/>
    <w:rsid w:val="00CC4875"/>
    <w:rsid w:val="00CC5FE6"/>
    <w:rsid w:val="00CD0380"/>
    <w:rsid w:val="00CD1BD2"/>
    <w:rsid w:val="00CD1E24"/>
    <w:rsid w:val="00CD2DD9"/>
    <w:rsid w:val="00CD67EE"/>
    <w:rsid w:val="00CE1096"/>
    <w:rsid w:val="00CE4FBD"/>
    <w:rsid w:val="00CF3445"/>
    <w:rsid w:val="00CF3742"/>
    <w:rsid w:val="00D0168D"/>
    <w:rsid w:val="00D01C80"/>
    <w:rsid w:val="00D01DEB"/>
    <w:rsid w:val="00D026EB"/>
    <w:rsid w:val="00D033C7"/>
    <w:rsid w:val="00D04736"/>
    <w:rsid w:val="00D0690D"/>
    <w:rsid w:val="00D128FF"/>
    <w:rsid w:val="00D13EF4"/>
    <w:rsid w:val="00D150C7"/>
    <w:rsid w:val="00D15C1E"/>
    <w:rsid w:val="00D16150"/>
    <w:rsid w:val="00D173E4"/>
    <w:rsid w:val="00D2281E"/>
    <w:rsid w:val="00D23607"/>
    <w:rsid w:val="00D24055"/>
    <w:rsid w:val="00D24314"/>
    <w:rsid w:val="00D27168"/>
    <w:rsid w:val="00D30412"/>
    <w:rsid w:val="00D33751"/>
    <w:rsid w:val="00D34187"/>
    <w:rsid w:val="00D41556"/>
    <w:rsid w:val="00D41BEC"/>
    <w:rsid w:val="00D4302F"/>
    <w:rsid w:val="00D441EF"/>
    <w:rsid w:val="00D44B6E"/>
    <w:rsid w:val="00D560EA"/>
    <w:rsid w:val="00D56839"/>
    <w:rsid w:val="00D606F1"/>
    <w:rsid w:val="00D61561"/>
    <w:rsid w:val="00D625B4"/>
    <w:rsid w:val="00D677AF"/>
    <w:rsid w:val="00D74B2C"/>
    <w:rsid w:val="00D77A2E"/>
    <w:rsid w:val="00D823F3"/>
    <w:rsid w:val="00D867D1"/>
    <w:rsid w:val="00D86E87"/>
    <w:rsid w:val="00D9006E"/>
    <w:rsid w:val="00D90CD8"/>
    <w:rsid w:val="00D90E75"/>
    <w:rsid w:val="00D91B7B"/>
    <w:rsid w:val="00D91CBB"/>
    <w:rsid w:val="00D942A8"/>
    <w:rsid w:val="00D9769D"/>
    <w:rsid w:val="00DA5539"/>
    <w:rsid w:val="00DB07A4"/>
    <w:rsid w:val="00DB4439"/>
    <w:rsid w:val="00DB698A"/>
    <w:rsid w:val="00DC1FEA"/>
    <w:rsid w:val="00DC526D"/>
    <w:rsid w:val="00DC5429"/>
    <w:rsid w:val="00DC5B68"/>
    <w:rsid w:val="00DC5CB7"/>
    <w:rsid w:val="00DD088C"/>
    <w:rsid w:val="00DD0E29"/>
    <w:rsid w:val="00DD2E3D"/>
    <w:rsid w:val="00DD4751"/>
    <w:rsid w:val="00DD4D32"/>
    <w:rsid w:val="00DD5FC0"/>
    <w:rsid w:val="00DD6A4F"/>
    <w:rsid w:val="00DE3277"/>
    <w:rsid w:val="00DE77FA"/>
    <w:rsid w:val="00DE7AB0"/>
    <w:rsid w:val="00DE7BBC"/>
    <w:rsid w:val="00DF7CE6"/>
    <w:rsid w:val="00E015A0"/>
    <w:rsid w:val="00E05338"/>
    <w:rsid w:val="00E06FC0"/>
    <w:rsid w:val="00E10B1F"/>
    <w:rsid w:val="00E11277"/>
    <w:rsid w:val="00E124A4"/>
    <w:rsid w:val="00E16535"/>
    <w:rsid w:val="00E16AB6"/>
    <w:rsid w:val="00E23F75"/>
    <w:rsid w:val="00E2525A"/>
    <w:rsid w:val="00E25357"/>
    <w:rsid w:val="00E30D1B"/>
    <w:rsid w:val="00E33E30"/>
    <w:rsid w:val="00E40C79"/>
    <w:rsid w:val="00E4456F"/>
    <w:rsid w:val="00E51E1F"/>
    <w:rsid w:val="00E541ED"/>
    <w:rsid w:val="00E55F0F"/>
    <w:rsid w:val="00E55FC2"/>
    <w:rsid w:val="00E635A2"/>
    <w:rsid w:val="00E63FEA"/>
    <w:rsid w:val="00E64711"/>
    <w:rsid w:val="00E66CE2"/>
    <w:rsid w:val="00E74FEE"/>
    <w:rsid w:val="00E7594F"/>
    <w:rsid w:val="00E77C5B"/>
    <w:rsid w:val="00E80FEB"/>
    <w:rsid w:val="00E8141C"/>
    <w:rsid w:val="00E816FE"/>
    <w:rsid w:val="00E82828"/>
    <w:rsid w:val="00E84271"/>
    <w:rsid w:val="00E908BC"/>
    <w:rsid w:val="00E92D5A"/>
    <w:rsid w:val="00E943A4"/>
    <w:rsid w:val="00E95E16"/>
    <w:rsid w:val="00E95E58"/>
    <w:rsid w:val="00EA292A"/>
    <w:rsid w:val="00EB23A4"/>
    <w:rsid w:val="00EB5D8D"/>
    <w:rsid w:val="00EB69AF"/>
    <w:rsid w:val="00EB7C11"/>
    <w:rsid w:val="00EC17DB"/>
    <w:rsid w:val="00EC44AB"/>
    <w:rsid w:val="00EC4F40"/>
    <w:rsid w:val="00EC60F5"/>
    <w:rsid w:val="00EC6672"/>
    <w:rsid w:val="00EC7C08"/>
    <w:rsid w:val="00ED174B"/>
    <w:rsid w:val="00ED21EB"/>
    <w:rsid w:val="00ED2407"/>
    <w:rsid w:val="00ED2D52"/>
    <w:rsid w:val="00ED3385"/>
    <w:rsid w:val="00ED5EF5"/>
    <w:rsid w:val="00ED6AAB"/>
    <w:rsid w:val="00ED76D4"/>
    <w:rsid w:val="00EE1A1B"/>
    <w:rsid w:val="00EE1B5F"/>
    <w:rsid w:val="00EE2261"/>
    <w:rsid w:val="00EE2D5E"/>
    <w:rsid w:val="00EE3D96"/>
    <w:rsid w:val="00EE7F54"/>
    <w:rsid w:val="00EF44CF"/>
    <w:rsid w:val="00EF4FF0"/>
    <w:rsid w:val="00EF55F4"/>
    <w:rsid w:val="00EF586D"/>
    <w:rsid w:val="00EF6791"/>
    <w:rsid w:val="00EF6A30"/>
    <w:rsid w:val="00EF6B06"/>
    <w:rsid w:val="00EF7849"/>
    <w:rsid w:val="00F0188C"/>
    <w:rsid w:val="00F029DD"/>
    <w:rsid w:val="00F02C8A"/>
    <w:rsid w:val="00F1075C"/>
    <w:rsid w:val="00F12C4D"/>
    <w:rsid w:val="00F13A98"/>
    <w:rsid w:val="00F15FBA"/>
    <w:rsid w:val="00F16269"/>
    <w:rsid w:val="00F202DC"/>
    <w:rsid w:val="00F23311"/>
    <w:rsid w:val="00F2333D"/>
    <w:rsid w:val="00F2678E"/>
    <w:rsid w:val="00F3453C"/>
    <w:rsid w:val="00F349FF"/>
    <w:rsid w:val="00F34E8D"/>
    <w:rsid w:val="00F37A9F"/>
    <w:rsid w:val="00F40D88"/>
    <w:rsid w:val="00F42DC6"/>
    <w:rsid w:val="00F43144"/>
    <w:rsid w:val="00F45B9F"/>
    <w:rsid w:val="00F465F7"/>
    <w:rsid w:val="00F46AC0"/>
    <w:rsid w:val="00F5215F"/>
    <w:rsid w:val="00F525DF"/>
    <w:rsid w:val="00F564D3"/>
    <w:rsid w:val="00F61799"/>
    <w:rsid w:val="00F639A9"/>
    <w:rsid w:val="00F64614"/>
    <w:rsid w:val="00F71D17"/>
    <w:rsid w:val="00F72C1D"/>
    <w:rsid w:val="00F74CF0"/>
    <w:rsid w:val="00F76161"/>
    <w:rsid w:val="00F7780F"/>
    <w:rsid w:val="00F803F1"/>
    <w:rsid w:val="00F84148"/>
    <w:rsid w:val="00F842A1"/>
    <w:rsid w:val="00F84CB7"/>
    <w:rsid w:val="00F855C0"/>
    <w:rsid w:val="00F867C7"/>
    <w:rsid w:val="00F87AC1"/>
    <w:rsid w:val="00F93CB8"/>
    <w:rsid w:val="00F97A17"/>
    <w:rsid w:val="00FA1403"/>
    <w:rsid w:val="00FA1A28"/>
    <w:rsid w:val="00FA1EA2"/>
    <w:rsid w:val="00FA3CBA"/>
    <w:rsid w:val="00FA5D1D"/>
    <w:rsid w:val="00FA6F2A"/>
    <w:rsid w:val="00FB255F"/>
    <w:rsid w:val="00FB2B0A"/>
    <w:rsid w:val="00FB3BEB"/>
    <w:rsid w:val="00FB5C9C"/>
    <w:rsid w:val="00FC4048"/>
    <w:rsid w:val="00FC44EE"/>
    <w:rsid w:val="00FC7048"/>
    <w:rsid w:val="00FD0C28"/>
    <w:rsid w:val="00FD3234"/>
    <w:rsid w:val="00FD36AB"/>
    <w:rsid w:val="00FD3A6A"/>
    <w:rsid w:val="00FD4913"/>
    <w:rsid w:val="00FE1F25"/>
    <w:rsid w:val="00FE53F0"/>
    <w:rsid w:val="00FE7AA7"/>
    <w:rsid w:val="00FE7F42"/>
    <w:rsid w:val="00FF1388"/>
    <w:rsid w:val="00FF2213"/>
    <w:rsid w:val="00FF2485"/>
    <w:rsid w:val="18A2C045"/>
    <w:rsid w:val="1AD499A8"/>
    <w:rsid w:val="1B9C17A3"/>
    <w:rsid w:val="1D007383"/>
    <w:rsid w:val="1EDEF7DB"/>
    <w:rsid w:val="1EEBF89C"/>
    <w:rsid w:val="2138AB0F"/>
    <w:rsid w:val="276313F0"/>
    <w:rsid w:val="2B4DA5B2"/>
    <w:rsid w:val="2C597D31"/>
    <w:rsid w:val="30126F9F"/>
    <w:rsid w:val="326A8FE5"/>
    <w:rsid w:val="3E5E4628"/>
    <w:rsid w:val="4C404F10"/>
    <w:rsid w:val="530F65AF"/>
    <w:rsid w:val="54CD3BAB"/>
    <w:rsid w:val="57C8CCB3"/>
    <w:rsid w:val="5A0F0E18"/>
    <w:rsid w:val="5A149E3C"/>
    <w:rsid w:val="612EB147"/>
    <w:rsid w:val="69C1CF6A"/>
    <w:rsid w:val="6A163D57"/>
    <w:rsid w:val="757FB732"/>
    <w:rsid w:val="79A7BD4A"/>
    <w:rsid w:val="7CE5B2E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E208CC"/>
  <w15:docId w15:val="{F8D4227F-2C2D-4E49-B9B3-BCEF63DFAF86}"/>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uiPriority="0"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uiPriority="1" w:semiHidden="1" w:unhideWhenUsed="1"/>
    <w:lsdException w:name="Body Text" w:uiPriority="0"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531FBE"/>
    <w:pPr>
      <w:spacing w:after="0" w:line="240" w:lineRule="auto"/>
    </w:pPr>
    <w:rPr>
      <w:rFonts w:ascii="Times New Roman" w:hAnsi="Times New Roman" w:eastAsia="Times New Roman" w:cs="Times New Roman"/>
      <w:sz w:val="24"/>
      <w:szCs w:val="24"/>
      <w:lang w:val="es-ES" w:eastAsia="es-ES"/>
    </w:rPr>
  </w:style>
  <w:style w:type="paragraph" w:styleId="Ttulo1">
    <w:name w:val="heading 1"/>
    <w:basedOn w:val="Normal"/>
    <w:next w:val="Normal"/>
    <w:link w:val="Ttulo1Car"/>
    <w:uiPriority w:val="9"/>
    <w:qFormat/>
    <w:rsid w:val="00807D21"/>
    <w:pPr>
      <w:keepNext/>
      <w:jc w:val="both"/>
      <w:outlineLvl w:val="0"/>
    </w:pPr>
    <w:rPr>
      <w:b/>
      <w:bCs/>
      <w:lang w:val="es-MX"/>
    </w:rPr>
  </w:style>
  <w:style w:type="paragraph" w:styleId="Ttulo2">
    <w:name w:val="heading 2"/>
    <w:basedOn w:val="Normal"/>
    <w:next w:val="Normal"/>
    <w:link w:val="Ttulo2Car"/>
    <w:uiPriority w:val="9"/>
    <w:semiHidden/>
    <w:unhideWhenUsed/>
    <w:qFormat/>
    <w:rsid w:val="008E0099"/>
    <w:pPr>
      <w:keepNext/>
      <w:keepLines/>
      <w:spacing w:before="40" w:line="259" w:lineRule="auto"/>
      <w:outlineLvl w:val="1"/>
    </w:pPr>
    <w:rPr>
      <w:rFonts w:asciiTheme="majorHAnsi" w:hAnsiTheme="majorHAnsi" w:eastAsiaTheme="majorEastAsia" w:cstheme="majorBidi"/>
      <w:color w:val="2F5496" w:themeColor="accent1" w:themeShade="BF"/>
      <w:sz w:val="26"/>
      <w:szCs w:val="26"/>
      <w:lang w:val="en-US" w:eastAsia="en-US"/>
    </w:rPr>
  </w:style>
  <w:style w:type="paragraph" w:styleId="Ttulo3">
    <w:name w:val="heading 3"/>
    <w:basedOn w:val="Normal"/>
    <w:next w:val="Normal"/>
    <w:link w:val="Ttulo3Car"/>
    <w:uiPriority w:val="9"/>
    <w:semiHidden/>
    <w:unhideWhenUsed/>
    <w:qFormat/>
    <w:rsid w:val="008E0099"/>
    <w:pPr>
      <w:keepNext/>
      <w:keepLines/>
      <w:spacing w:before="40" w:line="259" w:lineRule="auto"/>
      <w:outlineLvl w:val="2"/>
    </w:pPr>
    <w:rPr>
      <w:rFonts w:asciiTheme="majorHAnsi" w:hAnsiTheme="majorHAnsi" w:eastAsiaTheme="majorEastAsia" w:cstheme="majorBidi"/>
      <w:color w:val="1F3763" w:themeColor="accent1" w:themeShade="7F"/>
      <w:lang w:val="en-US" w:eastAsia="en-US"/>
    </w:rPr>
  </w:style>
  <w:style w:type="paragraph" w:styleId="Ttulo4">
    <w:name w:val="heading 4"/>
    <w:basedOn w:val="Normal"/>
    <w:next w:val="Normal"/>
    <w:link w:val="Ttulo4Car"/>
    <w:uiPriority w:val="9"/>
    <w:semiHidden/>
    <w:unhideWhenUsed/>
    <w:qFormat/>
    <w:rsid w:val="008E0099"/>
    <w:pPr>
      <w:keepNext/>
      <w:keepLines/>
      <w:spacing w:before="40" w:line="259" w:lineRule="auto"/>
      <w:outlineLvl w:val="3"/>
    </w:pPr>
    <w:rPr>
      <w:rFonts w:asciiTheme="majorHAnsi" w:hAnsiTheme="majorHAnsi" w:eastAsiaTheme="majorEastAsia" w:cstheme="majorBidi"/>
      <w:i/>
      <w:iCs/>
      <w:color w:val="2F5496" w:themeColor="accent1" w:themeShade="BF"/>
      <w:sz w:val="22"/>
      <w:szCs w:val="22"/>
      <w:lang w:val="en-US" w:eastAsia="en-US"/>
    </w:rPr>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paragraph" w:styleId="Ttulo">
    <w:name w:val="Title"/>
    <w:basedOn w:val="Normal"/>
    <w:link w:val="TtuloCar"/>
    <w:qFormat/>
    <w:rsid w:val="00F15FBA"/>
    <w:pPr>
      <w:jc w:val="center"/>
    </w:pPr>
    <w:rPr>
      <w:b/>
      <w:bCs/>
      <w:lang w:val="es-MX"/>
    </w:rPr>
  </w:style>
  <w:style w:type="character" w:styleId="TtuloCar" w:customStyle="1">
    <w:name w:val="Título Car"/>
    <w:basedOn w:val="Fuentedeprrafopredeter"/>
    <w:link w:val="Ttulo"/>
    <w:rsid w:val="00F15FBA"/>
    <w:rPr>
      <w:rFonts w:ascii="Times New Roman" w:hAnsi="Times New Roman" w:eastAsia="Times New Roman" w:cs="Times New Roman"/>
      <w:b/>
      <w:bCs/>
      <w:sz w:val="24"/>
      <w:szCs w:val="24"/>
      <w:lang w:val="es-MX" w:eastAsia="es-ES"/>
    </w:rPr>
  </w:style>
  <w:style w:type="character" w:styleId="Textoennegrita">
    <w:name w:val="Strong"/>
    <w:uiPriority w:val="22"/>
    <w:qFormat/>
    <w:rsid w:val="00F15FBA"/>
    <w:rPr>
      <w:b/>
      <w:bCs/>
    </w:rPr>
  </w:style>
  <w:style w:type="paragraph" w:styleId="Prrafodelista">
    <w:name w:val="List Paragraph"/>
    <w:aliases w:val="Number List 1"/>
    <w:basedOn w:val="Normal"/>
    <w:link w:val="PrrafodelistaCar"/>
    <w:uiPriority w:val="34"/>
    <w:qFormat/>
    <w:rsid w:val="00F15FBA"/>
    <w:pPr>
      <w:ind w:left="720"/>
      <w:contextualSpacing/>
    </w:pPr>
  </w:style>
  <w:style w:type="paragraph" w:styleId="NormalWeb">
    <w:name w:val="Normal (Web)"/>
    <w:basedOn w:val="Normal"/>
    <w:uiPriority w:val="99"/>
    <w:unhideWhenUsed/>
    <w:rsid w:val="00F15FBA"/>
    <w:pPr>
      <w:spacing w:before="100" w:beforeAutospacing="1" w:after="100" w:afterAutospacing="1"/>
    </w:pPr>
  </w:style>
  <w:style w:type="paragraph" w:styleId="Textonotaalfinal">
    <w:name w:val="endnote text"/>
    <w:basedOn w:val="Normal"/>
    <w:link w:val="TextonotaalfinalCar"/>
    <w:uiPriority w:val="99"/>
    <w:semiHidden/>
    <w:unhideWhenUsed/>
    <w:rsid w:val="005F148C"/>
    <w:rPr>
      <w:sz w:val="20"/>
      <w:szCs w:val="20"/>
    </w:rPr>
  </w:style>
  <w:style w:type="character" w:styleId="TextonotaalfinalCar" w:customStyle="1">
    <w:name w:val="Texto nota al final Car"/>
    <w:basedOn w:val="Fuentedeprrafopredeter"/>
    <w:link w:val="Textonotaalfinal"/>
    <w:uiPriority w:val="99"/>
    <w:semiHidden/>
    <w:rsid w:val="005F148C"/>
    <w:rPr>
      <w:rFonts w:ascii="Times New Roman" w:hAnsi="Times New Roman" w:eastAsia="Times New Roman" w:cs="Times New Roman"/>
      <w:sz w:val="20"/>
      <w:szCs w:val="20"/>
      <w:lang w:val="es-ES" w:eastAsia="es-ES"/>
    </w:rPr>
  </w:style>
  <w:style w:type="character" w:styleId="Refdenotaalfinal">
    <w:name w:val="endnote reference"/>
    <w:basedOn w:val="Fuentedeprrafopredeter"/>
    <w:uiPriority w:val="99"/>
    <w:semiHidden/>
    <w:unhideWhenUsed/>
    <w:rsid w:val="005F148C"/>
    <w:rPr>
      <w:vertAlign w:val="superscript"/>
    </w:rPr>
  </w:style>
  <w:style w:type="paragraph" w:styleId="Textonotapie">
    <w:name w:val="footnote text"/>
    <w:basedOn w:val="Normal"/>
    <w:link w:val="TextonotapieCar"/>
    <w:unhideWhenUsed/>
    <w:rsid w:val="005F148C"/>
    <w:rPr>
      <w:sz w:val="20"/>
      <w:szCs w:val="20"/>
    </w:rPr>
  </w:style>
  <w:style w:type="character" w:styleId="TextonotapieCar" w:customStyle="1">
    <w:name w:val="Texto nota pie Car"/>
    <w:basedOn w:val="Fuentedeprrafopredeter"/>
    <w:link w:val="Textonotapie"/>
    <w:rsid w:val="005F148C"/>
    <w:rPr>
      <w:rFonts w:ascii="Times New Roman" w:hAnsi="Times New Roman" w:eastAsia="Times New Roman" w:cs="Times New Roman"/>
      <w:sz w:val="20"/>
      <w:szCs w:val="20"/>
      <w:lang w:val="es-ES" w:eastAsia="es-ES"/>
    </w:rPr>
  </w:style>
  <w:style w:type="character" w:styleId="Refdenotaalpie">
    <w:name w:val="footnote reference"/>
    <w:basedOn w:val="Fuentedeprrafopredeter"/>
    <w:uiPriority w:val="99"/>
    <w:semiHidden/>
    <w:unhideWhenUsed/>
    <w:rsid w:val="005F148C"/>
    <w:rPr>
      <w:vertAlign w:val="superscript"/>
    </w:rPr>
  </w:style>
  <w:style w:type="paragraph" w:styleId="Encabezado">
    <w:name w:val="header"/>
    <w:basedOn w:val="Normal"/>
    <w:link w:val="EncabezadoCar"/>
    <w:uiPriority w:val="99"/>
    <w:unhideWhenUsed/>
    <w:rsid w:val="001631D6"/>
    <w:pPr>
      <w:tabs>
        <w:tab w:val="center" w:pos="4252"/>
        <w:tab w:val="right" w:pos="8504"/>
      </w:tabs>
    </w:pPr>
  </w:style>
  <w:style w:type="character" w:styleId="EncabezadoCar" w:customStyle="1">
    <w:name w:val="Encabezado Car"/>
    <w:basedOn w:val="Fuentedeprrafopredeter"/>
    <w:link w:val="Encabezado"/>
    <w:uiPriority w:val="99"/>
    <w:rsid w:val="001631D6"/>
    <w:rPr>
      <w:rFonts w:ascii="Times New Roman" w:hAnsi="Times New Roman" w:eastAsia="Times New Roman" w:cs="Times New Roman"/>
      <w:sz w:val="24"/>
      <w:szCs w:val="24"/>
      <w:lang w:val="es-ES" w:eastAsia="es-ES"/>
    </w:rPr>
  </w:style>
  <w:style w:type="paragraph" w:styleId="Piedepgina">
    <w:name w:val="footer"/>
    <w:basedOn w:val="Normal"/>
    <w:link w:val="PiedepginaCar"/>
    <w:uiPriority w:val="99"/>
    <w:unhideWhenUsed/>
    <w:rsid w:val="001631D6"/>
    <w:pPr>
      <w:tabs>
        <w:tab w:val="center" w:pos="4252"/>
        <w:tab w:val="right" w:pos="8504"/>
      </w:tabs>
    </w:pPr>
  </w:style>
  <w:style w:type="character" w:styleId="PiedepginaCar" w:customStyle="1">
    <w:name w:val="Pie de página Car"/>
    <w:basedOn w:val="Fuentedeprrafopredeter"/>
    <w:link w:val="Piedepgina"/>
    <w:uiPriority w:val="99"/>
    <w:rsid w:val="001631D6"/>
    <w:rPr>
      <w:rFonts w:ascii="Times New Roman" w:hAnsi="Times New Roman" w:eastAsia="Times New Roman" w:cs="Times New Roman"/>
      <w:sz w:val="24"/>
      <w:szCs w:val="24"/>
      <w:lang w:val="es-ES" w:eastAsia="es-ES"/>
    </w:rPr>
  </w:style>
  <w:style w:type="paragraph" w:styleId="Sinespaciado">
    <w:name w:val="No Spacing"/>
    <w:uiPriority w:val="1"/>
    <w:qFormat/>
    <w:rsid w:val="003E6BA6"/>
    <w:pPr>
      <w:spacing w:after="0" w:line="240" w:lineRule="auto"/>
    </w:pPr>
    <w:rPr>
      <w:lang w:val="es-PE"/>
    </w:rPr>
  </w:style>
  <w:style w:type="character" w:styleId="Ttulo1Car" w:customStyle="1">
    <w:name w:val="Título 1 Car"/>
    <w:basedOn w:val="Fuentedeprrafopredeter"/>
    <w:link w:val="Ttulo1"/>
    <w:uiPriority w:val="9"/>
    <w:rsid w:val="00807D21"/>
    <w:rPr>
      <w:rFonts w:ascii="Times New Roman" w:hAnsi="Times New Roman" w:eastAsia="Times New Roman" w:cs="Times New Roman"/>
      <w:b/>
      <w:bCs/>
      <w:sz w:val="24"/>
      <w:szCs w:val="24"/>
      <w:lang w:val="es-MX" w:eastAsia="es-ES"/>
    </w:rPr>
  </w:style>
  <w:style w:type="paragraph" w:styleId="Textoindependiente">
    <w:name w:val="Body Text"/>
    <w:basedOn w:val="Normal"/>
    <w:link w:val="TextoindependienteCar"/>
    <w:unhideWhenUsed/>
    <w:rsid w:val="00807D21"/>
    <w:pPr>
      <w:jc w:val="both"/>
    </w:pPr>
    <w:rPr>
      <w:lang w:val="es-MX"/>
    </w:rPr>
  </w:style>
  <w:style w:type="character" w:styleId="TextoindependienteCar" w:customStyle="1">
    <w:name w:val="Texto independiente Car"/>
    <w:basedOn w:val="Fuentedeprrafopredeter"/>
    <w:link w:val="Textoindependiente"/>
    <w:rsid w:val="00807D21"/>
    <w:rPr>
      <w:rFonts w:ascii="Times New Roman" w:hAnsi="Times New Roman" w:eastAsia="Times New Roman" w:cs="Times New Roman"/>
      <w:sz w:val="24"/>
      <w:szCs w:val="24"/>
      <w:lang w:val="es-MX" w:eastAsia="es-ES"/>
    </w:rPr>
  </w:style>
  <w:style w:type="paragraph" w:styleId="Default" w:customStyle="1">
    <w:name w:val="Default"/>
    <w:rsid w:val="00807D21"/>
    <w:pPr>
      <w:autoSpaceDE w:val="0"/>
      <w:autoSpaceDN w:val="0"/>
      <w:adjustRightInd w:val="0"/>
      <w:spacing w:after="0" w:line="240" w:lineRule="auto"/>
    </w:pPr>
    <w:rPr>
      <w:rFonts w:ascii="Arial" w:hAnsi="Arial" w:eastAsia="Times New Roman" w:cs="Arial"/>
      <w:color w:val="000000"/>
      <w:sz w:val="24"/>
      <w:szCs w:val="24"/>
      <w:lang w:val="es-PE" w:eastAsia="es-PE"/>
    </w:rPr>
  </w:style>
  <w:style w:type="paragraph" w:styleId="TableParagraph" w:customStyle="1">
    <w:name w:val="Table Paragraph"/>
    <w:basedOn w:val="Normal"/>
    <w:uiPriority w:val="1"/>
    <w:qFormat/>
    <w:rsid w:val="00807D21"/>
    <w:pPr>
      <w:autoSpaceDE w:val="0"/>
      <w:autoSpaceDN w:val="0"/>
      <w:adjustRightInd w:val="0"/>
      <w:jc w:val="center"/>
    </w:pPr>
    <w:rPr>
      <w:rFonts w:ascii="Bookman Old Style" w:hAnsi="Bookman Old Style" w:cs="Bookman Old Style"/>
      <w:lang w:val="es-PE" w:eastAsia="es-PE"/>
    </w:rPr>
  </w:style>
  <w:style w:type="character" w:styleId="normaltextrun" w:customStyle="1">
    <w:name w:val="normaltextrun"/>
    <w:basedOn w:val="Fuentedeprrafopredeter"/>
    <w:rsid w:val="00440C04"/>
  </w:style>
  <w:style w:type="paragraph" w:styleId="paragraph" w:customStyle="1">
    <w:name w:val="paragraph"/>
    <w:basedOn w:val="Normal"/>
    <w:rsid w:val="00D173E4"/>
    <w:pPr>
      <w:spacing w:before="100" w:beforeAutospacing="1" w:after="100" w:afterAutospacing="1"/>
    </w:pPr>
    <w:rPr>
      <w:lang w:val="es-MX" w:eastAsia="es-MX"/>
    </w:rPr>
  </w:style>
  <w:style w:type="character" w:styleId="Hipervnculo">
    <w:name w:val="Hyperlink"/>
    <w:basedOn w:val="Fuentedeprrafopredeter"/>
    <w:uiPriority w:val="99"/>
    <w:unhideWhenUsed/>
    <w:rsid w:val="00C61136"/>
    <w:rPr>
      <w:color w:val="0563C1" w:themeColor="hyperlink"/>
      <w:u w:val="single"/>
    </w:rPr>
  </w:style>
  <w:style w:type="paragraph" w:styleId="parrafo" w:customStyle="1">
    <w:name w:val="parrafo"/>
    <w:basedOn w:val="Normal"/>
    <w:rsid w:val="00F43144"/>
    <w:pPr>
      <w:snapToGrid w:val="0"/>
      <w:spacing w:before="57" w:after="170"/>
      <w:jc w:val="both"/>
    </w:pPr>
    <w:rPr>
      <w:rFonts w:ascii="Tahoma" w:hAnsi="Tahoma"/>
      <w:sz w:val="18"/>
      <w:szCs w:val="20"/>
      <w:lang w:val="en-US" w:eastAsia="en-US"/>
    </w:rPr>
  </w:style>
  <w:style w:type="character" w:styleId="PrrafodelistaCar" w:customStyle="1">
    <w:name w:val="Párrafo de lista Car"/>
    <w:aliases w:val="Number List 1 Car"/>
    <w:link w:val="Prrafodelista"/>
    <w:uiPriority w:val="34"/>
    <w:locked/>
    <w:rsid w:val="00F02C8A"/>
    <w:rPr>
      <w:rFonts w:ascii="Times New Roman" w:hAnsi="Times New Roman" w:eastAsia="Times New Roman" w:cs="Times New Roman"/>
      <w:sz w:val="24"/>
      <w:szCs w:val="24"/>
      <w:lang w:val="es-ES" w:eastAsia="es-ES"/>
    </w:rPr>
  </w:style>
  <w:style w:type="character" w:styleId="Mencinsinresolver">
    <w:name w:val="Unresolved Mention"/>
    <w:basedOn w:val="Fuentedeprrafopredeter"/>
    <w:uiPriority w:val="99"/>
    <w:semiHidden/>
    <w:unhideWhenUsed/>
    <w:rsid w:val="003B684A"/>
    <w:rPr>
      <w:color w:val="605E5C"/>
      <w:shd w:val="clear" w:color="auto" w:fill="E1DFDD"/>
    </w:rPr>
  </w:style>
  <w:style w:type="character" w:styleId="tabchar" w:customStyle="1">
    <w:name w:val="tabchar"/>
    <w:basedOn w:val="Fuentedeprrafopredeter"/>
    <w:rsid w:val="006F1AD3"/>
  </w:style>
  <w:style w:type="paragraph" w:styleId="MailingInstructions" w:customStyle="1">
    <w:name w:val="Mailing Instructions"/>
    <w:basedOn w:val="Normal"/>
    <w:rsid w:val="00742DA4"/>
  </w:style>
  <w:style w:type="character" w:styleId="Ttulo2Car" w:customStyle="1">
    <w:name w:val="Título 2 Car"/>
    <w:basedOn w:val="Fuentedeprrafopredeter"/>
    <w:link w:val="Ttulo2"/>
    <w:uiPriority w:val="9"/>
    <w:semiHidden/>
    <w:rsid w:val="008E0099"/>
    <w:rPr>
      <w:rFonts w:asciiTheme="majorHAnsi" w:hAnsiTheme="majorHAnsi" w:eastAsiaTheme="majorEastAsia" w:cstheme="majorBidi"/>
      <w:color w:val="2F5496" w:themeColor="accent1" w:themeShade="BF"/>
      <w:sz w:val="26"/>
      <w:szCs w:val="26"/>
    </w:rPr>
  </w:style>
  <w:style w:type="character" w:styleId="Ttulo3Car" w:customStyle="1">
    <w:name w:val="Título 3 Car"/>
    <w:basedOn w:val="Fuentedeprrafopredeter"/>
    <w:link w:val="Ttulo3"/>
    <w:uiPriority w:val="9"/>
    <w:semiHidden/>
    <w:rsid w:val="008E0099"/>
    <w:rPr>
      <w:rFonts w:asciiTheme="majorHAnsi" w:hAnsiTheme="majorHAnsi" w:eastAsiaTheme="majorEastAsia" w:cstheme="majorBidi"/>
      <w:color w:val="1F3763" w:themeColor="accent1" w:themeShade="7F"/>
      <w:sz w:val="24"/>
      <w:szCs w:val="24"/>
    </w:rPr>
  </w:style>
  <w:style w:type="character" w:styleId="Ttulo4Car" w:customStyle="1">
    <w:name w:val="Título 4 Car"/>
    <w:basedOn w:val="Fuentedeprrafopredeter"/>
    <w:link w:val="Ttulo4"/>
    <w:uiPriority w:val="9"/>
    <w:semiHidden/>
    <w:rsid w:val="008E0099"/>
    <w:rPr>
      <w:rFonts w:asciiTheme="majorHAnsi" w:hAnsiTheme="majorHAnsi" w:eastAsiaTheme="majorEastAsia" w:cstheme="majorBidi"/>
      <w:i/>
      <w:iCs/>
      <w:color w:val="2F5496" w:themeColor="accent1" w:themeShade="BF"/>
    </w:rPr>
  </w:style>
  <w:style w:type="character" w:styleId="Mencionar1" w:customStyle="1">
    <w:name w:val="Mencionar1"/>
    <w:basedOn w:val="Fuentedeprrafopredeter"/>
    <w:uiPriority w:val="99"/>
    <w:semiHidden/>
    <w:unhideWhenUsed/>
    <w:rsid w:val="008E0099"/>
    <w:rPr>
      <w:color w:val="2B579A"/>
      <w:shd w:val="clear" w:color="auto" w:fill="E6E6E6"/>
    </w:rPr>
  </w:style>
  <w:style w:type="character" w:styleId="Hipervnculovisitado">
    <w:name w:val="FollowedHyperlink"/>
    <w:basedOn w:val="Fuentedeprrafopredeter"/>
    <w:uiPriority w:val="99"/>
    <w:semiHidden/>
    <w:unhideWhenUsed/>
    <w:rsid w:val="008E0099"/>
    <w:rPr>
      <w:color w:val="954F72" w:themeColor="followedHyperlink"/>
      <w:u w:val="single"/>
    </w:rPr>
  </w:style>
  <w:style w:type="character" w:styleId="Mencinsinresolver1" w:customStyle="1">
    <w:name w:val="Mención sin resolver1"/>
    <w:basedOn w:val="Fuentedeprrafopredeter"/>
    <w:uiPriority w:val="99"/>
    <w:semiHidden/>
    <w:unhideWhenUsed/>
    <w:rsid w:val="008E0099"/>
    <w:rPr>
      <w:color w:val="808080"/>
      <w:shd w:val="clear" w:color="auto" w:fill="E6E6E6"/>
    </w:rPr>
  </w:style>
  <w:style w:type="paragraph" w:styleId="Sangradetextonormal">
    <w:name w:val="Body Text Indent"/>
    <w:basedOn w:val="Normal"/>
    <w:link w:val="SangradetextonormalCar"/>
    <w:uiPriority w:val="99"/>
    <w:unhideWhenUsed/>
    <w:rsid w:val="008E0099"/>
    <w:pPr>
      <w:spacing w:after="120" w:line="276" w:lineRule="auto"/>
      <w:ind w:left="283"/>
    </w:pPr>
    <w:rPr>
      <w:rFonts w:ascii="Calibri" w:hAnsi="Calibri" w:eastAsia="Calibri"/>
      <w:sz w:val="22"/>
      <w:szCs w:val="22"/>
      <w:lang w:val="es-PE" w:eastAsia="en-US"/>
    </w:rPr>
  </w:style>
  <w:style w:type="character" w:styleId="SangradetextonormalCar" w:customStyle="1">
    <w:name w:val="Sangría de texto normal Car"/>
    <w:basedOn w:val="Fuentedeprrafopredeter"/>
    <w:link w:val="Sangradetextonormal"/>
    <w:uiPriority w:val="99"/>
    <w:rsid w:val="008E0099"/>
    <w:rPr>
      <w:rFonts w:ascii="Calibri" w:hAnsi="Calibri" w:eastAsia="Calibri" w:cs="Times New Roman"/>
      <w:lang w:val="es-PE"/>
    </w:rPr>
  </w:style>
  <w:style w:type="character" w:styleId="nfasis">
    <w:name w:val="Emphasis"/>
    <w:basedOn w:val="Fuentedeprrafopredeter"/>
    <w:uiPriority w:val="20"/>
    <w:qFormat/>
    <w:rsid w:val="008E0099"/>
    <w:rPr>
      <w:i/>
      <w:iCs/>
    </w:rPr>
  </w:style>
  <w:style w:type="character" w:styleId="modartculofecha" w:customStyle="1">
    <w:name w:val="modartculofecha"/>
    <w:basedOn w:val="Fuentedeprrafopredeter"/>
    <w:rsid w:val="008E0099"/>
  </w:style>
  <w:style w:type="character" w:styleId="crva" w:customStyle="1">
    <w:name w:val="crva"/>
    <w:basedOn w:val="Fuentedeprrafopredeter"/>
    <w:rsid w:val="008E0099"/>
  </w:style>
  <w:style w:type="character" w:styleId="Textodelmarcadordeposicin">
    <w:name w:val="Placeholder Text"/>
    <w:basedOn w:val="Fuentedeprrafopredeter"/>
    <w:uiPriority w:val="99"/>
    <w:semiHidden/>
    <w:rsid w:val="008E0099"/>
    <w:rPr>
      <w:color w:val="808080"/>
    </w:rPr>
  </w:style>
  <w:style w:type="paragraph" w:styleId="ng-scope" w:customStyle="1">
    <w:name w:val="ng-scope"/>
    <w:basedOn w:val="Normal"/>
    <w:rsid w:val="008E0099"/>
    <w:pPr>
      <w:spacing w:before="100" w:beforeAutospacing="1" w:after="100" w:afterAutospacing="1"/>
    </w:pPr>
    <w:rPr>
      <w:lang w:val="es-PE" w:eastAsia="es-PE"/>
    </w:rPr>
  </w:style>
  <w:style w:type="character" w:styleId="uv3um" w:customStyle="1">
    <w:name w:val="uv3um"/>
    <w:basedOn w:val="Fuentedeprrafopredeter"/>
    <w:rsid w:val="008E0099"/>
  </w:style>
  <w:style w:type="paragraph" w:styleId="k3ksmc" w:customStyle="1">
    <w:name w:val="k3ksmc"/>
    <w:basedOn w:val="Normal"/>
    <w:rsid w:val="008E0099"/>
    <w:pPr>
      <w:spacing w:before="100" w:beforeAutospacing="1" w:after="100" w:afterAutospacing="1"/>
    </w:pPr>
    <w:rPr>
      <w:lang w:val="es-PE" w:eastAsia="es-PE"/>
    </w:rPr>
  </w:style>
  <w:style w:type="character" w:styleId="field-name-field-definicion" w:customStyle="1">
    <w:name w:val="field-name-field-definicion"/>
    <w:basedOn w:val="Fuentedeprrafopredeter"/>
    <w:rsid w:val="008E0099"/>
  </w:style>
  <w:style w:type="character" w:styleId="field-name-field-rama" w:customStyle="1">
    <w:name w:val="field-name-field-rama"/>
    <w:basedOn w:val="Fuentedeprrafopredeter"/>
    <w:rsid w:val="008E0099"/>
  </w:style>
  <w:style w:type="paragraph" w:styleId="Revisin">
    <w:name w:val="Revision"/>
    <w:hidden/>
    <w:uiPriority w:val="99"/>
    <w:semiHidden/>
    <w:rsid w:val="008E0099"/>
    <w:pPr>
      <w:spacing w:after="0" w:line="240" w:lineRule="auto"/>
    </w:pPr>
  </w:style>
  <w:style w:type="character" w:styleId="decretossupremos" w:customStyle="1">
    <w:name w:val="decretossupremos"/>
    <w:basedOn w:val="Fuentedeprrafopredeter"/>
    <w:rsid w:val="008E0099"/>
  </w:style>
  <w:style w:type="paragraph" w:styleId="Puesto" w:customStyle="1">
    <w:name w:val="Puesto"/>
    <w:basedOn w:val="Normal"/>
    <w:next w:val="Subttulo"/>
    <w:qFormat/>
    <w:rsid w:val="008E0099"/>
    <w:pPr>
      <w:suppressAutoHyphens/>
      <w:jc w:val="center"/>
    </w:pPr>
    <w:rPr>
      <w:b/>
      <w:bCs/>
      <w:lang w:val="es-MX" w:eastAsia="ar-SA"/>
    </w:rPr>
  </w:style>
  <w:style w:type="paragraph" w:styleId="Subttulo">
    <w:name w:val="Subtitle"/>
    <w:basedOn w:val="Normal"/>
    <w:next w:val="Normal"/>
    <w:link w:val="SubttuloCar"/>
    <w:uiPriority w:val="11"/>
    <w:qFormat/>
    <w:rsid w:val="008E0099"/>
    <w:pPr>
      <w:numPr>
        <w:ilvl w:val="1"/>
      </w:numPr>
      <w:spacing w:after="160" w:line="259" w:lineRule="auto"/>
    </w:pPr>
    <w:rPr>
      <w:rFonts w:asciiTheme="minorHAnsi" w:hAnsiTheme="minorHAnsi" w:eastAsiaTheme="minorEastAsia" w:cstheme="minorBidi"/>
      <w:color w:val="5A5A5A" w:themeColor="text1" w:themeTint="A5"/>
      <w:spacing w:val="15"/>
      <w:sz w:val="22"/>
      <w:szCs w:val="22"/>
      <w:lang w:val="en-US" w:eastAsia="en-US"/>
    </w:rPr>
  </w:style>
  <w:style w:type="character" w:styleId="SubttuloCar" w:customStyle="1">
    <w:name w:val="Subtítulo Car"/>
    <w:basedOn w:val="Fuentedeprrafopredeter"/>
    <w:link w:val="Subttulo"/>
    <w:uiPriority w:val="11"/>
    <w:rsid w:val="008E0099"/>
    <w:rPr>
      <w:rFonts w:eastAsiaTheme="minorEastAsia"/>
      <w:color w:val="5A5A5A" w:themeColor="text1" w:themeTint="A5"/>
      <w:spacing w:val="15"/>
    </w:rPr>
  </w:style>
  <w:style w:type="character" w:styleId="spelle" w:customStyle="1">
    <w:name w:val="spelle"/>
    <w:basedOn w:val="Fuentedeprrafopredeter"/>
    <w:rsid w:val="008E00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689420">
      <w:bodyDiv w:val="1"/>
      <w:marLeft w:val="0"/>
      <w:marRight w:val="0"/>
      <w:marTop w:val="0"/>
      <w:marBottom w:val="0"/>
      <w:divBdr>
        <w:top w:val="none" w:sz="0" w:space="0" w:color="auto"/>
        <w:left w:val="none" w:sz="0" w:space="0" w:color="auto"/>
        <w:bottom w:val="none" w:sz="0" w:space="0" w:color="auto"/>
        <w:right w:val="none" w:sz="0" w:space="0" w:color="auto"/>
      </w:divBdr>
    </w:div>
    <w:div w:id="20479839">
      <w:bodyDiv w:val="1"/>
      <w:marLeft w:val="0"/>
      <w:marRight w:val="0"/>
      <w:marTop w:val="0"/>
      <w:marBottom w:val="0"/>
      <w:divBdr>
        <w:top w:val="none" w:sz="0" w:space="0" w:color="auto"/>
        <w:left w:val="none" w:sz="0" w:space="0" w:color="auto"/>
        <w:bottom w:val="none" w:sz="0" w:space="0" w:color="auto"/>
        <w:right w:val="none" w:sz="0" w:space="0" w:color="auto"/>
      </w:divBdr>
    </w:div>
    <w:div w:id="24865045">
      <w:bodyDiv w:val="1"/>
      <w:marLeft w:val="0"/>
      <w:marRight w:val="0"/>
      <w:marTop w:val="0"/>
      <w:marBottom w:val="0"/>
      <w:divBdr>
        <w:top w:val="none" w:sz="0" w:space="0" w:color="auto"/>
        <w:left w:val="none" w:sz="0" w:space="0" w:color="auto"/>
        <w:bottom w:val="none" w:sz="0" w:space="0" w:color="auto"/>
        <w:right w:val="none" w:sz="0" w:space="0" w:color="auto"/>
      </w:divBdr>
    </w:div>
    <w:div w:id="33776365">
      <w:bodyDiv w:val="1"/>
      <w:marLeft w:val="0"/>
      <w:marRight w:val="0"/>
      <w:marTop w:val="0"/>
      <w:marBottom w:val="0"/>
      <w:divBdr>
        <w:top w:val="none" w:sz="0" w:space="0" w:color="auto"/>
        <w:left w:val="none" w:sz="0" w:space="0" w:color="auto"/>
        <w:bottom w:val="none" w:sz="0" w:space="0" w:color="auto"/>
        <w:right w:val="none" w:sz="0" w:space="0" w:color="auto"/>
      </w:divBdr>
    </w:div>
    <w:div w:id="58097316">
      <w:bodyDiv w:val="1"/>
      <w:marLeft w:val="0"/>
      <w:marRight w:val="0"/>
      <w:marTop w:val="0"/>
      <w:marBottom w:val="0"/>
      <w:divBdr>
        <w:top w:val="none" w:sz="0" w:space="0" w:color="auto"/>
        <w:left w:val="none" w:sz="0" w:space="0" w:color="auto"/>
        <w:bottom w:val="none" w:sz="0" w:space="0" w:color="auto"/>
        <w:right w:val="none" w:sz="0" w:space="0" w:color="auto"/>
      </w:divBdr>
    </w:div>
    <w:div w:id="59405234">
      <w:bodyDiv w:val="1"/>
      <w:marLeft w:val="0"/>
      <w:marRight w:val="0"/>
      <w:marTop w:val="0"/>
      <w:marBottom w:val="0"/>
      <w:divBdr>
        <w:top w:val="none" w:sz="0" w:space="0" w:color="auto"/>
        <w:left w:val="none" w:sz="0" w:space="0" w:color="auto"/>
        <w:bottom w:val="none" w:sz="0" w:space="0" w:color="auto"/>
        <w:right w:val="none" w:sz="0" w:space="0" w:color="auto"/>
      </w:divBdr>
    </w:div>
    <w:div w:id="60174252">
      <w:bodyDiv w:val="1"/>
      <w:marLeft w:val="0"/>
      <w:marRight w:val="0"/>
      <w:marTop w:val="0"/>
      <w:marBottom w:val="0"/>
      <w:divBdr>
        <w:top w:val="none" w:sz="0" w:space="0" w:color="auto"/>
        <w:left w:val="none" w:sz="0" w:space="0" w:color="auto"/>
        <w:bottom w:val="none" w:sz="0" w:space="0" w:color="auto"/>
        <w:right w:val="none" w:sz="0" w:space="0" w:color="auto"/>
      </w:divBdr>
    </w:div>
    <w:div w:id="76830979">
      <w:bodyDiv w:val="1"/>
      <w:marLeft w:val="0"/>
      <w:marRight w:val="0"/>
      <w:marTop w:val="0"/>
      <w:marBottom w:val="0"/>
      <w:divBdr>
        <w:top w:val="none" w:sz="0" w:space="0" w:color="auto"/>
        <w:left w:val="none" w:sz="0" w:space="0" w:color="auto"/>
        <w:bottom w:val="none" w:sz="0" w:space="0" w:color="auto"/>
        <w:right w:val="none" w:sz="0" w:space="0" w:color="auto"/>
      </w:divBdr>
    </w:div>
    <w:div w:id="116223938">
      <w:bodyDiv w:val="1"/>
      <w:marLeft w:val="0"/>
      <w:marRight w:val="0"/>
      <w:marTop w:val="0"/>
      <w:marBottom w:val="0"/>
      <w:divBdr>
        <w:top w:val="none" w:sz="0" w:space="0" w:color="auto"/>
        <w:left w:val="none" w:sz="0" w:space="0" w:color="auto"/>
        <w:bottom w:val="none" w:sz="0" w:space="0" w:color="auto"/>
        <w:right w:val="none" w:sz="0" w:space="0" w:color="auto"/>
      </w:divBdr>
    </w:div>
    <w:div w:id="117380502">
      <w:bodyDiv w:val="1"/>
      <w:marLeft w:val="0"/>
      <w:marRight w:val="0"/>
      <w:marTop w:val="0"/>
      <w:marBottom w:val="0"/>
      <w:divBdr>
        <w:top w:val="none" w:sz="0" w:space="0" w:color="auto"/>
        <w:left w:val="none" w:sz="0" w:space="0" w:color="auto"/>
        <w:bottom w:val="none" w:sz="0" w:space="0" w:color="auto"/>
        <w:right w:val="none" w:sz="0" w:space="0" w:color="auto"/>
      </w:divBdr>
    </w:div>
    <w:div w:id="117724718">
      <w:bodyDiv w:val="1"/>
      <w:marLeft w:val="0"/>
      <w:marRight w:val="0"/>
      <w:marTop w:val="0"/>
      <w:marBottom w:val="0"/>
      <w:divBdr>
        <w:top w:val="none" w:sz="0" w:space="0" w:color="auto"/>
        <w:left w:val="none" w:sz="0" w:space="0" w:color="auto"/>
        <w:bottom w:val="none" w:sz="0" w:space="0" w:color="auto"/>
        <w:right w:val="none" w:sz="0" w:space="0" w:color="auto"/>
      </w:divBdr>
    </w:div>
    <w:div w:id="117992614">
      <w:bodyDiv w:val="1"/>
      <w:marLeft w:val="0"/>
      <w:marRight w:val="0"/>
      <w:marTop w:val="0"/>
      <w:marBottom w:val="0"/>
      <w:divBdr>
        <w:top w:val="none" w:sz="0" w:space="0" w:color="auto"/>
        <w:left w:val="none" w:sz="0" w:space="0" w:color="auto"/>
        <w:bottom w:val="none" w:sz="0" w:space="0" w:color="auto"/>
        <w:right w:val="none" w:sz="0" w:space="0" w:color="auto"/>
      </w:divBdr>
    </w:div>
    <w:div w:id="122425818">
      <w:bodyDiv w:val="1"/>
      <w:marLeft w:val="0"/>
      <w:marRight w:val="0"/>
      <w:marTop w:val="0"/>
      <w:marBottom w:val="0"/>
      <w:divBdr>
        <w:top w:val="none" w:sz="0" w:space="0" w:color="auto"/>
        <w:left w:val="none" w:sz="0" w:space="0" w:color="auto"/>
        <w:bottom w:val="none" w:sz="0" w:space="0" w:color="auto"/>
        <w:right w:val="none" w:sz="0" w:space="0" w:color="auto"/>
      </w:divBdr>
    </w:div>
    <w:div w:id="122963995">
      <w:bodyDiv w:val="1"/>
      <w:marLeft w:val="0"/>
      <w:marRight w:val="0"/>
      <w:marTop w:val="0"/>
      <w:marBottom w:val="0"/>
      <w:divBdr>
        <w:top w:val="none" w:sz="0" w:space="0" w:color="auto"/>
        <w:left w:val="none" w:sz="0" w:space="0" w:color="auto"/>
        <w:bottom w:val="none" w:sz="0" w:space="0" w:color="auto"/>
        <w:right w:val="none" w:sz="0" w:space="0" w:color="auto"/>
      </w:divBdr>
    </w:div>
    <w:div w:id="127599091">
      <w:bodyDiv w:val="1"/>
      <w:marLeft w:val="0"/>
      <w:marRight w:val="0"/>
      <w:marTop w:val="0"/>
      <w:marBottom w:val="0"/>
      <w:divBdr>
        <w:top w:val="none" w:sz="0" w:space="0" w:color="auto"/>
        <w:left w:val="none" w:sz="0" w:space="0" w:color="auto"/>
        <w:bottom w:val="none" w:sz="0" w:space="0" w:color="auto"/>
        <w:right w:val="none" w:sz="0" w:space="0" w:color="auto"/>
      </w:divBdr>
    </w:div>
    <w:div w:id="137576411">
      <w:bodyDiv w:val="1"/>
      <w:marLeft w:val="0"/>
      <w:marRight w:val="0"/>
      <w:marTop w:val="0"/>
      <w:marBottom w:val="0"/>
      <w:divBdr>
        <w:top w:val="none" w:sz="0" w:space="0" w:color="auto"/>
        <w:left w:val="none" w:sz="0" w:space="0" w:color="auto"/>
        <w:bottom w:val="none" w:sz="0" w:space="0" w:color="auto"/>
        <w:right w:val="none" w:sz="0" w:space="0" w:color="auto"/>
      </w:divBdr>
    </w:div>
    <w:div w:id="141586882">
      <w:bodyDiv w:val="1"/>
      <w:marLeft w:val="0"/>
      <w:marRight w:val="0"/>
      <w:marTop w:val="0"/>
      <w:marBottom w:val="0"/>
      <w:divBdr>
        <w:top w:val="none" w:sz="0" w:space="0" w:color="auto"/>
        <w:left w:val="none" w:sz="0" w:space="0" w:color="auto"/>
        <w:bottom w:val="none" w:sz="0" w:space="0" w:color="auto"/>
        <w:right w:val="none" w:sz="0" w:space="0" w:color="auto"/>
      </w:divBdr>
    </w:div>
    <w:div w:id="156700979">
      <w:bodyDiv w:val="1"/>
      <w:marLeft w:val="0"/>
      <w:marRight w:val="0"/>
      <w:marTop w:val="0"/>
      <w:marBottom w:val="0"/>
      <w:divBdr>
        <w:top w:val="none" w:sz="0" w:space="0" w:color="auto"/>
        <w:left w:val="none" w:sz="0" w:space="0" w:color="auto"/>
        <w:bottom w:val="none" w:sz="0" w:space="0" w:color="auto"/>
        <w:right w:val="none" w:sz="0" w:space="0" w:color="auto"/>
      </w:divBdr>
    </w:div>
    <w:div w:id="158617060">
      <w:bodyDiv w:val="1"/>
      <w:marLeft w:val="0"/>
      <w:marRight w:val="0"/>
      <w:marTop w:val="0"/>
      <w:marBottom w:val="0"/>
      <w:divBdr>
        <w:top w:val="none" w:sz="0" w:space="0" w:color="auto"/>
        <w:left w:val="none" w:sz="0" w:space="0" w:color="auto"/>
        <w:bottom w:val="none" w:sz="0" w:space="0" w:color="auto"/>
        <w:right w:val="none" w:sz="0" w:space="0" w:color="auto"/>
      </w:divBdr>
    </w:div>
    <w:div w:id="161823406">
      <w:bodyDiv w:val="1"/>
      <w:marLeft w:val="0"/>
      <w:marRight w:val="0"/>
      <w:marTop w:val="0"/>
      <w:marBottom w:val="0"/>
      <w:divBdr>
        <w:top w:val="none" w:sz="0" w:space="0" w:color="auto"/>
        <w:left w:val="none" w:sz="0" w:space="0" w:color="auto"/>
        <w:bottom w:val="none" w:sz="0" w:space="0" w:color="auto"/>
        <w:right w:val="none" w:sz="0" w:space="0" w:color="auto"/>
      </w:divBdr>
    </w:div>
    <w:div w:id="171409072">
      <w:bodyDiv w:val="1"/>
      <w:marLeft w:val="0"/>
      <w:marRight w:val="0"/>
      <w:marTop w:val="0"/>
      <w:marBottom w:val="0"/>
      <w:divBdr>
        <w:top w:val="none" w:sz="0" w:space="0" w:color="auto"/>
        <w:left w:val="none" w:sz="0" w:space="0" w:color="auto"/>
        <w:bottom w:val="none" w:sz="0" w:space="0" w:color="auto"/>
        <w:right w:val="none" w:sz="0" w:space="0" w:color="auto"/>
      </w:divBdr>
    </w:div>
    <w:div w:id="182785777">
      <w:bodyDiv w:val="1"/>
      <w:marLeft w:val="0"/>
      <w:marRight w:val="0"/>
      <w:marTop w:val="0"/>
      <w:marBottom w:val="0"/>
      <w:divBdr>
        <w:top w:val="none" w:sz="0" w:space="0" w:color="auto"/>
        <w:left w:val="none" w:sz="0" w:space="0" w:color="auto"/>
        <w:bottom w:val="none" w:sz="0" w:space="0" w:color="auto"/>
        <w:right w:val="none" w:sz="0" w:space="0" w:color="auto"/>
      </w:divBdr>
    </w:div>
    <w:div w:id="200095345">
      <w:bodyDiv w:val="1"/>
      <w:marLeft w:val="0"/>
      <w:marRight w:val="0"/>
      <w:marTop w:val="0"/>
      <w:marBottom w:val="0"/>
      <w:divBdr>
        <w:top w:val="none" w:sz="0" w:space="0" w:color="auto"/>
        <w:left w:val="none" w:sz="0" w:space="0" w:color="auto"/>
        <w:bottom w:val="none" w:sz="0" w:space="0" w:color="auto"/>
        <w:right w:val="none" w:sz="0" w:space="0" w:color="auto"/>
      </w:divBdr>
    </w:div>
    <w:div w:id="205216690">
      <w:bodyDiv w:val="1"/>
      <w:marLeft w:val="0"/>
      <w:marRight w:val="0"/>
      <w:marTop w:val="0"/>
      <w:marBottom w:val="0"/>
      <w:divBdr>
        <w:top w:val="none" w:sz="0" w:space="0" w:color="auto"/>
        <w:left w:val="none" w:sz="0" w:space="0" w:color="auto"/>
        <w:bottom w:val="none" w:sz="0" w:space="0" w:color="auto"/>
        <w:right w:val="none" w:sz="0" w:space="0" w:color="auto"/>
      </w:divBdr>
    </w:div>
    <w:div w:id="224341165">
      <w:bodyDiv w:val="1"/>
      <w:marLeft w:val="0"/>
      <w:marRight w:val="0"/>
      <w:marTop w:val="0"/>
      <w:marBottom w:val="0"/>
      <w:divBdr>
        <w:top w:val="none" w:sz="0" w:space="0" w:color="auto"/>
        <w:left w:val="none" w:sz="0" w:space="0" w:color="auto"/>
        <w:bottom w:val="none" w:sz="0" w:space="0" w:color="auto"/>
        <w:right w:val="none" w:sz="0" w:space="0" w:color="auto"/>
      </w:divBdr>
    </w:div>
    <w:div w:id="228924719">
      <w:bodyDiv w:val="1"/>
      <w:marLeft w:val="0"/>
      <w:marRight w:val="0"/>
      <w:marTop w:val="0"/>
      <w:marBottom w:val="0"/>
      <w:divBdr>
        <w:top w:val="none" w:sz="0" w:space="0" w:color="auto"/>
        <w:left w:val="none" w:sz="0" w:space="0" w:color="auto"/>
        <w:bottom w:val="none" w:sz="0" w:space="0" w:color="auto"/>
        <w:right w:val="none" w:sz="0" w:space="0" w:color="auto"/>
      </w:divBdr>
    </w:div>
    <w:div w:id="229077596">
      <w:bodyDiv w:val="1"/>
      <w:marLeft w:val="0"/>
      <w:marRight w:val="0"/>
      <w:marTop w:val="0"/>
      <w:marBottom w:val="0"/>
      <w:divBdr>
        <w:top w:val="none" w:sz="0" w:space="0" w:color="auto"/>
        <w:left w:val="none" w:sz="0" w:space="0" w:color="auto"/>
        <w:bottom w:val="none" w:sz="0" w:space="0" w:color="auto"/>
        <w:right w:val="none" w:sz="0" w:space="0" w:color="auto"/>
      </w:divBdr>
    </w:div>
    <w:div w:id="252051674">
      <w:bodyDiv w:val="1"/>
      <w:marLeft w:val="0"/>
      <w:marRight w:val="0"/>
      <w:marTop w:val="0"/>
      <w:marBottom w:val="0"/>
      <w:divBdr>
        <w:top w:val="none" w:sz="0" w:space="0" w:color="auto"/>
        <w:left w:val="none" w:sz="0" w:space="0" w:color="auto"/>
        <w:bottom w:val="none" w:sz="0" w:space="0" w:color="auto"/>
        <w:right w:val="none" w:sz="0" w:space="0" w:color="auto"/>
      </w:divBdr>
    </w:div>
    <w:div w:id="293221021">
      <w:bodyDiv w:val="1"/>
      <w:marLeft w:val="0"/>
      <w:marRight w:val="0"/>
      <w:marTop w:val="0"/>
      <w:marBottom w:val="0"/>
      <w:divBdr>
        <w:top w:val="none" w:sz="0" w:space="0" w:color="auto"/>
        <w:left w:val="none" w:sz="0" w:space="0" w:color="auto"/>
        <w:bottom w:val="none" w:sz="0" w:space="0" w:color="auto"/>
        <w:right w:val="none" w:sz="0" w:space="0" w:color="auto"/>
      </w:divBdr>
    </w:div>
    <w:div w:id="301886204">
      <w:bodyDiv w:val="1"/>
      <w:marLeft w:val="0"/>
      <w:marRight w:val="0"/>
      <w:marTop w:val="0"/>
      <w:marBottom w:val="0"/>
      <w:divBdr>
        <w:top w:val="none" w:sz="0" w:space="0" w:color="auto"/>
        <w:left w:val="none" w:sz="0" w:space="0" w:color="auto"/>
        <w:bottom w:val="none" w:sz="0" w:space="0" w:color="auto"/>
        <w:right w:val="none" w:sz="0" w:space="0" w:color="auto"/>
      </w:divBdr>
    </w:div>
    <w:div w:id="307058907">
      <w:bodyDiv w:val="1"/>
      <w:marLeft w:val="0"/>
      <w:marRight w:val="0"/>
      <w:marTop w:val="0"/>
      <w:marBottom w:val="0"/>
      <w:divBdr>
        <w:top w:val="none" w:sz="0" w:space="0" w:color="auto"/>
        <w:left w:val="none" w:sz="0" w:space="0" w:color="auto"/>
        <w:bottom w:val="none" w:sz="0" w:space="0" w:color="auto"/>
        <w:right w:val="none" w:sz="0" w:space="0" w:color="auto"/>
      </w:divBdr>
    </w:div>
    <w:div w:id="310258523">
      <w:bodyDiv w:val="1"/>
      <w:marLeft w:val="0"/>
      <w:marRight w:val="0"/>
      <w:marTop w:val="0"/>
      <w:marBottom w:val="0"/>
      <w:divBdr>
        <w:top w:val="none" w:sz="0" w:space="0" w:color="auto"/>
        <w:left w:val="none" w:sz="0" w:space="0" w:color="auto"/>
        <w:bottom w:val="none" w:sz="0" w:space="0" w:color="auto"/>
        <w:right w:val="none" w:sz="0" w:space="0" w:color="auto"/>
      </w:divBdr>
    </w:div>
    <w:div w:id="322663028">
      <w:bodyDiv w:val="1"/>
      <w:marLeft w:val="0"/>
      <w:marRight w:val="0"/>
      <w:marTop w:val="0"/>
      <w:marBottom w:val="0"/>
      <w:divBdr>
        <w:top w:val="none" w:sz="0" w:space="0" w:color="auto"/>
        <w:left w:val="none" w:sz="0" w:space="0" w:color="auto"/>
        <w:bottom w:val="none" w:sz="0" w:space="0" w:color="auto"/>
        <w:right w:val="none" w:sz="0" w:space="0" w:color="auto"/>
      </w:divBdr>
    </w:div>
    <w:div w:id="323897274">
      <w:bodyDiv w:val="1"/>
      <w:marLeft w:val="0"/>
      <w:marRight w:val="0"/>
      <w:marTop w:val="0"/>
      <w:marBottom w:val="0"/>
      <w:divBdr>
        <w:top w:val="none" w:sz="0" w:space="0" w:color="auto"/>
        <w:left w:val="none" w:sz="0" w:space="0" w:color="auto"/>
        <w:bottom w:val="none" w:sz="0" w:space="0" w:color="auto"/>
        <w:right w:val="none" w:sz="0" w:space="0" w:color="auto"/>
      </w:divBdr>
    </w:div>
    <w:div w:id="342898479">
      <w:bodyDiv w:val="1"/>
      <w:marLeft w:val="0"/>
      <w:marRight w:val="0"/>
      <w:marTop w:val="0"/>
      <w:marBottom w:val="0"/>
      <w:divBdr>
        <w:top w:val="none" w:sz="0" w:space="0" w:color="auto"/>
        <w:left w:val="none" w:sz="0" w:space="0" w:color="auto"/>
        <w:bottom w:val="none" w:sz="0" w:space="0" w:color="auto"/>
        <w:right w:val="none" w:sz="0" w:space="0" w:color="auto"/>
      </w:divBdr>
    </w:div>
    <w:div w:id="357123486">
      <w:bodyDiv w:val="1"/>
      <w:marLeft w:val="0"/>
      <w:marRight w:val="0"/>
      <w:marTop w:val="0"/>
      <w:marBottom w:val="0"/>
      <w:divBdr>
        <w:top w:val="none" w:sz="0" w:space="0" w:color="auto"/>
        <w:left w:val="none" w:sz="0" w:space="0" w:color="auto"/>
        <w:bottom w:val="none" w:sz="0" w:space="0" w:color="auto"/>
        <w:right w:val="none" w:sz="0" w:space="0" w:color="auto"/>
      </w:divBdr>
    </w:div>
    <w:div w:id="357238713">
      <w:bodyDiv w:val="1"/>
      <w:marLeft w:val="0"/>
      <w:marRight w:val="0"/>
      <w:marTop w:val="0"/>
      <w:marBottom w:val="0"/>
      <w:divBdr>
        <w:top w:val="none" w:sz="0" w:space="0" w:color="auto"/>
        <w:left w:val="none" w:sz="0" w:space="0" w:color="auto"/>
        <w:bottom w:val="none" w:sz="0" w:space="0" w:color="auto"/>
        <w:right w:val="none" w:sz="0" w:space="0" w:color="auto"/>
      </w:divBdr>
    </w:div>
    <w:div w:id="358626014">
      <w:bodyDiv w:val="1"/>
      <w:marLeft w:val="0"/>
      <w:marRight w:val="0"/>
      <w:marTop w:val="0"/>
      <w:marBottom w:val="0"/>
      <w:divBdr>
        <w:top w:val="none" w:sz="0" w:space="0" w:color="auto"/>
        <w:left w:val="none" w:sz="0" w:space="0" w:color="auto"/>
        <w:bottom w:val="none" w:sz="0" w:space="0" w:color="auto"/>
        <w:right w:val="none" w:sz="0" w:space="0" w:color="auto"/>
      </w:divBdr>
    </w:div>
    <w:div w:id="369496755">
      <w:bodyDiv w:val="1"/>
      <w:marLeft w:val="0"/>
      <w:marRight w:val="0"/>
      <w:marTop w:val="0"/>
      <w:marBottom w:val="0"/>
      <w:divBdr>
        <w:top w:val="none" w:sz="0" w:space="0" w:color="auto"/>
        <w:left w:val="none" w:sz="0" w:space="0" w:color="auto"/>
        <w:bottom w:val="none" w:sz="0" w:space="0" w:color="auto"/>
        <w:right w:val="none" w:sz="0" w:space="0" w:color="auto"/>
      </w:divBdr>
    </w:div>
    <w:div w:id="370035241">
      <w:bodyDiv w:val="1"/>
      <w:marLeft w:val="0"/>
      <w:marRight w:val="0"/>
      <w:marTop w:val="0"/>
      <w:marBottom w:val="0"/>
      <w:divBdr>
        <w:top w:val="none" w:sz="0" w:space="0" w:color="auto"/>
        <w:left w:val="none" w:sz="0" w:space="0" w:color="auto"/>
        <w:bottom w:val="none" w:sz="0" w:space="0" w:color="auto"/>
        <w:right w:val="none" w:sz="0" w:space="0" w:color="auto"/>
      </w:divBdr>
    </w:div>
    <w:div w:id="371930388">
      <w:bodyDiv w:val="1"/>
      <w:marLeft w:val="0"/>
      <w:marRight w:val="0"/>
      <w:marTop w:val="0"/>
      <w:marBottom w:val="0"/>
      <w:divBdr>
        <w:top w:val="none" w:sz="0" w:space="0" w:color="auto"/>
        <w:left w:val="none" w:sz="0" w:space="0" w:color="auto"/>
        <w:bottom w:val="none" w:sz="0" w:space="0" w:color="auto"/>
        <w:right w:val="none" w:sz="0" w:space="0" w:color="auto"/>
      </w:divBdr>
    </w:div>
    <w:div w:id="373777901">
      <w:bodyDiv w:val="1"/>
      <w:marLeft w:val="0"/>
      <w:marRight w:val="0"/>
      <w:marTop w:val="0"/>
      <w:marBottom w:val="0"/>
      <w:divBdr>
        <w:top w:val="none" w:sz="0" w:space="0" w:color="auto"/>
        <w:left w:val="none" w:sz="0" w:space="0" w:color="auto"/>
        <w:bottom w:val="none" w:sz="0" w:space="0" w:color="auto"/>
        <w:right w:val="none" w:sz="0" w:space="0" w:color="auto"/>
      </w:divBdr>
    </w:div>
    <w:div w:id="376318169">
      <w:bodyDiv w:val="1"/>
      <w:marLeft w:val="0"/>
      <w:marRight w:val="0"/>
      <w:marTop w:val="0"/>
      <w:marBottom w:val="0"/>
      <w:divBdr>
        <w:top w:val="none" w:sz="0" w:space="0" w:color="auto"/>
        <w:left w:val="none" w:sz="0" w:space="0" w:color="auto"/>
        <w:bottom w:val="none" w:sz="0" w:space="0" w:color="auto"/>
        <w:right w:val="none" w:sz="0" w:space="0" w:color="auto"/>
      </w:divBdr>
    </w:div>
    <w:div w:id="387918005">
      <w:bodyDiv w:val="1"/>
      <w:marLeft w:val="0"/>
      <w:marRight w:val="0"/>
      <w:marTop w:val="0"/>
      <w:marBottom w:val="0"/>
      <w:divBdr>
        <w:top w:val="none" w:sz="0" w:space="0" w:color="auto"/>
        <w:left w:val="none" w:sz="0" w:space="0" w:color="auto"/>
        <w:bottom w:val="none" w:sz="0" w:space="0" w:color="auto"/>
        <w:right w:val="none" w:sz="0" w:space="0" w:color="auto"/>
      </w:divBdr>
    </w:div>
    <w:div w:id="394546380">
      <w:bodyDiv w:val="1"/>
      <w:marLeft w:val="0"/>
      <w:marRight w:val="0"/>
      <w:marTop w:val="0"/>
      <w:marBottom w:val="0"/>
      <w:divBdr>
        <w:top w:val="none" w:sz="0" w:space="0" w:color="auto"/>
        <w:left w:val="none" w:sz="0" w:space="0" w:color="auto"/>
        <w:bottom w:val="none" w:sz="0" w:space="0" w:color="auto"/>
        <w:right w:val="none" w:sz="0" w:space="0" w:color="auto"/>
      </w:divBdr>
    </w:div>
    <w:div w:id="400636637">
      <w:bodyDiv w:val="1"/>
      <w:marLeft w:val="0"/>
      <w:marRight w:val="0"/>
      <w:marTop w:val="0"/>
      <w:marBottom w:val="0"/>
      <w:divBdr>
        <w:top w:val="none" w:sz="0" w:space="0" w:color="auto"/>
        <w:left w:val="none" w:sz="0" w:space="0" w:color="auto"/>
        <w:bottom w:val="none" w:sz="0" w:space="0" w:color="auto"/>
        <w:right w:val="none" w:sz="0" w:space="0" w:color="auto"/>
      </w:divBdr>
    </w:div>
    <w:div w:id="407263448">
      <w:bodyDiv w:val="1"/>
      <w:marLeft w:val="0"/>
      <w:marRight w:val="0"/>
      <w:marTop w:val="0"/>
      <w:marBottom w:val="0"/>
      <w:divBdr>
        <w:top w:val="none" w:sz="0" w:space="0" w:color="auto"/>
        <w:left w:val="none" w:sz="0" w:space="0" w:color="auto"/>
        <w:bottom w:val="none" w:sz="0" w:space="0" w:color="auto"/>
        <w:right w:val="none" w:sz="0" w:space="0" w:color="auto"/>
      </w:divBdr>
    </w:div>
    <w:div w:id="411782037">
      <w:bodyDiv w:val="1"/>
      <w:marLeft w:val="0"/>
      <w:marRight w:val="0"/>
      <w:marTop w:val="0"/>
      <w:marBottom w:val="0"/>
      <w:divBdr>
        <w:top w:val="none" w:sz="0" w:space="0" w:color="auto"/>
        <w:left w:val="none" w:sz="0" w:space="0" w:color="auto"/>
        <w:bottom w:val="none" w:sz="0" w:space="0" w:color="auto"/>
        <w:right w:val="none" w:sz="0" w:space="0" w:color="auto"/>
      </w:divBdr>
    </w:div>
    <w:div w:id="417748812">
      <w:bodyDiv w:val="1"/>
      <w:marLeft w:val="0"/>
      <w:marRight w:val="0"/>
      <w:marTop w:val="0"/>
      <w:marBottom w:val="0"/>
      <w:divBdr>
        <w:top w:val="none" w:sz="0" w:space="0" w:color="auto"/>
        <w:left w:val="none" w:sz="0" w:space="0" w:color="auto"/>
        <w:bottom w:val="none" w:sz="0" w:space="0" w:color="auto"/>
        <w:right w:val="none" w:sz="0" w:space="0" w:color="auto"/>
      </w:divBdr>
    </w:div>
    <w:div w:id="427504802">
      <w:bodyDiv w:val="1"/>
      <w:marLeft w:val="0"/>
      <w:marRight w:val="0"/>
      <w:marTop w:val="0"/>
      <w:marBottom w:val="0"/>
      <w:divBdr>
        <w:top w:val="none" w:sz="0" w:space="0" w:color="auto"/>
        <w:left w:val="none" w:sz="0" w:space="0" w:color="auto"/>
        <w:bottom w:val="none" w:sz="0" w:space="0" w:color="auto"/>
        <w:right w:val="none" w:sz="0" w:space="0" w:color="auto"/>
      </w:divBdr>
    </w:div>
    <w:div w:id="434525077">
      <w:bodyDiv w:val="1"/>
      <w:marLeft w:val="0"/>
      <w:marRight w:val="0"/>
      <w:marTop w:val="0"/>
      <w:marBottom w:val="0"/>
      <w:divBdr>
        <w:top w:val="none" w:sz="0" w:space="0" w:color="auto"/>
        <w:left w:val="none" w:sz="0" w:space="0" w:color="auto"/>
        <w:bottom w:val="none" w:sz="0" w:space="0" w:color="auto"/>
        <w:right w:val="none" w:sz="0" w:space="0" w:color="auto"/>
      </w:divBdr>
    </w:div>
    <w:div w:id="435636820">
      <w:bodyDiv w:val="1"/>
      <w:marLeft w:val="0"/>
      <w:marRight w:val="0"/>
      <w:marTop w:val="0"/>
      <w:marBottom w:val="0"/>
      <w:divBdr>
        <w:top w:val="none" w:sz="0" w:space="0" w:color="auto"/>
        <w:left w:val="none" w:sz="0" w:space="0" w:color="auto"/>
        <w:bottom w:val="none" w:sz="0" w:space="0" w:color="auto"/>
        <w:right w:val="none" w:sz="0" w:space="0" w:color="auto"/>
      </w:divBdr>
    </w:div>
    <w:div w:id="448398136">
      <w:bodyDiv w:val="1"/>
      <w:marLeft w:val="0"/>
      <w:marRight w:val="0"/>
      <w:marTop w:val="0"/>
      <w:marBottom w:val="0"/>
      <w:divBdr>
        <w:top w:val="none" w:sz="0" w:space="0" w:color="auto"/>
        <w:left w:val="none" w:sz="0" w:space="0" w:color="auto"/>
        <w:bottom w:val="none" w:sz="0" w:space="0" w:color="auto"/>
        <w:right w:val="none" w:sz="0" w:space="0" w:color="auto"/>
      </w:divBdr>
    </w:div>
    <w:div w:id="457726549">
      <w:bodyDiv w:val="1"/>
      <w:marLeft w:val="0"/>
      <w:marRight w:val="0"/>
      <w:marTop w:val="0"/>
      <w:marBottom w:val="0"/>
      <w:divBdr>
        <w:top w:val="none" w:sz="0" w:space="0" w:color="auto"/>
        <w:left w:val="none" w:sz="0" w:space="0" w:color="auto"/>
        <w:bottom w:val="none" w:sz="0" w:space="0" w:color="auto"/>
        <w:right w:val="none" w:sz="0" w:space="0" w:color="auto"/>
      </w:divBdr>
    </w:div>
    <w:div w:id="470561703">
      <w:bodyDiv w:val="1"/>
      <w:marLeft w:val="0"/>
      <w:marRight w:val="0"/>
      <w:marTop w:val="0"/>
      <w:marBottom w:val="0"/>
      <w:divBdr>
        <w:top w:val="none" w:sz="0" w:space="0" w:color="auto"/>
        <w:left w:val="none" w:sz="0" w:space="0" w:color="auto"/>
        <w:bottom w:val="none" w:sz="0" w:space="0" w:color="auto"/>
        <w:right w:val="none" w:sz="0" w:space="0" w:color="auto"/>
      </w:divBdr>
    </w:div>
    <w:div w:id="470563306">
      <w:bodyDiv w:val="1"/>
      <w:marLeft w:val="0"/>
      <w:marRight w:val="0"/>
      <w:marTop w:val="0"/>
      <w:marBottom w:val="0"/>
      <w:divBdr>
        <w:top w:val="none" w:sz="0" w:space="0" w:color="auto"/>
        <w:left w:val="none" w:sz="0" w:space="0" w:color="auto"/>
        <w:bottom w:val="none" w:sz="0" w:space="0" w:color="auto"/>
        <w:right w:val="none" w:sz="0" w:space="0" w:color="auto"/>
      </w:divBdr>
    </w:div>
    <w:div w:id="484473410">
      <w:bodyDiv w:val="1"/>
      <w:marLeft w:val="0"/>
      <w:marRight w:val="0"/>
      <w:marTop w:val="0"/>
      <w:marBottom w:val="0"/>
      <w:divBdr>
        <w:top w:val="none" w:sz="0" w:space="0" w:color="auto"/>
        <w:left w:val="none" w:sz="0" w:space="0" w:color="auto"/>
        <w:bottom w:val="none" w:sz="0" w:space="0" w:color="auto"/>
        <w:right w:val="none" w:sz="0" w:space="0" w:color="auto"/>
      </w:divBdr>
    </w:div>
    <w:div w:id="491260989">
      <w:bodyDiv w:val="1"/>
      <w:marLeft w:val="0"/>
      <w:marRight w:val="0"/>
      <w:marTop w:val="0"/>
      <w:marBottom w:val="0"/>
      <w:divBdr>
        <w:top w:val="none" w:sz="0" w:space="0" w:color="auto"/>
        <w:left w:val="none" w:sz="0" w:space="0" w:color="auto"/>
        <w:bottom w:val="none" w:sz="0" w:space="0" w:color="auto"/>
        <w:right w:val="none" w:sz="0" w:space="0" w:color="auto"/>
      </w:divBdr>
    </w:div>
    <w:div w:id="499665880">
      <w:bodyDiv w:val="1"/>
      <w:marLeft w:val="0"/>
      <w:marRight w:val="0"/>
      <w:marTop w:val="0"/>
      <w:marBottom w:val="0"/>
      <w:divBdr>
        <w:top w:val="none" w:sz="0" w:space="0" w:color="auto"/>
        <w:left w:val="none" w:sz="0" w:space="0" w:color="auto"/>
        <w:bottom w:val="none" w:sz="0" w:space="0" w:color="auto"/>
        <w:right w:val="none" w:sz="0" w:space="0" w:color="auto"/>
      </w:divBdr>
    </w:div>
    <w:div w:id="501547230">
      <w:bodyDiv w:val="1"/>
      <w:marLeft w:val="0"/>
      <w:marRight w:val="0"/>
      <w:marTop w:val="0"/>
      <w:marBottom w:val="0"/>
      <w:divBdr>
        <w:top w:val="none" w:sz="0" w:space="0" w:color="auto"/>
        <w:left w:val="none" w:sz="0" w:space="0" w:color="auto"/>
        <w:bottom w:val="none" w:sz="0" w:space="0" w:color="auto"/>
        <w:right w:val="none" w:sz="0" w:space="0" w:color="auto"/>
      </w:divBdr>
    </w:div>
    <w:div w:id="515508829">
      <w:bodyDiv w:val="1"/>
      <w:marLeft w:val="0"/>
      <w:marRight w:val="0"/>
      <w:marTop w:val="0"/>
      <w:marBottom w:val="0"/>
      <w:divBdr>
        <w:top w:val="none" w:sz="0" w:space="0" w:color="auto"/>
        <w:left w:val="none" w:sz="0" w:space="0" w:color="auto"/>
        <w:bottom w:val="none" w:sz="0" w:space="0" w:color="auto"/>
        <w:right w:val="none" w:sz="0" w:space="0" w:color="auto"/>
      </w:divBdr>
    </w:div>
    <w:div w:id="525824654">
      <w:bodyDiv w:val="1"/>
      <w:marLeft w:val="0"/>
      <w:marRight w:val="0"/>
      <w:marTop w:val="0"/>
      <w:marBottom w:val="0"/>
      <w:divBdr>
        <w:top w:val="none" w:sz="0" w:space="0" w:color="auto"/>
        <w:left w:val="none" w:sz="0" w:space="0" w:color="auto"/>
        <w:bottom w:val="none" w:sz="0" w:space="0" w:color="auto"/>
        <w:right w:val="none" w:sz="0" w:space="0" w:color="auto"/>
      </w:divBdr>
    </w:div>
    <w:div w:id="534777152">
      <w:bodyDiv w:val="1"/>
      <w:marLeft w:val="0"/>
      <w:marRight w:val="0"/>
      <w:marTop w:val="0"/>
      <w:marBottom w:val="0"/>
      <w:divBdr>
        <w:top w:val="none" w:sz="0" w:space="0" w:color="auto"/>
        <w:left w:val="none" w:sz="0" w:space="0" w:color="auto"/>
        <w:bottom w:val="none" w:sz="0" w:space="0" w:color="auto"/>
        <w:right w:val="none" w:sz="0" w:space="0" w:color="auto"/>
      </w:divBdr>
    </w:div>
    <w:div w:id="567427266">
      <w:bodyDiv w:val="1"/>
      <w:marLeft w:val="0"/>
      <w:marRight w:val="0"/>
      <w:marTop w:val="0"/>
      <w:marBottom w:val="0"/>
      <w:divBdr>
        <w:top w:val="none" w:sz="0" w:space="0" w:color="auto"/>
        <w:left w:val="none" w:sz="0" w:space="0" w:color="auto"/>
        <w:bottom w:val="none" w:sz="0" w:space="0" w:color="auto"/>
        <w:right w:val="none" w:sz="0" w:space="0" w:color="auto"/>
      </w:divBdr>
    </w:div>
    <w:div w:id="570238360">
      <w:bodyDiv w:val="1"/>
      <w:marLeft w:val="0"/>
      <w:marRight w:val="0"/>
      <w:marTop w:val="0"/>
      <w:marBottom w:val="0"/>
      <w:divBdr>
        <w:top w:val="none" w:sz="0" w:space="0" w:color="auto"/>
        <w:left w:val="none" w:sz="0" w:space="0" w:color="auto"/>
        <w:bottom w:val="none" w:sz="0" w:space="0" w:color="auto"/>
        <w:right w:val="none" w:sz="0" w:space="0" w:color="auto"/>
      </w:divBdr>
    </w:div>
    <w:div w:id="576282516">
      <w:bodyDiv w:val="1"/>
      <w:marLeft w:val="0"/>
      <w:marRight w:val="0"/>
      <w:marTop w:val="0"/>
      <w:marBottom w:val="0"/>
      <w:divBdr>
        <w:top w:val="none" w:sz="0" w:space="0" w:color="auto"/>
        <w:left w:val="none" w:sz="0" w:space="0" w:color="auto"/>
        <w:bottom w:val="none" w:sz="0" w:space="0" w:color="auto"/>
        <w:right w:val="none" w:sz="0" w:space="0" w:color="auto"/>
      </w:divBdr>
    </w:div>
    <w:div w:id="576398876">
      <w:bodyDiv w:val="1"/>
      <w:marLeft w:val="0"/>
      <w:marRight w:val="0"/>
      <w:marTop w:val="0"/>
      <w:marBottom w:val="0"/>
      <w:divBdr>
        <w:top w:val="none" w:sz="0" w:space="0" w:color="auto"/>
        <w:left w:val="none" w:sz="0" w:space="0" w:color="auto"/>
        <w:bottom w:val="none" w:sz="0" w:space="0" w:color="auto"/>
        <w:right w:val="none" w:sz="0" w:space="0" w:color="auto"/>
      </w:divBdr>
    </w:div>
    <w:div w:id="578750835">
      <w:bodyDiv w:val="1"/>
      <w:marLeft w:val="0"/>
      <w:marRight w:val="0"/>
      <w:marTop w:val="0"/>
      <w:marBottom w:val="0"/>
      <w:divBdr>
        <w:top w:val="none" w:sz="0" w:space="0" w:color="auto"/>
        <w:left w:val="none" w:sz="0" w:space="0" w:color="auto"/>
        <w:bottom w:val="none" w:sz="0" w:space="0" w:color="auto"/>
        <w:right w:val="none" w:sz="0" w:space="0" w:color="auto"/>
      </w:divBdr>
    </w:div>
    <w:div w:id="581178321">
      <w:bodyDiv w:val="1"/>
      <w:marLeft w:val="0"/>
      <w:marRight w:val="0"/>
      <w:marTop w:val="0"/>
      <w:marBottom w:val="0"/>
      <w:divBdr>
        <w:top w:val="none" w:sz="0" w:space="0" w:color="auto"/>
        <w:left w:val="none" w:sz="0" w:space="0" w:color="auto"/>
        <w:bottom w:val="none" w:sz="0" w:space="0" w:color="auto"/>
        <w:right w:val="none" w:sz="0" w:space="0" w:color="auto"/>
      </w:divBdr>
    </w:div>
    <w:div w:id="581573944">
      <w:bodyDiv w:val="1"/>
      <w:marLeft w:val="0"/>
      <w:marRight w:val="0"/>
      <w:marTop w:val="0"/>
      <w:marBottom w:val="0"/>
      <w:divBdr>
        <w:top w:val="none" w:sz="0" w:space="0" w:color="auto"/>
        <w:left w:val="none" w:sz="0" w:space="0" w:color="auto"/>
        <w:bottom w:val="none" w:sz="0" w:space="0" w:color="auto"/>
        <w:right w:val="none" w:sz="0" w:space="0" w:color="auto"/>
      </w:divBdr>
    </w:div>
    <w:div w:id="585579619">
      <w:bodyDiv w:val="1"/>
      <w:marLeft w:val="0"/>
      <w:marRight w:val="0"/>
      <w:marTop w:val="0"/>
      <w:marBottom w:val="0"/>
      <w:divBdr>
        <w:top w:val="none" w:sz="0" w:space="0" w:color="auto"/>
        <w:left w:val="none" w:sz="0" w:space="0" w:color="auto"/>
        <w:bottom w:val="none" w:sz="0" w:space="0" w:color="auto"/>
        <w:right w:val="none" w:sz="0" w:space="0" w:color="auto"/>
      </w:divBdr>
    </w:div>
    <w:div w:id="586841191">
      <w:bodyDiv w:val="1"/>
      <w:marLeft w:val="0"/>
      <w:marRight w:val="0"/>
      <w:marTop w:val="0"/>
      <w:marBottom w:val="0"/>
      <w:divBdr>
        <w:top w:val="none" w:sz="0" w:space="0" w:color="auto"/>
        <w:left w:val="none" w:sz="0" w:space="0" w:color="auto"/>
        <w:bottom w:val="none" w:sz="0" w:space="0" w:color="auto"/>
        <w:right w:val="none" w:sz="0" w:space="0" w:color="auto"/>
      </w:divBdr>
    </w:div>
    <w:div w:id="603609588">
      <w:bodyDiv w:val="1"/>
      <w:marLeft w:val="0"/>
      <w:marRight w:val="0"/>
      <w:marTop w:val="0"/>
      <w:marBottom w:val="0"/>
      <w:divBdr>
        <w:top w:val="none" w:sz="0" w:space="0" w:color="auto"/>
        <w:left w:val="none" w:sz="0" w:space="0" w:color="auto"/>
        <w:bottom w:val="none" w:sz="0" w:space="0" w:color="auto"/>
        <w:right w:val="none" w:sz="0" w:space="0" w:color="auto"/>
      </w:divBdr>
    </w:div>
    <w:div w:id="640043758">
      <w:bodyDiv w:val="1"/>
      <w:marLeft w:val="0"/>
      <w:marRight w:val="0"/>
      <w:marTop w:val="0"/>
      <w:marBottom w:val="0"/>
      <w:divBdr>
        <w:top w:val="none" w:sz="0" w:space="0" w:color="auto"/>
        <w:left w:val="none" w:sz="0" w:space="0" w:color="auto"/>
        <w:bottom w:val="none" w:sz="0" w:space="0" w:color="auto"/>
        <w:right w:val="none" w:sz="0" w:space="0" w:color="auto"/>
      </w:divBdr>
    </w:div>
    <w:div w:id="644315612">
      <w:bodyDiv w:val="1"/>
      <w:marLeft w:val="0"/>
      <w:marRight w:val="0"/>
      <w:marTop w:val="0"/>
      <w:marBottom w:val="0"/>
      <w:divBdr>
        <w:top w:val="none" w:sz="0" w:space="0" w:color="auto"/>
        <w:left w:val="none" w:sz="0" w:space="0" w:color="auto"/>
        <w:bottom w:val="none" w:sz="0" w:space="0" w:color="auto"/>
        <w:right w:val="none" w:sz="0" w:space="0" w:color="auto"/>
      </w:divBdr>
    </w:div>
    <w:div w:id="649597375">
      <w:bodyDiv w:val="1"/>
      <w:marLeft w:val="0"/>
      <w:marRight w:val="0"/>
      <w:marTop w:val="0"/>
      <w:marBottom w:val="0"/>
      <w:divBdr>
        <w:top w:val="none" w:sz="0" w:space="0" w:color="auto"/>
        <w:left w:val="none" w:sz="0" w:space="0" w:color="auto"/>
        <w:bottom w:val="none" w:sz="0" w:space="0" w:color="auto"/>
        <w:right w:val="none" w:sz="0" w:space="0" w:color="auto"/>
      </w:divBdr>
    </w:div>
    <w:div w:id="665549136">
      <w:bodyDiv w:val="1"/>
      <w:marLeft w:val="0"/>
      <w:marRight w:val="0"/>
      <w:marTop w:val="0"/>
      <w:marBottom w:val="0"/>
      <w:divBdr>
        <w:top w:val="none" w:sz="0" w:space="0" w:color="auto"/>
        <w:left w:val="none" w:sz="0" w:space="0" w:color="auto"/>
        <w:bottom w:val="none" w:sz="0" w:space="0" w:color="auto"/>
        <w:right w:val="none" w:sz="0" w:space="0" w:color="auto"/>
      </w:divBdr>
    </w:div>
    <w:div w:id="674377741">
      <w:bodyDiv w:val="1"/>
      <w:marLeft w:val="0"/>
      <w:marRight w:val="0"/>
      <w:marTop w:val="0"/>
      <w:marBottom w:val="0"/>
      <w:divBdr>
        <w:top w:val="none" w:sz="0" w:space="0" w:color="auto"/>
        <w:left w:val="none" w:sz="0" w:space="0" w:color="auto"/>
        <w:bottom w:val="none" w:sz="0" w:space="0" w:color="auto"/>
        <w:right w:val="none" w:sz="0" w:space="0" w:color="auto"/>
      </w:divBdr>
    </w:div>
    <w:div w:id="687177723">
      <w:bodyDiv w:val="1"/>
      <w:marLeft w:val="0"/>
      <w:marRight w:val="0"/>
      <w:marTop w:val="0"/>
      <w:marBottom w:val="0"/>
      <w:divBdr>
        <w:top w:val="none" w:sz="0" w:space="0" w:color="auto"/>
        <w:left w:val="none" w:sz="0" w:space="0" w:color="auto"/>
        <w:bottom w:val="none" w:sz="0" w:space="0" w:color="auto"/>
        <w:right w:val="none" w:sz="0" w:space="0" w:color="auto"/>
      </w:divBdr>
    </w:div>
    <w:div w:id="704790510">
      <w:bodyDiv w:val="1"/>
      <w:marLeft w:val="0"/>
      <w:marRight w:val="0"/>
      <w:marTop w:val="0"/>
      <w:marBottom w:val="0"/>
      <w:divBdr>
        <w:top w:val="none" w:sz="0" w:space="0" w:color="auto"/>
        <w:left w:val="none" w:sz="0" w:space="0" w:color="auto"/>
        <w:bottom w:val="none" w:sz="0" w:space="0" w:color="auto"/>
        <w:right w:val="none" w:sz="0" w:space="0" w:color="auto"/>
      </w:divBdr>
    </w:div>
    <w:div w:id="755128740">
      <w:bodyDiv w:val="1"/>
      <w:marLeft w:val="0"/>
      <w:marRight w:val="0"/>
      <w:marTop w:val="0"/>
      <w:marBottom w:val="0"/>
      <w:divBdr>
        <w:top w:val="none" w:sz="0" w:space="0" w:color="auto"/>
        <w:left w:val="none" w:sz="0" w:space="0" w:color="auto"/>
        <w:bottom w:val="none" w:sz="0" w:space="0" w:color="auto"/>
        <w:right w:val="none" w:sz="0" w:space="0" w:color="auto"/>
      </w:divBdr>
    </w:div>
    <w:div w:id="755248282">
      <w:bodyDiv w:val="1"/>
      <w:marLeft w:val="0"/>
      <w:marRight w:val="0"/>
      <w:marTop w:val="0"/>
      <w:marBottom w:val="0"/>
      <w:divBdr>
        <w:top w:val="none" w:sz="0" w:space="0" w:color="auto"/>
        <w:left w:val="none" w:sz="0" w:space="0" w:color="auto"/>
        <w:bottom w:val="none" w:sz="0" w:space="0" w:color="auto"/>
        <w:right w:val="none" w:sz="0" w:space="0" w:color="auto"/>
      </w:divBdr>
    </w:div>
    <w:div w:id="781728912">
      <w:bodyDiv w:val="1"/>
      <w:marLeft w:val="0"/>
      <w:marRight w:val="0"/>
      <w:marTop w:val="0"/>
      <w:marBottom w:val="0"/>
      <w:divBdr>
        <w:top w:val="none" w:sz="0" w:space="0" w:color="auto"/>
        <w:left w:val="none" w:sz="0" w:space="0" w:color="auto"/>
        <w:bottom w:val="none" w:sz="0" w:space="0" w:color="auto"/>
        <w:right w:val="none" w:sz="0" w:space="0" w:color="auto"/>
      </w:divBdr>
    </w:div>
    <w:div w:id="824202046">
      <w:bodyDiv w:val="1"/>
      <w:marLeft w:val="0"/>
      <w:marRight w:val="0"/>
      <w:marTop w:val="0"/>
      <w:marBottom w:val="0"/>
      <w:divBdr>
        <w:top w:val="none" w:sz="0" w:space="0" w:color="auto"/>
        <w:left w:val="none" w:sz="0" w:space="0" w:color="auto"/>
        <w:bottom w:val="none" w:sz="0" w:space="0" w:color="auto"/>
        <w:right w:val="none" w:sz="0" w:space="0" w:color="auto"/>
      </w:divBdr>
    </w:div>
    <w:div w:id="827358916">
      <w:bodyDiv w:val="1"/>
      <w:marLeft w:val="0"/>
      <w:marRight w:val="0"/>
      <w:marTop w:val="0"/>
      <w:marBottom w:val="0"/>
      <w:divBdr>
        <w:top w:val="none" w:sz="0" w:space="0" w:color="auto"/>
        <w:left w:val="none" w:sz="0" w:space="0" w:color="auto"/>
        <w:bottom w:val="none" w:sz="0" w:space="0" w:color="auto"/>
        <w:right w:val="none" w:sz="0" w:space="0" w:color="auto"/>
      </w:divBdr>
    </w:div>
    <w:div w:id="837310596">
      <w:bodyDiv w:val="1"/>
      <w:marLeft w:val="0"/>
      <w:marRight w:val="0"/>
      <w:marTop w:val="0"/>
      <w:marBottom w:val="0"/>
      <w:divBdr>
        <w:top w:val="none" w:sz="0" w:space="0" w:color="auto"/>
        <w:left w:val="none" w:sz="0" w:space="0" w:color="auto"/>
        <w:bottom w:val="none" w:sz="0" w:space="0" w:color="auto"/>
        <w:right w:val="none" w:sz="0" w:space="0" w:color="auto"/>
      </w:divBdr>
    </w:div>
    <w:div w:id="847141114">
      <w:bodyDiv w:val="1"/>
      <w:marLeft w:val="0"/>
      <w:marRight w:val="0"/>
      <w:marTop w:val="0"/>
      <w:marBottom w:val="0"/>
      <w:divBdr>
        <w:top w:val="none" w:sz="0" w:space="0" w:color="auto"/>
        <w:left w:val="none" w:sz="0" w:space="0" w:color="auto"/>
        <w:bottom w:val="none" w:sz="0" w:space="0" w:color="auto"/>
        <w:right w:val="none" w:sz="0" w:space="0" w:color="auto"/>
      </w:divBdr>
    </w:div>
    <w:div w:id="847518797">
      <w:bodyDiv w:val="1"/>
      <w:marLeft w:val="0"/>
      <w:marRight w:val="0"/>
      <w:marTop w:val="0"/>
      <w:marBottom w:val="0"/>
      <w:divBdr>
        <w:top w:val="none" w:sz="0" w:space="0" w:color="auto"/>
        <w:left w:val="none" w:sz="0" w:space="0" w:color="auto"/>
        <w:bottom w:val="none" w:sz="0" w:space="0" w:color="auto"/>
        <w:right w:val="none" w:sz="0" w:space="0" w:color="auto"/>
      </w:divBdr>
    </w:div>
    <w:div w:id="855078626">
      <w:bodyDiv w:val="1"/>
      <w:marLeft w:val="0"/>
      <w:marRight w:val="0"/>
      <w:marTop w:val="0"/>
      <w:marBottom w:val="0"/>
      <w:divBdr>
        <w:top w:val="none" w:sz="0" w:space="0" w:color="auto"/>
        <w:left w:val="none" w:sz="0" w:space="0" w:color="auto"/>
        <w:bottom w:val="none" w:sz="0" w:space="0" w:color="auto"/>
        <w:right w:val="none" w:sz="0" w:space="0" w:color="auto"/>
      </w:divBdr>
    </w:div>
    <w:div w:id="855735090">
      <w:bodyDiv w:val="1"/>
      <w:marLeft w:val="0"/>
      <w:marRight w:val="0"/>
      <w:marTop w:val="0"/>
      <w:marBottom w:val="0"/>
      <w:divBdr>
        <w:top w:val="none" w:sz="0" w:space="0" w:color="auto"/>
        <w:left w:val="none" w:sz="0" w:space="0" w:color="auto"/>
        <w:bottom w:val="none" w:sz="0" w:space="0" w:color="auto"/>
        <w:right w:val="none" w:sz="0" w:space="0" w:color="auto"/>
      </w:divBdr>
    </w:div>
    <w:div w:id="877470283">
      <w:bodyDiv w:val="1"/>
      <w:marLeft w:val="0"/>
      <w:marRight w:val="0"/>
      <w:marTop w:val="0"/>
      <w:marBottom w:val="0"/>
      <w:divBdr>
        <w:top w:val="none" w:sz="0" w:space="0" w:color="auto"/>
        <w:left w:val="none" w:sz="0" w:space="0" w:color="auto"/>
        <w:bottom w:val="none" w:sz="0" w:space="0" w:color="auto"/>
        <w:right w:val="none" w:sz="0" w:space="0" w:color="auto"/>
      </w:divBdr>
    </w:div>
    <w:div w:id="887304378">
      <w:bodyDiv w:val="1"/>
      <w:marLeft w:val="0"/>
      <w:marRight w:val="0"/>
      <w:marTop w:val="0"/>
      <w:marBottom w:val="0"/>
      <w:divBdr>
        <w:top w:val="none" w:sz="0" w:space="0" w:color="auto"/>
        <w:left w:val="none" w:sz="0" w:space="0" w:color="auto"/>
        <w:bottom w:val="none" w:sz="0" w:space="0" w:color="auto"/>
        <w:right w:val="none" w:sz="0" w:space="0" w:color="auto"/>
      </w:divBdr>
    </w:div>
    <w:div w:id="892277689">
      <w:bodyDiv w:val="1"/>
      <w:marLeft w:val="0"/>
      <w:marRight w:val="0"/>
      <w:marTop w:val="0"/>
      <w:marBottom w:val="0"/>
      <w:divBdr>
        <w:top w:val="none" w:sz="0" w:space="0" w:color="auto"/>
        <w:left w:val="none" w:sz="0" w:space="0" w:color="auto"/>
        <w:bottom w:val="none" w:sz="0" w:space="0" w:color="auto"/>
        <w:right w:val="none" w:sz="0" w:space="0" w:color="auto"/>
      </w:divBdr>
    </w:div>
    <w:div w:id="897278523">
      <w:bodyDiv w:val="1"/>
      <w:marLeft w:val="0"/>
      <w:marRight w:val="0"/>
      <w:marTop w:val="0"/>
      <w:marBottom w:val="0"/>
      <w:divBdr>
        <w:top w:val="none" w:sz="0" w:space="0" w:color="auto"/>
        <w:left w:val="none" w:sz="0" w:space="0" w:color="auto"/>
        <w:bottom w:val="none" w:sz="0" w:space="0" w:color="auto"/>
        <w:right w:val="none" w:sz="0" w:space="0" w:color="auto"/>
      </w:divBdr>
    </w:div>
    <w:div w:id="899943582">
      <w:bodyDiv w:val="1"/>
      <w:marLeft w:val="0"/>
      <w:marRight w:val="0"/>
      <w:marTop w:val="0"/>
      <w:marBottom w:val="0"/>
      <w:divBdr>
        <w:top w:val="none" w:sz="0" w:space="0" w:color="auto"/>
        <w:left w:val="none" w:sz="0" w:space="0" w:color="auto"/>
        <w:bottom w:val="none" w:sz="0" w:space="0" w:color="auto"/>
        <w:right w:val="none" w:sz="0" w:space="0" w:color="auto"/>
      </w:divBdr>
    </w:div>
    <w:div w:id="900483848">
      <w:bodyDiv w:val="1"/>
      <w:marLeft w:val="0"/>
      <w:marRight w:val="0"/>
      <w:marTop w:val="0"/>
      <w:marBottom w:val="0"/>
      <w:divBdr>
        <w:top w:val="none" w:sz="0" w:space="0" w:color="auto"/>
        <w:left w:val="none" w:sz="0" w:space="0" w:color="auto"/>
        <w:bottom w:val="none" w:sz="0" w:space="0" w:color="auto"/>
        <w:right w:val="none" w:sz="0" w:space="0" w:color="auto"/>
      </w:divBdr>
    </w:div>
    <w:div w:id="905920020">
      <w:bodyDiv w:val="1"/>
      <w:marLeft w:val="0"/>
      <w:marRight w:val="0"/>
      <w:marTop w:val="0"/>
      <w:marBottom w:val="0"/>
      <w:divBdr>
        <w:top w:val="none" w:sz="0" w:space="0" w:color="auto"/>
        <w:left w:val="none" w:sz="0" w:space="0" w:color="auto"/>
        <w:bottom w:val="none" w:sz="0" w:space="0" w:color="auto"/>
        <w:right w:val="none" w:sz="0" w:space="0" w:color="auto"/>
      </w:divBdr>
    </w:div>
    <w:div w:id="906691839">
      <w:bodyDiv w:val="1"/>
      <w:marLeft w:val="0"/>
      <w:marRight w:val="0"/>
      <w:marTop w:val="0"/>
      <w:marBottom w:val="0"/>
      <w:divBdr>
        <w:top w:val="none" w:sz="0" w:space="0" w:color="auto"/>
        <w:left w:val="none" w:sz="0" w:space="0" w:color="auto"/>
        <w:bottom w:val="none" w:sz="0" w:space="0" w:color="auto"/>
        <w:right w:val="none" w:sz="0" w:space="0" w:color="auto"/>
      </w:divBdr>
    </w:div>
    <w:div w:id="924194170">
      <w:bodyDiv w:val="1"/>
      <w:marLeft w:val="0"/>
      <w:marRight w:val="0"/>
      <w:marTop w:val="0"/>
      <w:marBottom w:val="0"/>
      <w:divBdr>
        <w:top w:val="none" w:sz="0" w:space="0" w:color="auto"/>
        <w:left w:val="none" w:sz="0" w:space="0" w:color="auto"/>
        <w:bottom w:val="none" w:sz="0" w:space="0" w:color="auto"/>
        <w:right w:val="none" w:sz="0" w:space="0" w:color="auto"/>
      </w:divBdr>
    </w:div>
    <w:div w:id="930041145">
      <w:bodyDiv w:val="1"/>
      <w:marLeft w:val="0"/>
      <w:marRight w:val="0"/>
      <w:marTop w:val="0"/>
      <w:marBottom w:val="0"/>
      <w:divBdr>
        <w:top w:val="none" w:sz="0" w:space="0" w:color="auto"/>
        <w:left w:val="none" w:sz="0" w:space="0" w:color="auto"/>
        <w:bottom w:val="none" w:sz="0" w:space="0" w:color="auto"/>
        <w:right w:val="none" w:sz="0" w:space="0" w:color="auto"/>
      </w:divBdr>
    </w:div>
    <w:div w:id="931351238">
      <w:bodyDiv w:val="1"/>
      <w:marLeft w:val="0"/>
      <w:marRight w:val="0"/>
      <w:marTop w:val="0"/>
      <w:marBottom w:val="0"/>
      <w:divBdr>
        <w:top w:val="none" w:sz="0" w:space="0" w:color="auto"/>
        <w:left w:val="none" w:sz="0" w:space="0" w:color="auto"/>
        <w:bottom w:val="none" w:sz="0" w:space="0" w:color="auto"/>
        <w:right w:val="none" w:sz="0" w:space="0" w:color="auto"/>
      </w:divBdr>
    </w:div>
    <w:div w:id="931862237">
      <w:bodyDiv w:val="1"/>
      <w:marLeft w:val="0"/>
      <w:marRight w:val="0"/>
      <w:marTop w:val="0"/>
      <w:marBottom w:val="0"/>
      <w:divBdr>
        <w:top w:val="none" w:sz="0" w:space="0" w:color="auto"/>
        <w:left w:val="none" w:sz="0" w:space="0" w:color="auto"/>
        <w:bottom w:val="none" w:sz="0" w:space="0" w:color="auto"/>
        <w:right w:val="none" w:sz="0" w:space="0" w:color="auto"/>
      </w:divBdr>
    </w:div>
    <w:div w:id="932126657">
      <w:bodyDiv w:val="1"/>
      <w:marLeft w:val="0"/>
      <w:marRight w:val="0"/>
      <w:marTop w:val="0"/>
      <w:marBottom w:val="0"/>
      <w:divBdr>
        <w:top w:val="none" w:sz="0" w:space="0" w:color="auto"/>
        <w:left w:val="none" w:sz="0" w:space="0" w:color="auto"/>
        <w:bottom w:val="none" w:sz="0" w:space="0" w:color="auto"/>
        <w:right w:val="none" w:sz="0" w:space="0" w:color="auto"/>
      </w:divBdr>
    </w:div>
    <w:div w:id="932395476">
      <w:bodyDiv w:val="1"/>
      <w:marLeft w:val="0"/>
      <w:marRight w:val="0"/>
      <w:marTop w:val="0"/>
      <w:marBottom w:val="0"/>
      <w:divBdr>
        <w:top w:val="none" w:sz="0" w:space="0" w:color="auto"/>
        <w:left w:val="none" w:sz="0" w:space="0" w:color="auto"/>
        <w:bottom w:val="none" w:sz="0" w:space="0" w:color="auto"/>
        <w:right w:val="none" w:sz="0" w:space="0" w:color="auto"/>
      </w:divBdr>
    </w:div>
    <w:div w:id="936599448">
      <w:bodyDiv w:val="1"/>
      <w:marLeft w:val="0"/>
      <w:marRight w:val="0"/>
      <w:marTop w:val="0"/>
      <w:marBottom w:val="0"/>
      <w:divBdr>
        <w:top w:val="none" w:sz="0" w:space="0" w:color="auto"/>
        <w:left w:val="none" w:sz="0" w:space="0" w:color="auto"/>
        <w:bottom w:val="none" w:sz="0" w:space="0" w:color="auto"/>
        <w:right w:val="none" w:sz="0" w:space="0" w:color="auto"/>
      </w:divBdr>
    </w:div>
    <w:div w:id="951591740">
      <w:bodyDiv w:val="1"/>
      <w:marLeft w:val="0"/>
      <w:marRight w:val="0"/>
      <w:marTop w:val="0"/>
      <w:marBottom w:val="0"/>
      <w:divBdr>
        <w:top w:val="none" w:sz="0" w:space="0" w:color="auto"/>
        <w:left w:val="none" w:sz="0" w:space="0" w:color="auto"/>
        <w:bottom w:val="none" w:sz="0" w:space="0" w:color="auto"/>
        <w:right w:val="none" w:sz="0" w:space="0" w:color="auto"/>
      </w:divBdr>
    </w:div>
    <w:div w:id="954367760">
      <w:bodyDiv w:val="1"/>
      <w:marLeft w:val="0"/>
      <w:marRight w:val="0"/>
      <w:marTop w:val="0"/>
      <w:marBottom w:val="0"/>
      <w:divBdr>
        <w:top w:val="none" w:sz="0" w:space="0" w:color="auto"/>
        <w:left w:val="none" w:sz="0" w:space="0" w:color="auto"/>
        <w:bottom w:val="none" w:sz="0" w:space="0" w:color="auto"/>
        <w:right w:val="none" w:sz="0" w:space="0" w:color="auto"/>
      </w:divBdr>
    </w:div>
    <w:div w:id="965312103">
      <w:bodyDiv w:val="1"/>
      <w:marLeft w:val="0"/>
      <w:marRight w:val="0"/>
      <w:marTop w:val="0"/>
      <w:marBottom w:val="0"/>
      <w:divBdr>
        <w:top w:val="none" w:sz="0" w:space="0" w:color="auto"/>
        <w:left w:val="none" w:sz="0" w:space="0" w:color="auto"/>
        <w:bottom w:val="none" w:sz="0" w:space="0" w:color="auto"/>
        <w:right w:val="none" w:sz="0" w:space="0" w:color="auto"/>
      </w:divBdr>
    </w:div>
    <w:div w:id="981301969">
      <w:bodyDiv w:val="1"/>
      <w:marLeft w:val="0"/>
      <w:marRight w:val="0"/>
      <w:marTop w:val="0"/>
      <w:marBottom w:val="0"/>
      <w:divBdr>
        <w:top w:val="none" w:sz="0" w:space="0" w:color="auto"/>
        <w:left w:val="none" w:sz="0" w:space="0" w:color="auto"/>
        <w:bottom w:val="none" w:sz="0" w:space="0" w:color="auto"/>
        <w:right w:val="none" w:sz="0" w:space="0" w:color="auto"/>
      </w:divBdr>
    </w:div>
    <w:div w:id="982612937">
      <w:bodyDiv w:val="1"/>
      <w:marLeft w:val="0"/>
      <w:marRight w:val="0"/>
      <w:marTop w:val="0"/>
      <w:marBottom w:val="0"/>
      <w:divBdr>
        <w:top w:val="none" w:sz="0" w:space="0" w:color="auto"/>
        <w:left w:val="none" w:sz="0" w:space="0" w:color="auto"/>
        <w:bottom w:val="none" w:sz="0" w:space="0" w:color="auto"/>
        <w:right w:val="none" w:sz="0" w:space="0" w:color="auto"/>
      </w:divBdr>
    </w:div>
    <w:div w:id="992835675">
      <w:bodyDiv w:val="1"/>
      <w:marLeft w:val="0"/>
      <w:marRight w:val="0"/>
      <w:marTop w:val="0"/>
      <w:marBottom w:val="0"/>
      <w:divBdr>
        <w:top w:val="none" w:sz="0" w:space="0" w:color="auto"/>
        <w:left w:val="none" w:sz="0" w:space="0" w:color="auto"/>
        <w:bottom w:val="none" w:sz="0" w:space="0" w:color="auto"/>
        <w:right w:val="none" w:sz="0" w:space="0" w:color="auto"/>
      </w:divBdr>
    </w:div>
    <w:div w:id="994994090">
      <w:bodyDiv w:val="1"/>
      <w:marLeft w:val="0"/>
      <w:marRight w:val="0"/>
      <w:marTop w:val="0"/>
      <w:marBottom w:val="0"/>
      <w:divBdr>
        <w:top w:val="none" w:sz="0" w:space="0" w:color="auto"/>
        <w:left w:val="none" w:sz="0" w:space="0" w:color="auto"/>
        <w:bottom w:val="none" w:sz="0" w:space="0" w:color="auto"/>
        <w:right w:val="none" w:sz="0" w:space="0" w:color="auto"/>
      </w:divBdr>
    </w:div>
    <w:div w:id="1010060779">
      <w:bodyDiv w:val="1"/>
      <w:marLeft w:val="0"/>
      <w:marRight w:val="0"/>
      <w:marTop w:val="0"/>
      <w:marBottom w:val="0"/>
      <w:divBdr>
        <w:top w:val="none" w:sz="0" w:space="0" w:color="auto"/>
        <w:left w:val="none" w:sz="0" w:space="0" w:color="auto"/>
        <w:bottom w:val="none" w:sz="0" w:space="0" w:color="auto"/>
        <w:right w:val="none" w:sz="0" w:space="0" w:color="auto"/>
      </w:divBdr>
    </w:div>
    <w:div w:id="1016494211">
      <w:bodyDiv w:val="1"/>
      <w:marLeft w:val="0"/>
      <w:marRight w:val="0"/>
      <w:marTop w:val="0"/>
      <w:marBottom w:val="0"/>
      <w:divBdr>
        <w:top w:val="none" w:sz="0" w:space="0" w:color="auto"/>
        <w:left w:val="none" w:sz="0" w:space="0" w:color="auto"/>
        <w:bottom w:val="none" w:sz="0" w:space="0" w:color="auto"/>
        <w:right w:val="none" w:sz="0" w:space="0" w:color="auto"/>
      </w:divBdr>
    </w:div>
    <w:div w:id="1033727315">
      <w:bodyDiv w:val="1"/>
      <w:marLeft w:val="0"/>
      <w:marRight w:val="0"/>
      <w:marTop w:val="0"/>
      <w:marBottom w:val="0"/>
      <w:divBdr>
        <w:top w:val="none" w:sz="0" w:space="0" w:color="auto"/>
        <w:left w:val="none" w:sz="0" w:space="0" w:color="auto"/>
        <w:bottom w:val="none" w:sz="0" w:space="0" w:color="auto"/>
        <w:right w:val="none" w:sz="0" w:space="0" w:color="auto"/>
      </w:divBdr>
    </w:div>
    <w:div w:id="1042444538">
      <w:bodyDiv w:val="1"/>
      <w:marLeft w:val="0"/>
      <w:marRight w:val="0"/>
      <w:marTop w:val="0"/>
      <w:marBottom w:val="0"/>
      <w:divBdr>
        <w:top w:val="none" w:sz="0" w:space="0" w:color="auto"/>
        <w:left w:val="none" w:sz="0" w:space="0" w:color="auto"/>
        <w:bottom w:val="none" w:sz="0" w:space="0" w:color="auto"/>
        <w:right w:val="none" w:sz="0" w:space="0" w:color="auto"/>
      </w:divBdr>
    </w:div>
    <w:div w:id="1046762492">
      <w:bodyDiv w:val="1"/>
      <w:marLeft w:val="0"/>
      <w:marRight w:val="0"/>
      <w:marTop w:val="0"/>
      <w:marBottom w:val="0"/>
      <w:divBdr>
        <w:top w:val="none" w:sz="0" w:space="0" w:color="auto"/>
        <w:left w:val="none" w:sz="0" w:space="0" w:color="auto"/>
        <w:bottom w:val="none" w:sz="0" w:space="0" w:color="auto"/>
        <w:right w:val="none" w:sz="0" w:space="0" w:color="auto"/>
      </w:divBdr>
    </w:div>
    <w:div w:id="1047601962">
      <w:bodyDiv w:val="1"/>
      <w:marLeft w:val="0"/>
      <w:marRight w:val="0"/>
      <w:marTop w:val="0"/>
      <w:marBottom w:val="0"/>
      <w:divBdr>
        <w:top w:val="none" w:sz="0" w:space="0" w:color="auto"/>
        <w:left w:val="none" w:sz="0" w:space="0" w:color="auto"/>
        <w:bottom w:val="none" w:sz="0" w:space="0" w:color="auto"/>
        <w:right w:val="none" w:sz="0" w:space="0" w:color="auto"/>
      </w:divBdr>
    </w:div>
    <w:div w:id="1050302519">
      <w:bodyDiv w:val="1"/>
      <w:marLeft w:val="0"/>
      <w:marRight w:val="0"/>
      <w:marTop w:val="0"/>
      <w:marBottom w:val="0"/>
      <w:divBdr>
        <w:top w:val="none" w:sz="0" w:space="0" w:color="auto"/>
        <w:left w:val="none" w:sz="0" w:space="0" w:color="auto"/>
        <w:bottom w:val="none" w:sz="0" w:space="0" w:color="auto"/>
        <w:right w:val="none" w:sz="0" w:space="0" w:color="auto"/>
      </w:divBdr>
    </w:div>
    <w:div w:id="1052537713">
      <w:bodyDiv w:val="1"/>
      <w:marLeft w:val="0"/>
      <w:marRight w:val="0"/>
      <w:marTop w:val="0"/>
      <w:marBottom w:val="0"/>
      <w:divBdr>
        <w:top w:val="none" w:sz="0" w:space="0" w:color="auto"/>
        <w:left w:val="none" w:sz="0" w:space="0" w:color="auto"/>
        <w:bottom w:val="none" w:sz="0" w:space="0" w:color="auto"/>
        <w:right w:val="none" w:sz="0" w:space="0" w:color="auto"/>
      </w:divBdr>
    </w:div>
    <w:div w:id="1062099929">
      <w:bodyDiv w:val="1"/>
      <w:marLeft w:val="0"/>
      <w:marRight w:val="0"/>
      <w:marTop w:val="0"/>
      <w:marBottom w:val="0"/>
      <w:divBdr>
        <w:top w:val="none" w:sz="0" w:space="0" w:color="auto"/>
        <w:left w:val="none" w:sz="0" w:space="0" w:color="auto"/>
        <w:bottom w:val="none" w:sz="0" w:space="0" w:color="auto"/>
        <w:right w:val="none" w:sz="0" w:space="0" w:color="auto"/>
      </w:divBdr>
    </w:div>
    <w:div w:id="1079209091">
      <w:bodyDiv w:val="1"/>
      <w:marLeft w:val="0"/>
      <w:marRight w:val="0"/>
      <w:marTop w:val="0"/>
      <w:marBottom w:val="0"/>
      <w:divBdr>
        <w:top w:val="none" w:sz="0" w:space="0" w:color="auto"/>
        <w:left w:val="none" w:sz="0" w:space="0" w:color="auto"/>
        <w:bottom w:val="none" w:sz="0" w:space="0" w:color="auto"/>
        <w:right w:val="none" w:sz="0" w:space="0" w:color="auto"/>
      </w:divBdr>
    </w:div>
    <w:div w:id="1096559889">
      <w:bodyDiv w:val="1"/>
      <w:marLeft w:val="0"/>
      <w:marRight w:val="0"/>
      <w:marTop w:val="0"/>
      <w:marBottom w:val="0"/>
      <w:divBdr>
        <w:top w:val="none" w:sz="0" w:space="0" w:color="auto"/>
        <w:left w:val="none" w:sz="0" w:space="0" w:color="auto"/>
        <w:bottom w:val="none" w:sz="0" w:space="0" w:color="auto"/>
        <w:right w:val="none" w:sz="0" w:space="0" w:color="auto"/>
      </w:divBdr>
    </w:div>
    <w:div w:id="1103572625">
      <w:bodyDiv w:val="1"/>
      <w:marLeft w:val="0"/>
      <w:marRight w:val="0"/>
      <w:marTop w:val="0"/>
      <w:marBottom w:val="0"/>
      <w:divBdr>
        <w:top w:val="none" w:sz="0" w:space="0" w:color="auto"/>
        <w:left w:val="none" w:sz="0" w:space="0" w:color="auto"/>
        <w:bottom w:val="none" w:sz="0" w:space="0" w:color="auto"/>
        <w:right w:val="none" w:sz="0" w:space="0" w:color="auto"/>
      </w:divBdr>
    </w:div>
    <w:div w:id="1111826692">
      <w:bodyDiv w:val="1"/>
      <w:marLeft w:val="0"/>
      <w:marRight w:val="0"/>
      <w:marTop w:val="0"/>
      <w:marBottom w:val="0"/>
      <w:divBdr>
        <w:top w:val="none" w:sz="0" w:space="0" w:color="auto"/>
        <w:left w:val="none" w:sz="0" w:space="0" w:color="auto"/>
        <w:bottom w:val="none" w:sz="0" w:space="0" w:color="auto"/>
        <w:right w:val="none" w:sz="0" w:space="0" w:color="auto"/>
      </w:divBdr>
    </w:div>
    <w:div w:id="1133791837">
      <w:bodyDiv w:val="1"/>
      <w:marLeft w:val="0"/>
      <w:marRight w:val="0"/>
      <w:marTop w:val="0"/>
      <w:marBottom w:val="0"/>
      <w:divBdr>
        <w:top w:val="none" w:sz="0" w:space="0" w:color="auto"/>
        <w:left w:val="none" w:sz="0" w:space="0" w:color="auto"/>
        <w:bottom w:val="none" w:sz="0" w:space="0" w:color="auto"/>
        <w:right w:val="none" w:sz="0" w:space="0" w:color="auto"/>
      </w:divBdr>
    </w:div>
    <w:div w:id="1138187700">
      <w:bodyDiv w:val="1"/>
      <w:marLeft w:val="0"/>
      <w:marRight w:val="0"/>
      <w:marTop w:val="0"/>
      <w:marBottom w:val="0"/>
      <w:divBdr>
        <w:top w:val="none" w:sz="0" w:space="0" w:color="auto"/>
        <w:left w:val="none" w:sz="0" w:space="0" w:color="auto"/>
        <w:bottom w:val="none" w:sz="0" w:space="0" w:color="auto"/>
        <w:right w:val="none" w:sz="0" w:space="0" w:color="auto"/>
      </w:divBdr>
    </w:div>
    <w:div w:id="1151411360">
      <w:bodyDiv w:val="1"/>
      <w:marLeft w:val="0"/>
      <w:marRight w:val="0"/>
      <w:marTop w:val="0"/>
      <w:marBottom w:val="0"/>
      <w:divBdr>
        <w:top w:val="none" w:sz="0" w:space="0" w:color="auto"/>
        <w:left w:val="none" w:sz="0" w:space="0" w:color="auto"/>
        <w:bottom w:val="none" w:sz="0" w:space="0" w:color="auto"/>
        <w:right w:val="none" w:sz="0" w:space="0" w:color="auto"/>
      </w:divBdr>
    </w:div>
    <w:div w:id="1156726208">
      <w:bodyDiv w:val="1"/>
      <w:marLeft w:val="0"/>
      <w:marRight w:val="0"/>
      <w:marTop w:val="0"/>
      <w:marBottom w:val="0"/>
      <w:divBdr>
        <w:top w:val="none" w:sz="0" w:space="0" w:color="auto"/>
        <w:left w:val="none" w:sz="0" w:space="0" w:color="auto"/>
        <w:bottom w:val="none" w:sz="0" w:space="0" w:color="auto"/>
        <w:right w:val="none" w:sz="0" w:space="0" w:color="auto"/>
      </w:divBdr>
    </w:div>
    <w:div w:id="1162740803">
      <w:bodyDiv w:val="1"/>
      <w:marLeft w:val="0"/>
      <w:marRight w:val="0"/>
      <w:marTop w:val="0"/>
      <w:marBottom w:val="0"/>
      <w:divBdr>
        <w:top w:val="none" w:sz="0" w:space="0" w:color="auto"/>
        <w:left w:val="none" w:sz="0" w:space="0" w:color="auto"/>
        <w:bottom w:val="none" w:sz="0" w:space="0" w:color="auto"/>
        <w:right w:val="none" w:sz="0" w:space="0" w:color="auto"/>
      </w:divBdr>
    </w:div>
    <w:div w:id="1164860827">
      <w:bodyDiv w:val="1"/>
      <w:marLeft w:val="0"/>
      <w:marRight w:val="0"/>
      <w:marTop w:val="0"/>
      <w:marBottom w:val="0"/>
      <w:divBdr>
        <w:top w:val="none" w:sz="0" w:space="0" w:color="auto"/>
        <w:left w:val="none" w:sz="0" w:space="0" w:color="auto"/>
        <w:bottom w:val="none" w:sz="0" w:space="0" w:color="auto"/>
        <w:right w:val="none" w:sz="0" w:space="0" w:color="auto"/>
      </w:divBdr>
    </w:div>
    <w:div w:id="1182278839">
      <w:bodyDiv w:val="1"/>
      <w:marLeft w:val="0"/>
      <w:marRight w:val="0"/>
      <w:marTop w:val="0"/>
      <w:marBottom w:val="0"/>
      <w:divBdr>
        <w:top w:val="none" w:sz="0" w:space="0" w:color="auto"/>
        <w:left w:val="none" w:sz="0" w:space="0" w:color="auto"/>
        <w:bottom w:val="none" w:sz="0" w:space="0" w:color="auto"/>
        <w:right w:val="none" w:sz="0" w:space="0" w:color="auto"/>
      </w:divBdr>
    </w:div>
    <w:div w:id="1183784635">
      <w:bodyDiv w:val="1"/>
      <w:marLeft w:val="0"/>
      <w:marRight w:val="0"/>
      <w:marTop w:val="0"/>
      <w:marBottom w:val="0"/>
      <w:divBdr>
        <w:top w:val="none" w:sz="0" w:space="0" w:color="auto"/>
        <w:left w:val="none" w:sz="0" w:space="0" w:color="auto"/>
        <w:bottom w:val="none" w:sz="0" w:space="0" w:color="auto"/>
        <w:right w:val="none" w:sz="0" w:space="0" w:color="auto"/>
      </w:divBdr>
    </w:div>
    <w:div w:id="1205872669">
      <w:bodyDiv w:val="1"/>
      <w:marLeft w:val="0"/>
      <w:marRight w:val="0"/>
      <w:marTop w:val="0"/>
      <w:marBottom w:val="0"/>
      <w:divBdr>
        <w:top w:val="none" w:sz="0" w:space="0" w:color="auto"/>
        <w:left w:val="none" w:sz="0" w:space="0" w:color="auto"/>
        <w:bottom w:val="none" w:sz="0" w:space="0" w:color="auto"/>
        <w:right w:val="none" w:sz="0" w:space="0" w:color="auto"/>
      </w:divBdr>
    </w:div>
    <w:div w:id="1207109950">
      <w:bodyDiv w:val="1"/>
      <w:marLeft w:val="0"/>
      <w:marRight w:val="0"/>
      <w:marTop w:val="0"/>
      <w:marBottom w:val="0"/>
      <w:divBdr>
        <w:top w:val="none" w:sz="0" w:space="0" w:color="auto"/>
        <w:left w:val="none" w:sz="0" w:space="0" w:color="auto"/>
        <w:bottom w:val="none" w:sz="0" w:space="0" w:color="auto"/>
        <w:right w:val="none" w:sz="0" w:space="0" w:color="auto"/>
      </w:divBdr>
    </w:div>
    <w:div w:id="1208951068">
      <w:bodyDiv w:val="1"/>
      <w:marLeft w:val="0"/>
      <w:marRight w:val="0"/>
      <w:marTop w:val="0"/>
      <w:marBottom w:val="0"/>
      <w:divBdr>
        <w:top w:val="none" w:sz="0" w:space="0" w:color="auto"/>
        <w:left w:val="none" w:sz="0" w:space="0" w:color="auto"/>
        <w:bottom w:val="none" w:sz="0" w:space="0" w:color="auto"/>
        <w:right w:val="none" w:sz="0" w:space="0" w:color="auto"/>
      </w:divBdr>
    </w:div>
    <w:div w:id="1220674878">
      <w:bodyDiv w:val="1"/>
      <w:marLeft w:val="0"/>
      <w:marRight w:val="0"/>
      <w:marTop w:val="0"/>
      <w:marBottom w:val="0"/>
      <w:divBdr>
        <w:top w:val="none" w:sz="0" w:space="0" w:color="auto"/>
        <w:left w:val="none" w:sz="0" w:space="0" w:color="auto"/>
        <w:bottom w:val="none" w:sz="0" w:space="0" w:color="auto"/>
        <w:right w:val="none" w:sz="0" w:space="0" w:color="auto"/>
      </w:divBdr>
    </w:div>
    <w:div w:id="1222063254">
      <w:bodyDiv w:val="1"/>
      <w:marLeft w:val="0"/>
      <w:marRight w:val="0"/>
      <w:marTop w:val="0"/>
      <w:marBottom w:val="0"/>
      <w:divBdr>
        <w:top w:val="none" w:sz="0" w:space="0" w:color="auto"/>
        <w:left w:val="none" w:sz="0" w:space="0" w:color="auto"/>
        <w:bottom w:val="none" w:sz="0" w:space="0" w:color="auto"/>
        <w:right w:val="none" w:sz="0" w:space="0" w:color="auto"/>
      </w:divBdr>
    </w:div>
    <w:div w:id="1222448951">
      <w:bodyDiv w:val="1"/>
      <w:marLeft w:val="0"/>
      <w:marRight w:val="0"/>
      <w:marTop w:val="0"/>
      <w:marBottom w:val="0"/>
      <w:divBdr>
        <w:top w:val="none" w:sz="0" w:space="0" w:color="auto"/>
        <w:left w:val="none" w:sz="0" w:space="0" w:color="auto"/>
        <w:bottom w:val="none" w:sz="0" w:space="0" w:color="auto"/>
        <w:right w:val="none" w:sz="0" w:space="0" w:color="auto"/>
      </w:divBdr>
    </w:div>
    <w:div w:id="1243761171">
      <w:bodyDiv w:val="1"/>
      <w:marLeft w:val="0"/>
      <w:marRight w:val="0"/>
      <w:marTop w:val="0"/>
      <w:marBottom w:val="0"/>
      <w:divBdr>
        <w:top w:val="none" w:sz="0" w:space="0" w:color="auto"/>
        <w:left w:val="none" w:sz="0" w:space="0" w:color="auto"/>
        <w:bottom w:val="none" w:sz="0" w:space="0" w:color="auto"/>
        <w:right w:val="none" w:sz="0" w:space="0" w:color="auto"/>
      </w:divBdr>
    </w:div>
    <w:div w:id="1249390610">
      <w:bodyDiv w:val="1"/>
      <w:marLeft w:val="0"/>
      <w:marRight w:val="0"/>
      <w:marTop w:val="0"/>
      <w:marBottom w:val="0"/>
      <w:divBdr>
        <w:top w:val="none" w:sz="0" w:space="0" w:color="auto"/>
        <w:left w:val="none" w:sz="0" w:space="0" w:color="auto"/>
        <w:bottom w:val="none" w:sz="0" w:space="0" w:color="auto"/>
        <w:right w:val="none" w:sz="0" w:space="0" w:color="auto"/>
      </w:divBdr>
    </w:div>
    <w:div w:id="1252589868">
      <w:bodyDiv w:val="1"/>
      <w:marLeft w:val="0"/>
      <w:marRight w:val="0"/>
      <w:marTop w:val="0"/>
      <w:marBottom w:val="0"/>
      <w:divBdr>
        <w:top w:val="none" w:sz="0" w:space="0" w:color="auto"/>
        <w:left w:val="none" w:sz="0" w:space="0" w:color="auto"/>
        <w:bottom w:val="none" w:sz="0" w:space="0" w:color="auto"/>
        <w:right w:val="none" w:sz="0" w:space="0" w:color="auto"/>
      </w:divBdr>
    </w:div>
    <w:div w:id="1269435108">
      <w:bodyDiv w:val="1"/>
      <w:marLeft w:val="0"/>
      <w:marRight w:val="0"/>
      <w:marTop w:val="0"/>
      <w:marBottom w:val="0"/>
      <w:divBdr>
        <w:top w:val="none" w:sz="0" w:space="0" w:color="auto"/>
        <w:left w:val="none" w:sz="0" w:space="0" w:color="auto"/>
        <w:bottom w:val="none" w:sz="0" w:space="0" w:color="auto"/>
        <w:right w:val="none" w:sz="0" w:space="0" w:color="auto"/>
      </w:divBdr>
    </w:div>
    <w:div w:id="1279603911">
      <w:bodyDiv w:val="1"/>
      <w:marLeft w:val="0"/>
      <w:marRight w:val="0"/>
      <w:marTop w:val="0"/>
      <w:marBottom w:val="0"/>
      <w:divBdr>
        <w:top w:val="none" w:sz="0" w:space="0" w:color="auto"/>
        <w:left w:val="none" w:sz="0" w:space="0" w:color="auto"/>
        <w:bottom w:val="none" w:sz="0" w:space="0" w:color="auto"/>
        <w:right w:val="none" w:sz="0" w:space="0" w:color="auto"/>
      </w:divBdr>
    </w:div>
    <w:div w:id="1285843545">
      <w:bodyDiv w:val="1"/>
      <w:marLeft w:val="0"/>
      <w:marRight w:val="0"/>
      <w:marTop w:val="0"/>
      <w:marBottom w:val="0"/>
      <w:divBdr>
        <w:top w:val="none" w:sz="0" w:space="0" w:color="auto"/>
        <w:left w:val="none" w:sz="0" w:space="0" w:color="auto"/>
        <w:bottom w:val="none" w:sz="0" w:space="0" w:color="auto"/>
        <w:right w:val="none" w:sz="0" w:space="0" w:color="auto"/>
      </w:divBdr>
    </w:div>
    <w:div w:id="1296443710">
      <w:bodyDiv w:val="1"/>
      <w:marLeft w:val="0"/>
      <w:marRight w:val="0"/>
      <w:marTop w:val="0"/>
      <w:marBottom w:val="0"/>
      <w:divBdr>
        <w:top w:val="none" w:sz="0" w:space="0" w:color="auto"/>
        <w:left w:val="none" w:sz="0" w:space="0" w:color="auto"/>
        <w:bottom w:val="none" w:sz="0" w:space="0" w:color="auto"/>
        <w:right w:val="none" w:sz="0" w:space="0" w:color="auto"/>
      </w:divBdr>
    </w:div>
    <w:div w:id="1312948931">
      <w:bodyDiv w:val="1"/>
      <w:marLeft w:val="0"/>
      <w:marRight w:val="0"/>
      <w:marTop w:val="0"/>
      <w:marBottom w:val="0"/>
      <w:divBdr>
        <w:top w:val="none" w:sz="0" w:space="0" w:color="auto"/>
        <w:left w:val="none" w:sz="0" w:space="0" w:color="auto"/>
        <w:bottom w:val="none" w:sz="0" w:space="0" w:color="auto"/>
        <w:right w:val="none" w:sz="0" w:space="0" w:color="auto"/>
      </w:divBdr>
    </w:div>
    <w:div w:id="1325007270">
      <w:bodyDiv w:val="1"/>
      <w:marLeft w:val="0"/>
      <w:marRight w:val="0"/>
      <w:marTop w:val="0"/>
      <w:marBottom w:val="0"/>
      <w:divBdr>
        <w:top w:val="none" w:sz="0" w:space="0" w:color="auto"/>
        <w:left w:val="none" w:sz="0" w:space="0" w:color="auto"/>
        <w:bottom w:val="none" w:sz="0" w:space="0" w:color="auto"/>
        <w:right w:val="none" w:sz="0" w:space="0" w:color="auto"/>
      </w:divBdr>
    </w:div>
    <w:div w:id="1327704940">
      <w:bodyDiv w:val="1"/>
      <w:marLeft w:val="0"/>
      <w:marRight w:val="0"/>
      <w:marTop w:val="0"/>
      <w:marBottom w:val="0"/>
      <w:divBdr>
        <w:top w:val="none" w:sz="0" w:space="0" w:color="auto"/>
        <w:left w:val="none" w:sz="0" w:space="0" w:color="auto"/>
        <w:bottom w:val="none" w:sz="0" w:space="0" w:color="auto"/>
        <w:right w:val="none" w:sz="0" w:space="0" w:color="auto"/>
      </w:divBdr>
    </w:div>
    <w:div w:id="1328510347">
      <w:bodyDiv w:val="1"/>
      <w:marLeft w:val="0"/>
      <w:marRight w:val="0"/>
      <w:marTop w:val="0"/>
      <w:marBottom w:val="0"/>
      <w:divBdr>
        <w:top w:val="none" w:sz="0" w:space="0" w:color="auto"/>
        <w:left w:val="none" w:sz="0" w:space="0" w:color="auto"/>
        <w:bottom w:val="none" w:sz="0" w:space="0" w:color="auto"/>
        <w:right w:val="none" w:sz="0" w:space="0" w:color="auto"/>
      </w:divBdr>
    </w:div>
    <w:div w:id="1332489654">
      <w:bodyDiv w:val="1"/>
      <w:marLeft w:val="0"/>
      <w:marRight w:val="0"/>
      <w:marTop w:val="0"/>
      <w:marBottom w:val="0"/>
      <w:divBdr>
        <w:top w:val="none" w:sz="0" w:space="0" w:color="auto"/>
        <w:left w:val="none" w:sz="0" w:space="0" w:color="auto"/>
        <w:bottom w:val="none" w:sz="0" w:space="0" w:color="auto"/>
        <w:right w:val="none" w:sz="0" w:space="0" w:color="auto"/>
      </w:divBdr>
    </w:div>
    <w:div w:id="1334800215">
      <w:bodyDiv w:val="1"/>
      <w:marLeft w:val="0"/>
      <w:marRight w:val="0"/>
      <w:marTop w:val="0"/>
      <w:marBottom w:val="0"/>
      <w:divBdr>
        <w:top w:val="none" w:sz="0" w:space="0" w:color="auto"/>
        <w:left w:val="none" w:sz="0" w:space="0" w:color="auto"/>
        <w:bottom w:val="none" w:sz="0" w:space="0" w:color="auto"/>
        <w:right w:val="none" w:sz="0" w:space="0" w:color="auto"/>
      </w:divBdr>
    </w:div>
    <w:div w:id="1341811124">
      <w:bodyDiv w:val="1"/>
      <w:marLeft w:val="0"/>
      <w:marRight w:val="0"/>
      <w:marTop w:val="0"/>
      <w:marBottom w:val="0"/>
      <w:divBdr>
        <w:top w:val="none" w:sz="0" w:space="0" w:color="auto"/>
        <w:left w:val="none" w:sz="0" w:space="0" w:color="auto"/>
        <w:bottom w:val="none" w:sz="0" w:space="0" w:color="auto"/>
        <w:right w:val="none" w:sz="0" w:space="0" w:color="auto"/>
      </w:divBdr>
    </w:div>
    <w:div w:id="1365054411">
      <w:bodyDiv w:val="1"/>
      <w:marLeft w:val="0"/>
      <w:marRight w:val="0"/>
      <w:marTop w:val="0"/>
      <w:marBottom w:val="0"/>
      <w:divBdr>
        <w:top w:val="none" w:sz="0" w:space="0" w:color="auto"/>
        <w:left w:val="none" w:sz="0" w:space="0" w:color="auto"/>
        <w:bottom w:val="none" w:sz="0" w:space="0" w:color="auto"/>
        <w:right w:val="none" w:sz="0" w:space="0" w:color="auto"/>
      </w:divBdr>
    </w:div>
    <w:div w:id="1365982028">
      <w:bodyDiv w:val="1"/>
      <w:marLeft w:val="0"/>
      <w:marRight w:val="0"/>
      <w:marTop w:val="0"/>
      <w:marBottom w:val="0"/>
      <w:divBdr>
        <w:top w:val="none" w:sz="0" w:space="0" w:color="auto"/>
        <w:left w:val="none" w:sz="0" w:space="0" w:color="auto"/>
        <w:bottom w:val="none" w:sz="0" w:space="0" w:color="auto"/>
        <w:right w:val="none" w:sz="0" w:space="0" w:color="auto"/>
      </w:divBdr>
    </w:div>
    <w:div w:id="1382823592">
      <w:bodyDiv w:val="1"/>
      <w:marLeft w:val="0"/>
      <w:marRight w:val="0"/>
      <w:marTop w:val="0"/>
      <w:marBottom w:val="0"/>
      <w:divBdr>
        <w:top w:val="none" w:sz="0" w:space="0" w:color="auto"/>
        <w:left w:val="none" w:sz="0" w:space="0" w:color="auto"/>
        <w:bottom w:val="none" w:sz="0" w:space="0" w:color="auto"/>
        <w:right w:val="none" w:sz="0" w:space="0" w:color="auto"/>
      </w:divBdr>
    </w:div>
    <w:div w:id="1390613564">
      <w:bodyDiv w:val="1"/>
      <w:marLeft w:val="0"/>
      <w:marRight w:val="0"/>
      <w:marTop w:val="0"/>
      <w:marBottom w:val="0"/>
      <w:divBdr>
        <w:top w:val="none" w:sz="0" w:space="0" w:color="auto"/>
        <w:left w:val="none" w:sz="0" w:space="0" w:color="auto"/>
        <w:bottom w:val="none" w:sz="0" w:space="0" w:color="auto"/>
        <w:right w:val="none" w:sz="0" w:space="0" w:color="auto"/>
      </w:divBdr>
    </w:div>
    <w:div w:id="1392263617">
      <w:bodyDiv w:val="1"/>
      <w:marLeft w:val="0"/>
      <w:marRight w:val="0"/>
      <w:marTop w:val="0"/>
      <w:marBottom w:val="0"/>
      <w:divBdr>
        <w:top w:val="none" w:sz="0" w:space="0" w:color="auto"/>
        <w:left w:val="none" w:sz="0" w:space="0" w:color="auto"/>
        <w:bottom w:val="none" w:sz="0" w:space="0" w:color="auto"/>
        <w:right w:val="none" w:sz="0" w:space="0" w:color="auto"/>
      </w:divBdr>
    </w:div>
    <w:div w:id="1416973460">
      <w:bodyDiv w:val="1"/>
      <w:marLeft w:val="0"/>
      <w:marRight w:val="0"/>
      <w:marTop w:val="0"/>
      <w:marBottom w:val="0"/>
      <w:divBdr>
        <w:top w:val="none" w:sz="0" w:space="0" w:color="auto"/>
        <w:left w:val="none" w:sz="0" w:space="0" w:color="auto"/>
        <w:bottom w:val="none" w:sz="0" w:space="0" w:color="auto"/>
        <w:right w:val="none" w:sz="0" w:space="0" w:color="auto"/>
      </w:divBdr>
    </w:div>
    <w:div w:id="1419786821">
      <w:bodyDiv w:val="1"/>
      <w:marLeft w:val="0"/>
      <w:marRight w:val="0"/>
      <w:marTop w:val="0"/>
      <w:marBottom w:val="0"/>
      <w:divBdr>
        <w:top w:val="none" w:sz="0" w:space="0" w:color="auto"/>
        <w:left w:val="none" w:sz="0" w:space="0" w:color="auto"/>
        <w:bottom w:val="none" w:sz="0" w:space="0" w:color="auto"/>
        <w:right w:val="none" w:sz="0" w:space="0" w:color="auto"/>
      </w:divBdr>
    </w:div>
    <w:div w:id="1420249003">
      <w:bodyDiv w:val="1"/>
      <w:marLeft w:val="0"/>
      <w:marRight w:val="0"/>
      <w:marTop w:val="0"/>
      <w:marBottom w:val="0"/>
      <w:divBdr>
        <w:top w:val="none" w:sz="0" w:space="0" w:color="auto"/>
        <w:left w:val="none" w:sz="0" w:space="0" w:color="auto"/>
        <w:bottom w:val="none" w:sz="0" w:space="0" w:color="auto"/>
        <w:right w:val="none" w:sz="0" w:space="0" w:color="auto"/>
      </w:divBdr>
    </w:div>
    <w:div w:id="1432362660">
      <w:bodyDiv w:val="1"/>
      <w:marLeft w:val="0"/>
      <w:marRight w:val="0"/>
      <w:marTop w:val="0"/>
      <w:marBottom w:val="0"/>
      <w:divBdr>
        <w:top w:val="none" w:sz="0" w:space="0" w:color="auto"/>
        <w:left w:val="none" w:sz="0" w:space="0" w:color="auto"/>
        <w:bottom w:val="none" w:sz="0" w:space="0" w:color="auto"/>
        <w:right w:val="none" w:sz="0" w:space="0" w:color="auto"/>
      </w:divBdr>
    </w:div>
    <w:div w:id="1434353570">
      <w:bodyDiv w:val="1"/>
      <w:marLeft w:val="0"/>
      <w:marRight w:val="0"/>
      <w:marTop w:val="0"/>
      <w:marBottom w:val="0"/>
      <w:divBdr>
        <w:top w:val="none" w:sz="0" w:space="0" w:color="auto"/>
        <w:left w:val="none" w:sz="0" w:space="0" w:color="auto"/>
        <w:bottom w:val="none" w:sz="0" w:space="0" w:color="auto"/>
        <w:right w:val="none" w:sz="0" w:space="0" w:color="auto"/>
      </w:divBdr>
    </w:div>
    <w:div w:id="1462844968">
      <w:bodyDiv w:val="1"/>
      <w:marLeft w:val="0"/>
      <w:marRight w:val="0"/>
      <w:marTop w:val="0"/>
      <w:marBottom w:val="0"/>
      <w:divBdr>
        <w:top w:val="none" w:sz="0" w:space="0" w:color="auto"/>
        <w:left w:val="none" w:sz="0" w:space="0" w:color="auto"/>
        <w:bottom w:val="none" w:sz="0" w:space="0" w:color="auto"/>
        <w:right w:val="none" w:sz="0" w:space="0" w:color="auto"/>
      </w:divBdr>
    </w:div>
    <w:div w:id="1480657865">
      <w:bodyDiv w:val="1"/>
      <w:marLeft w:val="0"/>
      <w:marRight w:val="0"/>
      <w:marTop w:val="0"/>
      <w:marBottom w:val="0"/>
      <w:divBdr>
        <w:top w:val="none" w:sz="0" w:space="0" w:color="auto"/>
        <w:left w:val="none" w:sz="0" w:space="0" w:color="auto"/>
        <w:bottom w:val="none" w:sz="0" w:space="0" w:color="auto"/>
        <w:right w:val="none" w:sz="0" w:space="0" w:color="auto"/>
      </w:divBdr>
    </w:div>
    <w:div w:id="1490554663">
      <w:bodyDiv w:val="1"/>
      <w:marLeft w:val="0"/>
      <w:marRight w:val="0"/>
      <w:marTop w:val="0"/>
      <w:marBottom w:val="0"/>
      <w:divBdr>
        <w:top w:val="none" w:sz="0" w:space="0" w:color="auto"/>
        <w:left w:val="none" w:sz="0" w:space="0" w:color="auto"/>
        <w:bottom w:val="none" w:sz="0" w:space="0" w:color="auto"/>
        <w:right w:val="none" w:sz="0" w:space="0" w:color="auto"/>
      </w:divBdr>
    </w:div>
    <w:div w:id="1501239221">
      <w:bodyDiv w:val="1"/>
      <w:marLeft w:val="0"/>
      <w:marRight w:val="0"/>
      <w:marTop w:val="0"/>
      <w:marBottom w:val="0"/>
      <w:divBdr>
        <w:top w:val="none" w:sz="0" w:space="0" w:color="auto"/>
        <w:left w:val="none" w:sz="0" w:space="0" w:color="auto"/>
        <w:bottom w:val="none" w:sz="0" w:space="0" w:color="auto"/>
        <w:right w:val="none" w:sz="0" w:space="0" w:color="auto"/>
      </w:divBdr>
    </w:div>
    <w:div w:id="1509757499">
      <w:bodyDiv w:val="1"/>
      <w:marLeft w:val="0"/>
      <w:marRight w:val="0"/>
      <w:marTop w:val="0"/>
      <w:marBottom w:val="0"/>
      <w:divBdr>
        <w:top w:val="none" w:sz="0" w:space="0" w:color="auto"/>
        <w:left w:val="none" w:sz="0" w:space="0" w:color="auto"/>
        <w:bottom w:val="none" w:sz="0" w:space="0" w:color="auto"/>
        <w:right w:val="none" w:sz="0" w:space="0" w:color="auto"/>
      </w:divBdr>
    </w:div>
    <w:div w:id="1512254815">
      <w:bodyDiv w:val="1"/>
      <w:marLeft w:val="0"/>
      <w:marRight w:val="0"/>
      <w:marTop w:val="0"/>
      <w:marBottom w:val="0"/>
      <w:divBdr>
        <w:top w:val="none" w:sz="0" w:space="0" w:color="auto"/>
        <w:left w:val="none" w:sz="0" w:space="0" w:color="auto"/>
        <w:bottom w:val="none" w:sz="0" w:space="0" w:color="auto"/>
        <w:right w:val="none" w:sz="0" w:space="0" w:color="auto"/>
      </w:divBdr>
    </w:div>
    <w:div w:id="1529027939">
      <w:bodyDiv w:val="1"/>
      <w:marLeft w:val="0"/>
      <w:marRight w:val="0"/>
      <w:marTop w:val="0"/>
      <w:marBottom w:val="0"/>
      <w:divBdr>
        <w:top w:val="none" w:sz="0" w:space="0" w:color="auto"/>
        <w:left w:val="none" w:sz="0" w:space="0" w:color="auto"/>
        <w:bottom w:val="none" w:sz="0" w:space="0" w:color="auto"/>
        <w:right w:val="none" w:sz="0" w:space="0" w:color="auto"/>
      </w:divBdr>
    </w:div>
    <w:div w:id="1541169985">
      <w:bodyDiv w:val="1"/>
      <w:marLeft w:val="0"/>
      <w:marRight w:val="0"/>
      <w:marTop w:val="0"/>
      <w:marBottom w:val="0"/>
      <w:divBdr>
        <w:top w:val="none" w:sz="0" w:space="0" w:color="auto"/>
        <w:left w:val="none" w:sz="0" w:space="0" w:color="auto"/>
        <w:bottom w:val="none" w:sz="0" w:space="0" w:color="auto"/>
        <w:right w:val="none" w:sz="0" w:space="0" w:color="auto"/>
      </w:divBdr>
    </w:div>
    <w:div w:id="1551065552">
      <w:bodyDiv w:val="1"/>
      <w:marLeft w:val="0"/>
      <w:marRight w:val="0"/>
      <w:marTop w:val="0"/>
      <w:marBottom w:val="0"/>
      <w:divBdr>
        <w:top w:val="none" w:sz="0" w:space="0" w:color="auto"/>
        <w:left w:val="none" w:sz="0" w:space="0" w:color="auto"/>
        <w:bottom w:val="none" w:sz="0" w:space="0" w:color="auto"/>
        <w:right w:val="none" w:sz="0" w:space="0" w:color="auto"/>
      </w:divBdr>
    </w:div>
    <w:div w:id="1556238355">
      <w:bodyDiv w:val="1"/>
      <w:marLeft w:val="0"/>
      <w:marRight w:val="0"/>
      <w:marTop w:val="0"/>
      <w:marBottom w:val="0"/>
      <w:divBdr>
        <w:top w:val="none" w:sz="0" w:space="0" w:color="auto"/>
        <w:left w:val="none" w:sz="0" w:space="0" w:color="auto"/>
        <w:bottom w:val="none" w:sz="0" w:space="0" w:color="auto"/>
        <w:right w:val="none" w:sz="0" w:space="0" w:color="auto"/>
      </w:divBdr>
    </w:div>
    <w:div w:id="1573930399">
      <w:bodyDiv w:val="1"/>
      <w:marLeft w:val="0"/>
      <w:marRight w:val="0"/>
      <w:marTop w:val="0"/>
      <w:marBottom w:val="0"/>
      <w:divBdr>
        <w:top w:val="none" w:sz="0" w:space="0" w:color="auto"/>
        <w:left w:val="none" w:sz="0" w:space="0" w:color="auto"/>
        <w:bottom w:val="none" w:sz="0" w:space="0" w:color="auto"/>
        <w:right w:val="none" w:sz="0" w:space="0" w:color="auto"/>
      </w:divBdr>
    </w:div>
    <w:div w:id="1579438566">
      <w:bodyDiv w:val="1"/>
      <w:marLeft w:val="0"/>
      <w:marRight w:val="0"/>
      <w:marTop w:val="0"/>
      <w:marBottom w:val="0"/>
      <w:divBdr>
        <w:top w:val="none" w:sz="0" w:space="0" w:color="auto"/>
        <w:left w:val="none" w:sz="0" w:space="0" w:color="auto"/>
        <w:bottom w:val="none" w:sz="0" w:space="0" w:color="auto"/>
        <w:right w:val="none" w:sz="0" w:space="0" w:color="auto"/>
      </w:divBdr>
    </w:div>
    <w:div w:id="1580821325">
      <w:bodyDiv w:val="1"/>
      <w:marLeft w:val="0"/>
      <w:marRight w:val="0"/>
      <w:marTop w:val="0"/>
      <w:marBottom w:val="0"/>
      <w:divBdr>
        <w:top w:val="none" w:sz="0" w:space="0" w:color="auto"/>
        <w:left w:val="none" w:sz="0" w:space="0" w:color="auto"/>
        <w:bottom w:val="none" w:sz="0" w:space="0" w:color="auto"/>
        <w:right w:val="none" w:sz="0" w:space="0" w:color="auto"/>
      </w:divBdr>
    </w:div>
    <w:div w:id="1591162112">
      <w:bodyDiv w:val="1"/>
      <w:marLeft w:val="0"/>
      <w:marRight w:val="0"/>
      <w:marTop w:val="0"/>
      <w:marBottom w:val="0"/>
      <w:divBdr>
        <w:top w:val="none" w:sz="0" w:space="0" w:color="auto"/>
        <w:left w:val="none" w:sz="0" w:space="0" w:color="auto"/>
        <w:bottom w:val="none" w:sz="0" w:space="0" w:color="auto"/>
        <w:right w:val="none" w:sz="0" w:space="0" w:color="auto"/>
      </w:divBdr>
    </w:div>
    <w:div w:id="1592660250">
      <w:bodyDiv w:val="1"/>
      <w:marLeft w:val="0"/>
      <w:marRight w:val="0"/>
      <w:marTop w:val="0"/>
      <w:marBottom w:val="0"/>
      <w:divBdr>
        <w:top w:val="none" w:sz="0" w:space="0" w:color="auto"/>
        <w:left w:val="none" w:sz="0" w:space="0" w:color="auto"/>
        <w:bottom w:val="none" w:sz="0" w:space="0" w:color="auto"/>
        <w:right w:val="none" w:sz="0" w:space="0" w:color="auto"/>
      </w:divBdr>
    </w:div>
    <w:div w:id="1600217069">
      <w:bodyDiv w:val="1"/>
      <w:marLeft w:val="0"/>
      <w:marRight w:val="0"/>
      <w:marTop w:val="0"/>
      <w:marBottom w:val="0"/>
      <w:divBdr>
        <w:top w:val="none" w:sz="0" w:space="0" w:color="auto"/>
        <w:left w:val="none" w:sz="0" w:space="0" w:color="auto"/>
        <w:bottom w:val="none" w:sz="0" w:space="0" w:color="auto"/>
        <w:right w:val="none" w:sz="0" w:space="0" w:color="auto"/>
      </w:divBdr>
    </w:div>
    <w:div w:id="1605960676">
      <w:bodyDiv w:val="1"/>
      <w:marLeft w:val="0"/>
      <w:marRight w:val="0"/>
      <w:marTop w:val="0"/>
      <w:marBottom w:val="0"/>
      <w:divBdr>
        <w:top w:val="none" w:sz="0" w:space="0" w:color="auto"/>
        <w:left w:val="none" w:sz="0" w:space="0" w:color="auto"/>
        <w:bottom w:val="none" w:sz="0" w:space="0" w:color="auto"/>
        <w:right w:val="none" w:sz="0" w:space="0" w:color="auto"/>
      </w:divBdr>
    </w:div>
    <w:div w:id="1607231741">
      <w:bodyDiv w:val="1"/>
      <w:marLeft w:val="0"/>
      <w:marRight w:val="0"/>
      <w:marTop w:val="0"/>
      <w:marBottom w:val="0"/>
      <w:divBdr>
        <w:top w:val="none" w:sz="0" w:space="0" w:color="auto"/>
        <w:left w:val="none" w:sz="0" w:space="0" w:color="auto"/>
        <w:bottom w:val="none" w:sz="0" w:space="0" w:color="auto"/>
        <w:right w:val="none" w:sz="0" w:space="0" w:color="auto"/>
      </w:divBdr>
    </w:div>
    <w:div w:id="1619800607">
      <w:bodyDiv w:val="1"/>
      <w:marLeft w:val="0"/>
      <w:marRight w:val="0"/>
      <w:marTop w:val="0"/>
      <w:marBottom w:val="0"/>
      <w:divBdr>
        <w:top w:val="none" w:sz="0" w:space="0" w:color="auto"/>
        <w:left w:val="none" w:sz="0" w:space="0" w:color="auto"/>
        <w:bottom w:val="none" w:sz="0" w:space="0" w:color="auto"/>
        <w:right w:val="none" w:sz="0" w:space="0" w:color="auto"/>
      </w:divBdr>
    </w:div>
    <w:div w:id="1625504696">
      <w:bodyDiv w:val="1"/>
      <w:marLeft w:val="0"/>
      <w:marRight w:val="0"/>
      <w:marTop w:val="0"/>
      <w:marBottom w:val="0"/>
      <w:divBdr>
        <w:top w:val="none" w:sz="0" w:space="0" w:color="auto"/>
        <w:left w:val="none" w:sz="0" w:space="0" w:color="auto"/>
        <w:bottom w:val="none" w:sz="0" w:space="0" w:color="auto"/>
        <w:right w:val="none" w:sz="0" w:space="0" w:color="auto"/>
      </w:divBdr>
    </w:div>
    <w:div w:id="1628242501">
      <w:bodyDiv w:val="1"/>
      <w:marLeft w:val="0"/>
      <w:marRight w:val="0"/>
      <w:marTop w:val="0"/>
      <w:marBottom w:val="0"/>
      <w:divBdr>
        <w:top w:val="none" w:sz="0" w:space="0" w:color="auto"/>
        <w:left w:val="none" w:sz="0" w:space="0" w:color="auto"/>
        <w:bottom w:val="none" w:sz="0" w:space="0" w:color="auto"/>
        <w:right w:val="none" w:sz="0" w:space="0" w:color="auto"/>
      </w:divBdr>
    </w:div>
    <w:div w:id="1646466371">
      <w:bodyDiv w:val="1"/>
      <w:marLeft w:val="0"/>
      <w:marRight w:val="0"/>
      <w:marTop w:val="0"/>
      <w:marBottom w:val="0"/>
      <w:divBdr>
        <w:top w:val="none" w:sz="0" w:space="0" w:color="auto"/>
        <w:left w:val="none" w:sz="0" w:space="0" w:color="auto"/>
        <w:bottom w:val="none" w:sz="0" w:space="0" w:color="auto"/>
        <w:right w:val="none" w:sz="0" w:space="0" w:color="auto"/>
      </w:divBdr>
    </w:div>
    <w:div w:id="1653945292">
      <w:bodyDiv w:val="1"/>
      <w:marLeft w:val="0"/>
      <w:marRight w:val="0"/>
      <w:marTop w:val="0"/>
      <w:marBottom w:val="0"/>
      <w:divBdr>
        <w:top w:val="none" w:sz="0" w:space="0" w:color="auto"/>
        <w:left w:val="none" w:sz="0" w:space="0" w:color="auto"/>
        <w:bottom w:val="none" w:sz="0" w:space="0" w:color="auto"/>
        <w:right w:val="none" w:sz="0" w:space="0" w:color="auto"/>
      </w:divBdr>
    </w:div>
    <w:div w:id="1659773362">
      <w:bodyDiv w:val="1"/>
      <w:marLeft w:val="0"/>
      <w:marRight w:val="0"/>
      <w:marTop w:val="0"/>
      <w:marBottom w:val="0"/>
      <w:divBdr>
        <w:top w:val="none" w:sz="0" w:space="0" w:color="auto"/>
        <w:left w:val="none" w:sz="0" w:space="0" w:color="auto"/>
        <w:bottom w:val="none" w:sz="0" w:space="0" w:color="auto"/>
        <w:right w:val="none" w:sz="0" w:space="0" w:color="auto"/>
      </w:divBdr>
    </w:div>
    <w:div w:id="1673070186">
      <w:bodyDiv w:val="1"/>
      <w:marLeft w:val="0"/>
      <w:marRight w:val="0"/>
      <w:marTop w:val="0"/>
      <w:marBottom w:val="0"/>
      <w:divBdr>
        <w:top w:val="none" w:sz="0" w:space="0" w:color="auto"/>
        <w:left w:val="none" w:sz="0" w:space="0" w:color="auto"/>
        <w:bottom w:val="none" w:sz="0" w:space="0" w:color="auto"/>
        <w:right w:val="none" w:sz="0" w:space="0" w:color="auto"/>
      </w:divBdr>
    </w:div>
    <w:div w:id="1678076567">
      <w:bodyDiv w:val="1"/>
      <w:marLeft w:val="0"/>
      <w:marRight w:val="0"/>
      <w:marTop w:val="0"/>
      <w:marBottom w:val="0"/>
      <w:divBdr>
        <w:top w:val="none" w:sz="0" w:space="0" w:color="auto"/>
        <w:left w:val="none" w:sz="0" w:space="0" w:color="auto"/>
        <w:bottom w:val="none" w:sz="0" w:space="0" w:color="auto"/>
        <w:right w:val="none" w:sz="0" w:space="0" w:color="auto"/>
      </w:divBdr>
    </w:div>
    <w:div w:id="1684045635">
      <w:bodyDiv w:val="1"/>
      <w:marLeft w:val="0"/>
      <w:marRight w:val="0"/>
      <w:marTop w:val="0"/>
      <w:marBottom w:val="0"/>
      <w:divBdr>
        <w:top w:val="none" w:sz="0" w:space="0" w:color="auto"/>
        <w:left w:val="none" w:sz="0" w:space="0" w:color="auto"/>
        <w:bottom w:val="none" w:sz="0" w:space="0" w:color="auto"/>
        <w:right w:val="none" w:sz="0" w:space="0" w:color="auto"/>
      </w:divBdr>
    </w:div>
    <w:div w:id="1703901438">
      <w:bodyDiv w:val="1"/>
      <w:marLeft w:val="0"/>
      <w:marRight w:val="0"/>
      <w:marTop w:val="0"/>
      <w:marBottom w:val="0"/>
      <w:divBdr>
        <w:top w:val="none" w:sz="0" w:space="0" w:color="auto"/>
        <w:left w:val="none" w:sz="0" w:space="0" w:color="auto"/>
        <w:bottom w:val="none" w:sz="0" w:space="0" w:color="auto"/>
        <w:right w:val="none" w:sz="0" w:space="0" w:color="auto"/>
      </w:divBdr>
    </w:div>
    <w:div w:id="1704791511">
      <w:bodyDiv w:val="1"/>
      <w:marLeft w:val="0"/>
      <w:marRight w:val="0"/>
      <w:marTop w:val="0"/>
      <w:marBottom w:val="0"/>
      <w:divBdr>
        <w:top w:val="none" w:sz="0" w:space="0" w:color="auto"/>
        <w:left w:val="none" w:sz="0" w:space="0" w:color="auto"/>
        <w:bottom w:val="none" w:sz="0" w:space="0" w:color="auto"/>
        <w:right w:val="none" w:sz="0" w:space="0" w:color="auto"/>
      </w:divBdr>
    </w:div>
    <w:div w:id="1711609076">
      <w:bodyDiv w:val="1"/>
      <w:marLeft w:val="0"/>
      <w:marRight w:val="0"/>
      <w:marTop w:val="0"/>
      <w:marBottom w:val="0"/>
      <w:divBdr>
        <w:top w:val="none" w:sz="0" w:space="0" w:color="auto"/>
        <w:left w:val="none" w:sz="0" w:space="0" w:color="auto"/>
        <w:bottom w:val="none" w:sz="0" w:space="0" w:color="auto"/>
        <w:right w:val="none" w:sz="0" w:space="0" w:color="auto"/>
      </w:divBdr>
    </w:div>
    <w:div w:id="1721202686">
      <w:bodyDiv w:val="1"/>
      <w:marLeft w:val="0"/>
      <w:marRight w:val="0"/>
      <w:marTop w:val="0"/>
      <w:marBottom w:val="0"/>
      <w:divBdr>
        <w:top w:val="none" w:sz="0" w:space="0" w:color="auto"/>
        <w:left w:val="none" w:sz="0" w:space="0" w:color="auto"/>
        <w:bottom w:val="none" w:sz="0" w:space="0" w:color="auto"/>
        <w:right w:val="none" w:sz="0" w:space="0" w:color="auto"/>
      </w:divBdr>
    </w:div>
    <w:div w:id="1748847685">
      <w:bodyDiv w:val="1"/>
      <w:marLeft w:val="0"/>
      <w:marRight w:val="0"/>
      <w:marTop w:val="0"/>
      <w:marBottom w:val="0"/>
      <w:divBdr>
        <w:top w:val="none" w:sz="0" w:space="0" w:color="auto"/>
        <w:left w:val="none" w:sz="0" w:space="0" w:color="auto"/>
        <w:bottom w:val="none" w:sz="0" w:space="0" w:color="auto"/>
        <w:right w:val="none" w:sz="0" w:space="0" w:color="auto"/>
      </w:divBdr>
    </w:div>
    <w:div w:id="1768426986">
      <w:bodyDiv w:val="1"/>
      <w:marLeft w:val="0"/>
      <w:marRight w:val="0"/>
      <w:marTop w:val="0"/>
      <w:marBottom w:val="0"/>
      <w:divBdr>
        <w:top w:val="none" w:sz="0" w:space="0" w:color="auto"/>
        <w:left w:val="none" w:sz="0" w:space="0" w:color="auto"/>
        <w:bottom w:val="none" w:sz="0" w:space="0" w:color="auto"/>
        <w:right w:val="none" w:sz="0" w:space="0" w:color="auto"/>
      </w:divBdr>
    </w:div>
    <w:div w:id="1784180616">
      <w:bodyDiv w:val="1"/>
      <w:marLeft w:val="0"/>
      <w:marRight w:val="0"/>
      <w:marTop w:val="0"/>
      <w:marBottom w:val="0"/>
      <w:divBdr>
        <w:top w:val="none" w:sz="0" w:space="0" w:color="auto"/>
        <w:left w:val="none" w:sz="0" w:space="0" w:color="auto"/>
        <w:bottom w:val="none" w:sz="0" w:space="0" w:color="auto"/>
        <w:right w:val="none" w:sz="0" w:space="0" w:color="auto"/>
      </w:divBdr>
    </w:div>
    <w:div w:id="1788353482">
      <w:bodyDiv w:val="1"/>
      <w:marLeft w:val="0"/>
      <w:marRight w:val="0"/>
      <w:marTop w:val="0"/>
      <w:marBottom w:val="0"/>
      <w:divBdr>
        <w:top w:val="none" w:sz="0" w:space="0" w:color="auto"/>
        <w:left w:val="none" w:sz="0" w:space="0" w:color="auto"/>
        <w:bottom w:val="none" w:sz="0" w:space="0" w:color="auto"/>
        <w:right w:val="none" w:sz="0" w:space="0" w:color="auto"/>
      </w:divBdr>
    </w:div>
    <w:div w:id="1797523695">
      <w:bodyDiv w:val="1"/>
      <w:marLeft w:val="0"/>
      <w:marRight w:val="0"/>
      <w:marTop w:val="0"/>
      <w:marBottom w:val="0"/>
      <w:divBdr>
        <w:top w:val="none" w:sz="0" w:space="0" w:color="auto"/>
        <w:left w:val="none" w:sz="0" w:space="0" w:color="auto"/>
        <w:bottom w:val="none" w:sz="0" w:space="0" w:color="auto"/>
        <w:right w:val="none" w:sz="0" w:space="0" w:color="auto"/>
      </w:divBdr>
    </w:div>
    <w:div w:id="1821995788">
      <w:bodyDiv w:val="1"/>
      <w:marLeft w:val="0"/>
      <w:marRight w:val="0"/>
      <w:marTop w:val="0"/>
      <w:marBottom w:val="0"/>
      <w:divBdr>
        <w:top w:val="none" w:sz="0" w:space="0" w:color="auto"/>
        <w:left w:val="none" w:sz="0" w:space="0" w:color="auto"/>
        <w:bottom w:val="none" w:sz="0" w:space="0" w:color="auto"/>
        <w:right w:val="none" w:sz="0" w:space="0" w:color="auto"/>
      </w:divBdr>
    </w:div>
    <w:div w:id="1826701920">
      <w:bodyDiv w:val="1"/>
      <w:marLeft w:val="0"/>
      <w:marRight w:val="0"/>
      <w:marTop w:val="0"/>
      <w:marBottom w:val="0"/>
      <w:divBdr>
        <w:top w:val="none" w:sz="0" w:space="0" w:color="auto"/>
        <w:left w:val="none" w:sz="0" w:space="0" w:color="auto"/>
        <w:bottom w:val="none" w:sz="0" w:space="0" w:color="auto"/>
        <w:right w:val="none" w:sz="0" w:space="0" w:color="auto"/>
      </w:divBdr>
    </w:div>
    <w:div w:id="1840459614">
      <w:bodyDiv w:val="1"/>
      <w:marLeft w:val="0"/>
      <w:marRight w:val="0"/>
      <w:marTop w:val="0"/>
      <w:marBottom w:val="0"/>
      <w:divBdr>
        <w:top w:val="none" w:sz="0" w:space="0" w:color="auto"/>
        <w:left w:val="none" w:sz="0" w:space="0" w:color="auto"/>
        <w:bottom w:val="none" w:sz="0" w:space="0" w:color="auto"/>
        <w:right w:val="none" w:sz="0" w:space="0" w:color="auto"/>
      </w:divBdr>
    </w:div>
    <w:div w:id="1840924720">
      <w:bodyDiv w:val="1"/>
      <w:marLeft w:val="0"/>
      <w:marRight w:val="0"/>
      <w:marTop w:val="0"/>
      <w:marBottom w:val="0"/>
      <w:divBdr>
        <w:top w:val="none" w:sz="0" w:space="0" w:color="auto"/>
        <w:left w:val="none" w:sz="0" w:space="0" w:color="auto"/>
        <w:bottom w:val="none" w:sz="0" w:space="0" w:color="auto"/>
        <w:right w:val="none" w:sz="0" w:space="0" w:color="auto"/>
      </w:divBdr>
    </w:div>
    <w:div w:id="1841039455">
      <w:bodyDiv w:val="1"/>
      <w:marLeft w:val="0"/>
      <w:marRight w:val="0"/>
      <w:marTop w:val="0"/>
      <w:marBottom w:val="0"/>
      <w:divBdr>
        <w:top w:val="none" w:sz="0" w:space="0" w:color="auto"/>
        <w:left w:val="none" w:sz="0" w:space="0" w:color="auto"/>
        <w:bottom w:val="none" w:sz="0" w:space="0" w:color="auto"/>
        <w:right w:val="none" w:sz="0" w:space="0" w:color="auto"/>
      </w:divBdr>
    </w:div>
    <w:div w:id="1845583584">
      <w:bodyDiv w:val="1"/>
      <w:marLeft w:val="0"/>
      <w:marRight w:val="0"/>
      <w:marTop w:val="0"/>
      <w:marBottom w:val="0"/>
      <w:divBdr>
        <w:top w:val="none" w:sz="0" w:space="0" w:color="auto"/>
        <w:left w:val="none" w:sz="0" w:space="0" w:color="auto"/>
        <w:bottom w:val="none" w:sz="0" w:space="0" w:color="auto"/>
        <w:right w:val="none" w:sz="0" w:space="0" w:color="auto"/>
      </w:divBdr>
    </w:div>
    <w:div w:id="1860895873">
      <w:bodyDiv w:val="1"/>
      <w:marLeft w:val="0"/>
      <w:marRight w:val="0"/>
      <w:marTop w:val="0"/>
      <w:marBottom w:val="0"/>
      <w:divBdr>
        <w:top w:val="none" w:sz="0" w:space="0" w:color="auto"/>
        <w:left w:val="none" w:sz="0" w:space="0" w:color="auto"/>
        <w:bottom w:val="none" w:sz="0" w:space="0" w:color="auto"/>
        <w:right w:val="none" w:sz="0" w:space="0" w:color="auto"/>
      </w:divBdr>
    </w:div>
    <w:div w:id="1873377892">
      <w:bodyDiv w:val="1"/>
      <w:marLeft w:val="0"/>
      <w:marRight w:val="0"/>
      <w:marTop w:val="0"/>
      <w:marBottom w:val="0"/>
      <w:divBdr>
        <w:top w:val="none" w:sz="0" w:space="0" w:color="auto"/>
        <w:left w:val="none" w:sz="0" w:space="0" w:color="auto"/>
        <w:bottom w:val="none" w:sz="0" w:space="0" w:color="auto"/>
        <w:right w:val="none" w:sz="0" w:space="0" w:color="auto"/>
      </w:divBdr>
    </w:div>
    <w:div w:id="1876579541">
      <w:bodyDiv w:val="1"/>
      <w:marLeft w:val="0"/>
      <w:marRight w:val="0"/>
      <w:marTop w:val="0"/>
      <w:marBottom w:val="0"/>
      <w:divBdr>
        <w:top w:val="none" w:sz="0" w:space="0" w:color="auto"/>
        <w:left w:val="none" w:sz="0" w:space="0" w:color="auto"/>
        <w:bottom w:val="none" w:sz="0" w:space="0" w:color="auto"/>
        <w:right w:val="none" w:sz="0" w:space="0" w:color="auto"/>
      </w:divBdr>
    </w:div>
    <w:div w:id="1877309958">
      <w:bodyDiv w:val="1"/>
      <w:marLeft w:val="0"/>
      <w:marRight w:val="0"/>
      <w:marTop w:val="0"/>
      <w:marBottom w:val="0"/>
      <w:divBdr>
        <w:top w:val="none" w:sz="0" w:space="0" w:color="auto"/>
        <w:left w:val="none" w:sz="0" w:space="0" w:color="auto"/>
        <w:bottom w:val="none" w:sz="0" w:space="0" w:color="auto"/>
        <w:right w:val="none" w:sz="0" w:space="0" w:color="auto"/>
      </w:divBdr>
    </w:div>
    <w:div w:id="1884247058">
      <w:bodyDiv w:val="1"/>
      <w:marLeft w:val="0"/>
      <w:marRight w:val="0"/>
      <w:marTop w:val="0"/>
      <w:marBottom w:val="0"/>
      <w:divBdr>
        <w:top w:val="none" w:sz="0" w:space="0" w:color="auto"/>
        <w:left w:val="none" w:sz="0" w:space="0" w:color="auto"/>
        <w:bottom w:val="none" w:sz="0" w:space="0" w:color="auto"/>
        <w:right w:val="none" w:sz="0" w:space="0" w:color="auto"/>
      </w:divBdr>
    </w:div>
    <w:div w:id="1889879763">
      <w:bodyDiv w:val="1"/>
      <w:marLeft w:val="0"/>
      <w:marRight w:val="0"/>
      <w:marTop w:val="0"/>
      <w:marBottom w:val="0"/>
      <w:divBdr>
        <w:top w:val="none" w:sz="0" w:space="0" w:color="auto"/>
        <w:left w:val="none" w:sz="0" w:space="0" w:color="auto"/>
        <w:bottom w:val="none" w:sz="0" w:space="0" w:color="auto"/>
        <w:right w:val="none" w:sz="0" w:space="0" w:color="auto"/>
      </w:divBdr>
    </w:div>
    <w:div w:id="1891989365">
      <w:bodyDiv w:val="1"/>
      <w:marLeft w:val="0"/>
      <w:marRight w:val="0"/>
      <w:marTop w:val="0"/>
      <w:marBottom w:val="0"/>
      <w:divBdr>
        <w:top w:val="none" w:sz="0" w:space="0" w:color="auto"/>
        <w:left w:val="none" w:sz="0" w:space="0" w:color="auto"/>
        <w:bottom w:val="none" w:sz="0" w:space="0" w:color="auto"/>
        <w:right w:val="none" w:sz="0" w:space="0" w:color="auto"/>
      </w:divBdr>
    </w:div>
    <w:div w:id="1893760600">
      <w:bodyDiv w:val="1"/>
      <w:marLeft w:val="0"/>
      <w:marRight w:val="0"/>
      <w:marTop w:val="0"/>
      <w:marBottom w:val="0"/>
      <w:divBdr>
        <w:top w:val="none" w:sz="0" w:space="0" w:color="auto"/>
        <w:left w:val="none" w:sz="0" w:space="0" w:color="auto"/>
        <w:bottom w:val="none" w:sz="0" w:space="0" w:color="auto"/>
        <w:right w:val="none" w:sz="0" w:space="0" w:color="auto"/>
      </w:divBdr>
    </w:div>
    <w:div w:id="1911189061">
      <w:bodyDiv w:val="1"/>
      <w:marLeft w:val="0"/>
      <w:marRight w:val="0"/>
      <w:marTop w:val="0"/>
      <w:marBottom w:val="0"/>
      <w:divBdr>
        <w:top w:val="none" w:sz="0" w:space="0" w:color="auto"/>
        <w:left w:val="none" w:sz="0" w:space="0" w:color="auto"/>
        <w:bottom w:val="none" w:sz="0" w:space="0" w:color="auto"/>
        <w:right w:val="none" w:sz="0" w:space="0" w:color="auto"/>
      </w:divBdr>
    </w:div>
    <w:div w:id="1923103388">
      <w:bodyDiv w:val="1"/>
      <w:marLeft w:val="0"/>
      <w:marRight w:val="0"/>
      <w:marTop w:val="0"/>
      <w:marBottom w:val="0"/>
      <w:divBdr>
        <w:top w:val="none" w:sz="0" w:space="0" w:color="auto"/>
        <w:left w:val="none" w:sz="0" w:space="0" w:color="auto"/>
        <w:bottom w:val="none" w:sz="0" w:space="0" w:color="auto"/>
        <w:right w:val="none" w:sz="0" w:space="0" w:color="auto"/>
      </w:divBdr>
    </w:div>
    <w:div w:id="1923491059">
      <w:bodyDiv w:val="1"/>
      <w:marLeft w:val="0"/>
      <w:marRight w:val="0"/>
      <w:marTop w:val="0"/>
      <w:marBottom w:val="0"/>
      <w:divBdr>
        <w:top w:val="none" w:sz="0" w:space="0" w:color="auto"/>
        <w:left w:val="none" w:sz="0" w:space="0" w:color="auto"/>
        <w:bottom w:val="none" w:sz="0" w:space="0" w:color="auto"/>
        <w:right w:val="none" w:sz="0" w:space="0" w:color="auto"/>
      </w:divBdr>
    </w:div>
    <w:div w:id="1933777527">
      <w:bodyDiv w:val="1"/>
      <w:marLeft w:val="0"/>
      <w:marRight w:val="0"/>
      <w:marTop w:val="0"/>
      <w:marBottom w:val="0"/>
      <w:divBdr>
        <w:top w:val="none" w:sz="0" w:space="0" w:color="auto"/>
        <w:left w:val="none" w:sz="0" w:space="0" w:color="auto"/>
        <w:bottom w:val="none" w:sz="0" w:space="0" w:color="auto"/>
        <w:right w:val="none" w:sz="0" w:space="0" w:color="auto"/>
      </w:divBdr>
    </w:div>
    <w:div w:id="1952282415">
      <w:bodyDiv w:val="1"/>
      <w:marLeft w:val="0"/>
      <w:marRight w:val="0"/>
      <w:marTop w:val="0"/>
      <w:marBottom w:val="0"/>
      <w:divBdr>
        <w:top w:val="none" w:sz="0" w:space="0" w:color="auto"/>
        <w:left w:val="none" w:sz="0" w:space="0" w:color="auto"/>
        <w:bottom w:val="none" w:sz="0" w:space="0" w:color="auto"/>
        <w:right w:val="none" w:sz="0" w:space="0" w:color="auto"/>
      </w:divBdr>
    </w:div>
    <w:div w:id="1954704166">
      <w:bodyDiv w:val="1"/>
      <w:marLeft w:val="0"/>
      <w:marRight w:val="0"/>
      <w:marTop w:val="0"/>
      <w:marBottom w:val="0"/>
      <w:divBdr>
        <w:top w:val="none" w:sz="0" w:space="0" w:color="auto"/>
        <w:left w:val="none" w:sz="0" w:space="0" w:color="auto"/>
        <w:bottom w:val="none" w:sz="0" w:space="0" w:color="auto"/>
        <w:right w:val="none" w:sz="0" w:space="0" w:color="auto"/>
      </w:divBdr>
    </w:div>
    <w:div w:id="1955164039">
      <w:bodyDiv w:val="1"/>
      <w:marLeft w:val="0"/>
      <w:marRight w:val="0"/>
      <w:marTop w:val="0"/>
      <w:marBottom w:val="0"/>
      <w:divBdr>
        <w:top w:val="none" w:sz="0" w:space="0" w:color="auto"/>
        <w:left w:val="none" w:sz="0" w:space="0" w:color="auto"/>
        <w:bottom w:val="none" w:sz="0" w:space="0" w:color="auto"/>
        <w:right w:val="none" w:sz="0" w:space="0" w:color="auto"/>
      </w:divBdr>
    </w:div>
    <w:div w:id="1971668834">
      <w:bodyDiv w:val="1"/>
      <w:marLeft w:val="0"/>
      <w:marRight w:val="0"/>
      <w:marTop w:val="0"/>
      <w:marBottom w:val="0"/>
      <w:divBdr>
        <w:top w:val="none" w:sz="0" w:space="0" w:color="auto"/>
        <w:left w:val="none" w:sz="0" w:space="0" w:color="auto"/>
        <w:bottom w:val="none" w:sz="0" w:space="0" w:color="auto"/>
        <w:right w:val="none" w:sz="0" w:space="0" w:color="auto"/>
      </w:divBdr>
    </w:div>
    <w:div w:id="1982999679">
      <w:bodyDiv w:val="1"/>
      <w:marLeft w:val="0"/>
      <w:marRight w:val="0"/>
      <w:marTop w:val="0"/>
      <w:marBottom w:val="0"/>
      <w:divBdr>
        <w:top w:val="none" w:sz="0" w:space="0" w:color="auto"/>
        <w:left w:val="none" w:sz="0" w:space="0" w:color="auto"/>
        <w:bottom w:val="none" w:sz="0" w:space="0" w:color="auto"/>
        <w:right w:val="none" w:sz="0" w:space="0" w:color="auto"/>
      </w:divBdr>
    </w:div>
    <w:div w:id="1986008758">
      <w:bodyDiv w:val="1"/>
      <w:marLeft w:val="0"/>
      <w:marRight w:val="0"/>
      <w:marTop w:val="0"/>
      <w:marBottom w:val="0"/>
      <w:divBdr>
        <w:top w:val="none" w:sz="0" w:space="0" w:color="auto"/>
        <w:left w:val="none" w:sz="0" w:space="0" w:color="auto"/>
        <w:bottom w:val="none" w:sz="0" w:space="0" w:color="auto"/>
        <w:right w:val="none" w:sz="0" w:space="0" w:color="auto"/>
      </w:divBdr>
    </w:div>
    <w:div w:id="1986926853">
      <w:bodyDiv w:val="1"/>
      <w:marLeft w:val="0"/>
      <w:marRight w:val="0"/>
      <w:marTop w:val="0"/>
      <w:marBottom w:val="0"/>
      <w:divBdr>
        <w:top w:val="none" w:sz="0" w:space="0" w:color="auto"/>
        <w:left w:val="none" w:sz="0" w:space="0" w:color="auto"/>
        <w:bottom w:val="none" w:sz="0" w:space="0" w:color="auto"/>
        <w:right w:val="none" w:sz="0" w:space="0" w:color="auto"/>
      </w:divBdr>
    </w:div>
    <w:div w:id="1987273148">
      <w:bodyDiv w:val="1"/>
      <w:marLeft w:val="0"/>
      <w:marRight w:val="0"/>
      <w:marTop w:val="0"/>
      <w:marBottom w:val="0"/>
      <w:divBdr>
        <w:top w:val="none" w:sz="0" w:space="0" w:color="auto"/>
        <w:left w:val="none" w:sz="0" w:space="0" w:color="auto"/>
        <w:bottom w:val="none" w:sz="0" w:space="0" w:color="auto"/>
        <w:right w:val="none" w:sz="0" w:space="0" w:color="auto"/>
      </w:divBdr>
    </w:div>
    <w:div w:id="1987856371">
      <w:bodyDiv w:val="1"/>
      <w:marLeft w:val="0"/>
      <w:marRight w:val="0"/>
      <w:marTop w:val="0"/>
      <w:marBottom w:val="0"/>
      <w:divBdr>
        <w:top w:val="none" w:sz="0" w:space="0" w:color="auto"/>
        <w:left w:val="none" w:sz="0" w:space="0" w:color="auto"/>
        <w:bottom w:val="none" w:sz="0" w:space="0" w:color="auto"/>
        <w:right w:val="none" w:sz="0" w:space="0" w:color="auto"/>
      </w:divBdr>
    </w:div>
    <w:div w:id="1991321011">
      <w:bodyDiv w:val="1"/>
      <w:marLeft w:val="0"/>
      <w:marRight w:val="0"/>
      <w:marTop w:val="0"/>
      <w:marBottom w:val="0"/>
      <w:divBdr>
        <w:top w:val="none" w:sz="0" w:space="0" w:color="auto"/>
        <w:left w:val="none" w:sz="0" w:space="0" w:color="auto"/>
        <w:bottom w:val="none" w:sz="0" w:space="0" w:color="auto"/>
        <w:right w:val="none" w:sz="0" w:space="0" w:color="auto"/>
      </w:divBdr>
    </w:div>
    <w:div w:id="1992055464">
      <w:bodyDiv w:val="1"/>
      <w:marLeft w:val="0"/>
      <w:marRight w:val="0"/>
      <w:marTop w:val="0"/>
      <w:marBottom w:val="0"/>
      <w:divBdr>
        <w:top w:val="none" w:sz="0" w:space="0" w:color="auto"/>
        <w:left w:val="none" w:sz="0" w:space="0" w:color="auto"/>
        <w:bottom w:val="none" w:sz="0" w:space="0" w:color="auto"/>
        <w:right w:val="none" w:sz="0" w:space="0" w:color="auto"/>
      </w:divBdr>
    </w:div>
    <w:div w:id="1995178621">
      <w:bodyDiv w:val="1"/>
      <w:marLeft w:val="0"/>
      <w:marRight w:val="0"/>
      <w:marTop w:val="0"/>
      <w:marBottom w:val="0"/>
      <w:divBdr>
        <w:top w:val="none" w:sz="0" w:space="0" w:color="auto"/>
        <w:left w:val="none" w:sz="0" w:space="0" w:color="auto"/>
        <w:bottom w:val="none" w:sz="0" w:space="0" w:color="auto"/>
        <w:right w:val="none" w:sz="0" w:space="0" w:color="auto"/>
      </w:divBdr>
    </w:div>
    <w:div w:id="1995452828">
      <w:bodyDiv w:val="1"/>
      <w:marLeft w:val="0"/>
      <w:marRight w:val="0"/>
      <w:marTop w:val="0"/>
      <w:marBottom w:val="0"/>
      <w:divBdr>
        <w:top w:val="none" w:sz="0" w:space="0" w:color="auto"/>
        <w:left w:val="none" w:sz="0" w:space="0" w:color="auto"/>
        <w:bottom w:val="none" w:sz="0" w:space="0" w:color="auto"/>
        <w:right w:val="none" w:sz="0" w:space="0" w:color="auto"/>
      </w:divBdr>
    </w:div>
    <w:div w:id="2004896703">
      <w:bodyDiv w:val="1"/>
      <w:marLeft w:val="0"/>
      <w:marRight w:val="0"/>
      <w:marTop w:val="0"/>
      <w:marBottom w:val="0"/>
      <w:divBdr>
        <w:top w:val="none" w:sz="0" w:space="0" w:color="auto"/>
        <w:left w:val="none" w:sz="0" w:space="0" w:color="auto"/>
        <w:bottom w:val="none" w:sz="0" w:space="0" w:color="auto"/>
        <w:right w:val="none" w:sz="0" w:space="0" w:color="auto"/>
      </w:divBdr>
    </w:div>
    <w:div w:id="2017880864">
      <w:bodyDiv w:val="1"/>
      <w:marLeft w:val="0"/>
      <w:marRight w:val="0"/>
      <w:marTop w:val="0"/>
      <w:marBottom w:val="0"/>
      <w:divBdr>
        <w:top w:val="none" w:sz="0" w:space="0" w:color="auto"/>
        <w:left w:val="none" w:sz="0" w:space="0" w:color="auto"/>
        <w:bottom w:val="none" w:sz="0" w:space="0" w:color="auto"/>
        <w:right w:val="none" w:sz="0" w:space="0" w:color="auto"/>
      </w:divBdr>
    </w:div>
    <w:div w:id="2023124309">
      <w:bodyDiv w:val="1"/>
      <w:marLeft w:val="0"/>
      <w:marRight w:val="0"/>
      <w:marTop w:val="0"/>
      <w:marBottom w:val="0"/>
      <w:divBdr>
        <w:top w:val="none" w:sz="0" w:space="0" w:color="auto"/>
        <w:left w:val="none" w:sz="0" w:space="0" w:color="auto"/>
        <w:bottom w:val="none" w:sz="0" w:space="0" w:color="auto"/>
        <w:right w:val="none" w:sz="0" w:space="0" w:color="auto"/>
      </w:divBdr>
    </w:div>
    <w:div w:id="2027125622">
      <w:bodyDiv w:val="1"/>
      <w:marLeft w:val="0"/>
      <w:marRight w:val="0"/>
      <w:marTop w:val="0"/>
      <w:marBottom w:val="0"/>
      <w:divBdr>
        <w:top w:val="none" w:sz="0" w:space="0" w:color="auto"/>
        <w:left w:val="none" w:sz="0" w:space="0" w:color="auto"/>
        <w:bottom w:val="none" w:sz="0" w:space="0" w:color="auto"/>
        <w:right w:val="none" w:sz="0" w:space="0" w:color="auto"/>
      </w:divBdr>
    </w:div>
    <w:div w:id="2031686253">
      <w:bodyDiv w:val="1"/>
      <w:marLeft w:val="0"/>
      <w:marRight w:val="0"/>
      <w:marTop w:val="0"/>
      <w:marBottom w:val="0"/>
      <w:divBdr>
        <w:top w:val="none" w:sz="0" w:space="0" w:color="auto"/>
        <w:left w:val="none" w:sz="0" w:space="0" w:color="auto"/>
        <w:bottom w:val="none" w:sz="0" w:space="0" w:color="auto"/>
        <w:right w:val="none" w:sz="0" w:space="0" w:color="auto"/>
      </w:divBdr>
    </w:div>
    <w:div w:id="2053967000">
      <w:bodyDiv w:val="1"/>
      <w:marLeft w:val="0"/>
      <w:marRight w:val="0"/>
      <w:marTop w:val="0"/>
      <w:marBottom w:val="0"/>
      <w:divBdr>
        <w:top w:val="none" w:sz="0" w:space="0" w:color="auto"/>
        <w:left w:val="none" w:sz="0" w:space="0" w:color="auto"/>
        <w:bottom w:val="none" w:sz="0" w:space="0" w:color="auto"/>
        <w:right w:val="none" w:sz="0" w:space="0" w:color="auto"/>
      </w:divBdr>
    </w:div>
    <w:div w:id="2055425474">
      <w:bodyDiv w:val="1"/>
      <w:marLeft w:val="0"/>
      <w:marRight w:val="0"/>
      <w:marTop w:val="0"/>
      <w:marBottom w:val="0"/>
      <w:divBdr>
        <w:top w:val="none" w:sz="0" w:space="0" w:color="auto"/>
        <w:left w:val="none" w:sz="0" w:space="0" w:color="auto"/>
        <w:bottom w:val="none" w:sz="0" w:space="0" w:color="auto"/>
        <w:right w:val="none" w:sz="0" w:space="0" w:color="auto"/>
      </w:divBdr>
    </w:div>
    <w:div w:id="2057659394">
      <w:bodyDiv w:val="1"/>
      <w:marLeft w:val="0"/>
      <w:marRight w:val="0"/>
      <w:marTop w:val="0"/>
      <w:marBottom w:val="0"/>
      <w:divBdr>
        <w:top w:val="none" w:sz="0" w:space="0" w:color="auto"/>
        <w:left w:val="none" w:sz="0" w:space="0" w:color="auto"/>
        <w:bottom w:val="none" w:sz="0" w:space="0" w:color="auto"/>
        <w:right w:val="none" w:sz="0" w:space="0" w:color="auto"/>
      </w:divBdr>
    </w:div>
    <w:div w:id="2061248695">
      <w:bodyDiv w:val="1"/>
      <w:marLeft w:val="0"/>
      <w:marRight w:val="0"/>
      <w:marTop w:val="0"/>
      <w:marBottom w:val="0"/>
      <w:divBdr>
        <w:top w:val="none" w:sz="0" w:space="0" w:color="auto"/>
        <w:left w:val="none" w:sz="0" w:space="0" w:color="auto"/>
        <w:bottom w:val="none" w:sz="0" w:space="0" w:color="auto"/>
        <w:right w:val="none" w:sz="0" w:space="0" w:color="auto"/>
      </w:divBdr>
    </w:div>
    <w:div w:id="2065519205">
      <w:bodyDiv w:val="1"/>
      <w:marLeft w:val="0"/>
      <w:marRight w:val="0"/>
      <w:marTop w:val="0"/>
      <w:marBottom w:val="0"/>
      <w:divBdr>
        <w:top w:val="none" w:sz="0" w:space="0" w:color="auto"/>
        <w:left w:val="none" w:sz="0" w:space="0" w:color="auto"/>
        <w:bottom w:val="none" w:sz="0" w:space="0" w:color="auto"/>
        <w:right w:val="none" w:sz="0" w:space="0" w:color="auto"/>
      </w:divBdr>
    </w:div>
    <w:div w:id="2069108099">
      <w:bodyDiv w:val="1"/>
      <w:marLeft w:val="0"/>
      <w:marRight w:val="0"/>
      <w:marTop w:val="0"/>
      <w:marBottom w:val="0"/>
      <w:divBdr>
        <w:top w:val="none" w:sz="0" w:space="0" w:color="auto"/>
        <w:left w:val="none" w:sz="0" w:space="0" w:color="auto"/>
        <w:bottom w:val="none" w:sz="0" w:space="0" w:color="auto"/>
        <w:right w:val="none" w:sz="0" w:space="0" w:color="auto"/>
      </w:divBdr>
    </w:div>
    <w:div w:id="2086605681">
      <w:bodyDiv w:val="1"/>
      <w:marLeft w:val="0"/>
      <w:marRight w:val="0"/>
      <w:marTop w:val="0"/>
      <w:marBottom w:val="0"/>
      <w:divBdr>
        <w:top w:val="none" w:sz="0" w:space="0" w:color="auto"/>
        <w:left w:val="none" w:sz="0" w:space="0" w:color="auto"/>
        <w:bottom w:val="none" w:sz="0" w:space="0" w:color="auto"/>
        <w:right w:val="none" w:sz="0" w:space="0" w:color="auto"/>
      </w:divBdr>
    </w:div>
    <w:div w:id="2087991052">
      <w:bodyDiv w:val="1"/>
      <w:marLeft w:val="0"/>
      <w:marRight w:val="0"/>
      <w:marTop w:val="0"/>
      <w:marBottom w:val="0"/>
      <w:divBdr>
        <w:top w:val="none" w:sz="0" w:space="0" w:color="auto"/>
        <w:left w:val="none" w:sz="0" w:space="0" w:color="auto"/>
        <w:bottom w:val="none" w:sz="0" w:space="0" w:color="auto"/>
        <w:right w:val="none" w:sz="0" w:space="0" w:color="auto"/>
      </w:divBdr>
    </w:div>
    <w:div w:id="2089961053">
      <w:bodyDiv w:val="1"/>
      <w:marLeft w:val="0"/>
      <w:marRight w:val="0"/>
      <w:marTop w:val="0"/>
      <w:marBottom w:val="0"/>
      <w:divBdr>
        <w:top w:val="none" w:sz="0" w:space="0" w:color="auto"/>
        <w:left w:val="none" w:sz="0" w:space="0" w:color="auto"/>
        <w:bottom w:val="none" w:sz="0" w:space="0" w:color="auto"/>
        <w:right w:val="none" w:sz="0" w:space="0" w:color="auto"/>
      </w:divBdr>
    </w:div>
    <w:div w:id="2106149076">
      <w:bodyDiv w:val="1"/>
      <w:marLeft w:val="0"/>
      <w:marRight w:val="0"/>
      <w:marTop w:val="0"/>
      <w:marBottom w:val="0"/>
      <w:divBdr>
        <w:top w:val="none" w:sz="0" w:space="0" w:color="auto"/>
        <w:left w:val="none" w:sz="0" w:space="0" w:color="auto"/>
        <w:bottom w:val="none" w:sz="0" w:space="0" w:color="auto"/>
        <w:right w:val="none" w:sz="0" w:space="0" w:color="auto"/>
      </w:divBdr>
    </w:div>
    <w:div w:id="2107647151">
      <w:bodyDiv w:val="1"/>
      <w:marLeft w:val="0"/>
      <w:marRight w:val="0"/>
      <w:marTop w:val="0"/>
      <w:marBottom w:val="0"/>
      <w:divBdr>
        <w:top w:val="none" w:sz="0" w:space="0" w:color="auto"/>
        <w:left w:val="none" w:sz="0" w:space="0" w:color="auto"/>
        <w:bottom w:val="none" w:sz="0" w:space="0" w:color="auto"/>
        <w:right w:val="none" w:sz="0" w:space="0" w:color="auto"/>
      </w:divBdr>
    </w:div>
    <w:div w:id="2109814113">
      <w:bodyDiv w:val="1"/>
      <w:marLeft w:val="0"/>
      <w:marRight w:val="0"/>
      <w:marTop w:val="0"/>
      <w:marBottom w:val="0"/>
      <w:divBdr>
        <w:top w:val="none" w:sz="0" w:space="0" w:color="auto"/>
        <w:left w:val="none" w:sz="0" w:space="0" w:color="auto"/>
        <w:bottom w:val="none" w:sz="0" w:space="0" w:color="auto"/>
        <w:right w:val="none" w:sz="0" w:space="0" w:color="auto"/>
      </w:divBdr>
    </w:div>
    <w:div w:id="214350131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ustomXml" Target="../customXml/item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customXml" Target="../customXml/item4.xml"/></Relationships>
</file>

<file path=word/_rels/footnotes.xml.rels><?xml version="1.0" encoding="UTF-8" standalone="yes"?>
<Relationships xmlns="http://schemas.openxmlformats.org/package/2006/relationships"><Relationship Id="rId1" Type="http://schemas.openxmlformats.org/officeDocument/2006/relationships/hyperlink" Target="http://www.defaseg.com.pe/reglamento"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xmlns:thm15="http://schemas.microsoft.com/office/thememl/2012/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1165C6F5-1957-4209-835A-9C1861313F84}">
  <ds:schemaRefs>
    <ds:schemaRef ds:uri="http://schemas.openxmlformats.org/officeDocument/2006/bibliography"/>
  </ds:schemaRefs>
</ds:datastoreItem>
</file>

<file path=customXml/itemProps2.xml><?xml version="1.0" encoding="utf-8"?>
<ds:datastoreItem xmlns:ds="http://schemas.openxmlformats.org/officeDocument/2006/customXml" ds:itemID="{E7D88CE9-AAC8-4C24-9DF6-1C4CE065C204}"/>
</file>

<file path=customXml/itemProps3.xml><?xml version="1.0" encoding="utf-8"?>
<ds:datastoreItem xmlns:ds="http://schemas.openxmlformats.org/officeDocument/2006/customXml" ds:itemID="{F5453384-C248-4EF8-9ADC-C3C352F0785E}"/>
</file>

<file path=customXml/itemProps4.xml><?xml version="1.0" encoding="utf-8"?>
<ds:datastoreItem xmlns:ds="http://schemas.openxmlformats.org/officeDocument/2006/customXml" ds:itemID="{1825C354-1C8D-45D5-89B4-3D185C8C1CC5}"/>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 Eugenia Valdez</dc:creator>
  <cp:keywords/>
  <dc:description/>
  <cp:lastModifiedBy>dserna@apeseg.org.pe</cp:lastModifiedBy>
  <cp:revision>558</cp:revision>
  <cp:lastPrinted>2025-06-19T16:00:00Z</cp:lastPrinted>
  <dcterms:created xsi:type="dcterms:W3CDTF">2023-06-22T13:57:00Z</dcterms:created>
  <dcterms:modified xsi:type="dcterms:W3CDTF">2026-03-26T21:26:21Z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