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7BE2" w:rsidR="00B3048B" w:rsidP="00425565" w:rsidRDefault="00F15FBA" w14:paraId="64A19C66" w14:textId="7CD8B21F">
      <w:pPr>
        <w:pStyle w:val="Ttulo"/>
        <w:outlineLvl w:val="0"/>
        <w:rPr>
          <w:sz w:val="23"/>
          <w:szCs w:val="23"/>
          <w:lang w:val="es-PE"/>
        </w:rPr>
      </w:pPr>
      <w:r w:rsidRPr="00247BE2">
        <w:rPr>
          <w:sz w:val="23"/>
          <w:szCs w:val="23"/>
          <w:lang w:val="es-PE"/>
        </w:rPr>
        <w:t>RESOLUCIÓN N</w:t>
      </w:r>
      <w:r w:rsidRPr="00247BE2" w:rsidR="001631D6">
        <w:rPr>
          <w:sz w:val="23"/>
          <w:szCs w:val="23"/>
          <w:lang w:val="es-PE"/>
        </w:rPr>
        <w:t xml:space="preserve">° </w:t>
      </w:r>
      <w:r w:rsidRPr="00247BE2" w:rsidR="00E4274A">
        <w:rPr>
          <w:sz w:val="23"/>
          <w:szCs w:val="23"/>
          <w:lang w:val="es-PE"/>
        </w:rPr>
        <w:t>10</w:t>
      </w:r>
      <w:r w:rsidR="00606DCB">
        <w:rPr>
          <w:sz w:val="23"/>
          <w:szCs w:val="23"/>
          <w:lang w:val="es-PE"/>
        </w:rPr>
        <w:t>2</w:t>
      </w:r>
      <w:r w:rsidRPr="00247BE2" w:rsidR="001272A9">
        <w:rPr>
          <w:sz w:val="23"/>
          <w:szCs w:val="23"/>
          <w:lang w:val="es-PE"/>
        </w:rPr>
        <w:t>/</w:t>
      </w:r>
      <w:r w:rsidRPr="00247BE2" w:rsidR="001631D6">
        <w:rPr>
          <w:sz w:val="23"/>
          <w:szCs w:val="23"/>
          <w:lang w:val="es-PE"/>
        </w:rPr>
        <w:t>2</w:t>
      </w:r>
      <w:r w:rsidRPr="00247BE2" w:rsidR="0073373B">
        <w:rPr>
          <w:sz w:val="23"/>
          <w:szCs w:val="23"/>
          <w:lang w:val="es-PE"/>
        </w:rPr>
        <w:t>5</w:t>
      </w:r>
    </w:p>
    <w:p w:rsidRPr="00247BE2" w:rsidR="00ED76D4" w:rsidP="00FF2E0B" w:rsidRDefault="00ED76D4" w14:paraId="75C117BA" w14:textId="77777777">
      <w:pPr>
        <w:jc w:val="both"/>
        <w:outlineLvl w:val="0"/>
        <w:rPr>
          <w:b/>
          <w:sz w:val="23"/>
          <w:szCs w:val="23"/>
          <w:lang w:val="es-PE"/>
        </w:rPr>
      </w:pPr>
    </w:p>
    <w:p w:rsidRPr="00F239F4" w:rsidR="00F239F4" w:rsidP="00F239F4" w:rsidRDefault="00F239F4" w14:paraId="16217361" w14:textId="77777777">
      <w:pPr>
        <w:jc w:val="right"/>
        <w:outlineLvl w:val="0"/>
        <w:rPr>
          <w:b/>
          <w:bCs/>
          <w:sz w:val="23"/>
          <w:szCs w:val="23"/>
          <w:lang w:val="es-MX"/>
        </w:rPr>
      </w:pPr>
    </w:p>
    <w:p w:rsidR="00F239F4" w:rsidP="00F239F4" w:rsidRDefault="00F239F4" w14:paraId="1C541F37" w14:textId="77777777">
      <w:pPr>
        <w:jc w:val="both"/>
        <w:outlineLvl w:val="0"/>
        <w:rPr>
          <w:b/>
          <w:bCs/>
          <w:sz w:val="23"/>
          <w:szCs w:val="23"/>
          <w:lang w:val="es-MX"/>
        </w:rPr>
      </w:pPr>
      <w:r w:rsidRPr="00F239F4">
        <w:rPr>
          <w:b/>
          <w:bCs/>
          <w:sz w:val="23"/>
          <w:szCs w:val="23"/>
          <w:lang w:val="es-MX"/>
        </w:rPr>
        <w:t>VISTOS:</w:t>
      </w:r>
    </w:p>
    <w:p w:rsidRPr="00F239F4" w:rsidR="00F239F4" w:rsidP="00F239F4" w:rsidRDefault="00F239F4" w14:paraId="341A9E5B" w14:textId="77777777">
      <w:pPr>
        <w:jc w:val="both"/>
        <w:outlineLvl w:val="0"/>
        <w:rPr>
          <w:b/>
          <w:bCs/>
          <w:sz w:val="23"/>
          <w:szCs w:val="23"/>
          <w:lang w:val="es-MX"/>
        </w:rPr>
      </w:pPr>
    </w:p>
    <w:p w:rsidR="00F239F4" w:rsidP="00F239F4" w:rsidRDefault="00F239F4" w14:paraId="623E45B0" w14:textId="17C72B5A">
      <w:pPr>
        <w:jc w:val="both"/>
        <w:outlineLvl w:val="0"/>
        <w:rPr>
          <w:sz w:val="23"/>
          <w:szCs w:val="23"/>
          <w:lang w:val="es-PE"/>
        </w:rPr>
      </w:pPr>
      <w:r w:rsidRPr="4FAF2335" w:rsidR="00F239F4">
        <w:rPr>
          <w:sz w:val="23"/>
          <w:szCs w:val="23"/>
          <w:lang w:val="es-PE"/>
        </w:rPr>
        <w:t>Que, con fecha 7 de febrero de 2025</w:t>
      </w:r>
      <w:bookmarkStart w:name="_Hlk107662905" w:id="0"/>
      <w:r w:rsidRPr="4FAF2335" w:rsidR="00F239F4">
        <w:rPr>
          <w:sz w:val="23"/>
          <w:szCs w:val="23"/>
          <w:lang w:val="es-PE"/>
        </w:rPr>
        <w:t xml:space="preserve">, el señor </w:t>
      </w:r>
      <w:r w:rsidRPr="4FAF2335" w:rsidR="1AA77B48">
        <w:rPr>
          <w:b w:val="1"/>
          <w:bCs w:val="1"/>
          <w:sz w:val="23"/>
          <w:szCs w:val="23"/>
          <w:lang w:val="es-PE"/>
        </w:rPr>
        <w:t>.........................................................................................</w:t>
      </w:r>
      <w:r w:rsidRPr="4FAF2335" w:rsidR="00F239F4">
        <w:rPr>
          <w:b w:val="1"/>
          <w:bCs w:val="1"/>
          <w:sz w:val="23"/>
          <w:szCs w:val="23"/>
          <w:lang w:val="es-PE"/>
        </w:rPr>
        <w:t xml:space="preserve"> (el señor “</w:t>
      </w:r>
      <w:r w:rsidRPr="4FAF2335" w:rsidR="3CB3EFB6">
        <w:rPr>
          <w:b w:val="1"/>
          <w:bCs w:val="1"/>
          <w:sz w:val="23"/>
          <w:szCs w:val="23"/>
          <w:lang w:val="es-PE"/>
        </w:rPr>
        <w:t>..................................................</w:t>
      </w:r>
      <w:r w:rsidRPr="4FAF2335" w:rsidR="00F239F4">
        <w:rPr>
          <w:b w:val="1"/>
          <w:bCs w:val="1"/>
          <w:sz w:val="23"/>
          <w:szCs w:val="23"/>
          <w:lang w:val="es-PE"/>
        </w:rPr>
        <w:t>”)</w:t>
      </w:r>
      <w:bookmarkEnd w:id="0"/>
      <w:r w:rsidRPr="4FAF2335" w:rsidR="00F239F4">
        <w:rPr>
          <w:sz w:val="23"/>
          <w:szCs w:val="23"/>
          <w:lang w:val="es-PE"/>
        </w:rPr>
        <w:t xml:space="preserve"> interpuso un reclamo ante la Defensoría del Asegurado </w:t>
      </w:r>
      <w:r w:rsidRPr="4FAF2335" w:rsidR="00F239F4">
        <w:rPr>
          <w:b w:val="1"/>
          <w:bCs w:val="1"/>
          <w:sz w:val="23"/>
          <w:szCs w:val="23"/>
          <w:lang w:val="es-PE"/>
        </w:rPr>
        <w:t>(“DEFASEG”</w:t>
      </w:r>
      <w:r w:rsidRPr="4FAF2335" w:rsidR="00F239F4">
        <w:rPr>
          <w:sz w:val="23"/>
          <w:szCs w:val="23"/>
          <w:lang w:val="es-PE"/>
        </w:rPr>
        <w:t xml:space="preserve">) solicitando que </w:t>
      </w:r>
      <w:r w:rsidRPr="4FAF2335" w:rsidR="2A4841BA">
        <w:rPr>
          <w:b w:val="1"/>
          <w:bCs w:val="1"/>
          <w:sz w:val="23"/>
          <w:szCs w:val="23"/>
          <w:lang w:val="es-PE"/>
        </w:rPr>
        <w:t>....................................................................</w:t>
      </w:r>
      <w:r w:rsidRPr="4FAF2335" w:rsidR="00F239F4">
        <w:rPr>
          <w:b w:val="1"/>
          <w:bCs w:val="1"/>
          <w:sz w:val="23"/>
          <w:szCs w:val="23"/>
          <w:lang w:val="es-PE"/>
        </w:rPr>
        <w:t xml:space="preserve"> (“</w:t>
      </w:r>
      <w:r w:rsidRPr="4FAF2335" w:rsidR="7A9E833C">
        <w:rPr>
          <w:b w:val="1"/>
          <w:bCs w:val="1"/>
          <w:sz w:val="23"/>
          <w:szCs w:val="23"/>
          <w:lang w:val="es-PE"/>
        </w:rPr>
        <w:t>................</w:t>
      </w:r>
      <w:r w:rsidRPr="4FAF2335" w:rsidR="00F239F4">
        <w:rPr>
          <w:b w:val="1"/>
          <w:bCs w:val="1"/>
          <w:sz w:val="23"/>
          <w:szCs w:val="23"/>
          <w:lang w:val="es-PE"/>
        </w:rPr>
        <w:t>”</w:t>
      </w:r>
      <w:r w:rsidRPr="4FAF2335" w:rsidR="00F239F4">
        <w:rPr>
          <w:b w:val="1"/>
          <w:bCs w:val="1"/>
          <w:sz w:val="23"/>
          <w:szCs w:val="23"/>
          <w:lang w:val="es-MX"/>
        </w:rPr>
        <w:t xml:space="preserve">) </w:t>
      </w:r>
      <w:r w:rsidRPr="4FAF2335" w:rsidR="00F239F4">
        <w:rPr>
          <w:sz w:val="23"/>
          <w:szCs w:val="23"/>
          <w:lang w:val="es-PE"/>
        </w:rPr>
        <w:t xml:space="preserve">de acuerdo la Póliza Vehicular </w:t>
      </w:r>
      <w:r w:rsidRPr="4FAF2335" w:rsidR="00F239F4">
        <w:rPr>
          <w:sz w:val="23"/>
          <w:szCs w:val="23"/>
          <w:lang w:val="es-PE"/>
        </w:rPr>
        <w:t>n.°</w:t>
      </w:r>
      <w:r w:rsidRPr="4FAF2335" w:rsidR="00F239F4">
        <w:rPr>
          <w:sz w:val="23"/>
          <w:szCs w:val="23"/>
          <w:lang w:val="es-PE"/>
        </w:rPr>
        <w:t xml:space="preserve"> </w:t>
      </w:r>
      <w:r w:rsidRPr="4FAF2335" w:rsidR="707060F7">
        <w:rPr>
          <w:sz w:val="23"/>
          <w:szCs w:val="23"/>
          <w:lang w:val="es-PE"/>
        </w:rPr>
        <w:t>..................................</w:t>
      </w:r>
      <w:r w:rsidRPr="4FAF2335" w:rsidR="00F239F4">
        <w:rPr>
          <w:sz w:val="23"/>
          <w:szCs w:val="23"/>
          <w:lang w:val="es-PE"/>
        </w:rPr>
        <w:t xml:space="preserve"> (la “Póliza”), para que proceda con el reemplazo del faro delantero derecho, el cual </w:t>
      </w:r>
      <w:r w:rsidRPr="4FAF2335" w:rsidR="00F239F4">
        <w:rPr>
          <w:sz w:val="23"/>
          <w:szCs w:val="23"/>
          <w:lang w:val="es-PE"/>
        </w:rPr>
        <w:t>habría  sufrido</w:t>
      </w:r>
      <w:r w:rsidRPr="4FAF2335" w:rsidR="00F239F4">
        <w:rPr>
          <w:sz w:val="23"/>
          <w:szCs w:val="23"/>
          <w:lang w:val="es-PE"/>
        </w:rPr>
        <w:t xml:space="preserve"> daños como consecuencia del siniestro ocurrido el 15 de octubre de 2024 en el que estuvo involucrado el vehículo asegurado, marca Jaguar, modelo XE, con placa de rodaje </w:t>
      </w:r>
      <w:r w:rsidRPr="4FAF2335" w:rsidR="69A1E491">
        <w:rPr>
          <w:sz w:val="23"/>
          <w:szCs w:val="23"/>
          <w:lang w:val="es-PE"/>
        </w:rPr>
        <w:t>.............</w:t>
      </w:r>
      <w:r w:rsidRPr="4FAF2335" w:rsidR="00F239F4">
        <w:rPr>
          <w:sz w:val="23"/>
          <w:szCs w:val="23"/>
          <w:lang w:val="es-PE"/>
        </w:rPr>
        <w:t xml:space="preserve"> (“vehículo asegurado”). </w:t>
      </w:r>
    </w:p>
    <w:p w:rsidRPr="00F239F4" w:rsidR="00F239F4" w:rsidP="00F239F4" w:rsidRDefault="00F239F4" w14:paraId="519D5BED" w14:textId="77777777">
      <w:pPr>
        <w:jc w:val="both"/>
        <w:outlineLvl w:val="0"/>
        <w:rPr>
          <w:sz w:val="23"/>
          <w:szCs w:val="23"/>
          <w:lang w:val="es-PE"/>
        </w:rPr>
      </w:pPr>
    </w:p>
    <w:p w:rsidR="00F239F4" w:rsidP="00F239F4" w:rsidRDefault="00F239F4" w14:paraId="0A04606F" w14:textId="04AC1744">
      <w:pPr>
        <w:jc w:val="both"/>
        <w:outlineLvl w:val="0"/>
        <w:rPr>
          <w:sz w:val="23"/>
          <w:szCs w:val="23"/>
          <w:lang w:val="es-PE"/>
        </w:rPr>
      </w:pPr>
      <w:r w:rsidRPr="4FAF2335" w:rsidR="00F239F4">
        <w:rPr>
          <w:sz w:val="23"/>
          <w:szCs w:val="23"/>
          <w:lang w:val="es-PE"/>
        </w:rPr>
        <w:t xml:space="preserve">Que, la reclamación interpuesta por el señor </w:t>
      </w:r>
      <w:r w:rsidRPr="4FAF2335" w:rsidR="3CB3EFB6">
        <w:rPr>
          <w:sz w:val="23"/>
          <w:szCs w:val="23"/>
          <w:lang w:val="es-PE"/>
        </w:rPr>
        <w:t>..................................................</w:t>
      </w:r>
      <w:r w:rsidRPr="4FAF2335" w:rsidR="00F239F4">
        <w:rPr>
          <w:sz w:val="23"/>
          <w:szCs w:val="23"/>
          <w:lang w:val="es-PE"/>
        </w:rPr>
        <w:t xml:space="preserve"> se sustenta en los siguientes hechos y argumentos: </w:t>
      </w:r>
      <w:r w:rsidRPr="4FAF2335" w:rsidR="00F239F4">
        <w:rPr>
          <w:b w:val="1"/>
          <w:bCs w:val="1"/>
          <w:i w:val="1"/>
          <w:iCs w:val="1"/>
          <w:sz w:val="23"/>
          <w:szCs w:val="23"/>
          <w:lang w:val="es-PE"/>
        </w:rPr>
        <w:t xml:space="preserve">a) </w:t>
      </w:r>
      <w:r w:rsidRPr="4FAF2335" w:rsidR="00F239F4">
        <w:rPr>
          <w:sz w:val="23"/>
          <w:szCs w:val="23"/>
          <w:lang w:val="es-PE"/>
        </w:rPr>
        <w:t xml:space="preserve">que, el 13 de enero de 2023, </w:t>
      </w:r>
      <w:r w:rsidRPr="4FAF2335" w:rsidR="7A9E833C">
        <w:rPr>
          <w:sz w:val="23"/>
          <w:szCs w:val="23"/>
          <w:lang w:val="es-PE"/>
        </w:rPr>
        <w:t>................</w:t>
      </w:r>
      <w:r w:rsidRPr="4FAF2335" w:rsidR="00F239F4">
        <w:rPr>
          <w:sz w:val="23"/>
          <w:szCs w:val="23"/>
          <w:lang w:val="es-PE"/>
        </w:rPr>
        <w:t xml:space="preserve"> realizó la inspección del auto asegurado al momento de recogerlo del concesionario luego de realizada la compra; en dicho momento, no se constató ningún daño en el faro delantero derecho; </w:t>
      </w:r>
      <w:r w:rsidRPr="4FAF2335" w:rsidR="00F239F4">
        <w:rPr>
          <w:b w:val="1"/>
          <w:bCs w:val="1"/>
          <w:i w:val="1"/>
          <w:iCs w:val="1"/>
          <w:sz w:val="23"/>
          <w:szCs w:val="23"/>
          <w:lang w:val="es-PE"/>
        </w:rPr>
        <w:t xml:space="preserve">b) </w:t>
      </w:r>
      <w:r w:rsidRPr="4FAF2335" w:rsidR="00F239F4">
        <w:rPr>
          <w:sz w:val="23"/>
          <w:szCs w:val="23"/>
          <w:lang w:val="es-PE"/>
        </w:rPr>
        <w:t xml:space="preserve">que, el jueves 3 de octubre de 2023, con ocasión de un cambio de aros y llantas en el vehículo asegurado, </w:t>
      </w:r>
      <w:r w:rsidRPr="4FAF2335" w:rsidR="7A9E833C">
        <w:rPr>
          <w:sz w:val="23"/>
          <w:szCs w:val="23"/>
          <w:lang w:val="es-PE"/>
        </w:rPr>
        <w:t>................</w:t>
      </w:r>
      <w:r w:rsidRPr="4FAF2335" w:rsidR="00F239F4">
        <w:rPr>
          <w:sz w:val="23"/>
          <w:szCs w:val="23"/>
          <w:lang w:val="es-PE"/>
        </w:rPr>
        <w:t xml:space="preserve"> realizó una segunda inspección del vehículo; nuevamente, no se reportó ningún daño en el faro delantero derecho; </w:t>
      </w:r>
      <w:r w:rsidRPr="4FAF2335" w:rsidR="00F239F4">
        <w:rPr>
          <w:b w:val="1"/>
          <w:bCs w:val="1"/>
          <w:i w:val="1"/>
          <w:iCs w:val="1"/>
          <w:sz w:val="23"/>
          <w:szCs w:val="23"/>
          <w:lang w:val="es-PE"/>
        </w:rPr>
        <w:t>c)</w:t>
      </w:r>
      <w:r w:rsidRPr="4FAF2335" w:rsidR="00F239F4">
        <w:rPr>
          <w:sz w:val="23"/>
          <w:szCs w:val="23"/>
          <w:lang w:val="es-PE"/>
        </w:rPr>
        <w:t xml:space="preserve"> que, el 15 de octubre de 2024, fecha del siniestro, el vehículo fue trasladado mediante una grúa al concesionario; </w:t>
      </w:r>
      <w:r w:rsidRPr="4FAF2335" w:rsidR="00F239F4">
        <w:rPr>
          <w:b w:val="1"/>
          <w:bCs w:val="1"/>
          <w:i w:val="1"/>
          <w:iCs w:val="1"/>
          <w:sz w:val="23"/>
          <w:szCs w:val="23"/>
          <w:lang w:val="es-PE"/>
        </w:rPr>
        <w:t>d)</w:t>
      </w:r>
      <w:r w:rsidRPr="4FAF2335" w:rsidR="00F239F4">
        <w:rPr>
          <w:sz w:val="23"/>
          <w:szCs w:val="23"/>
          <w:lang w:val="es-PE"/>
        </w:rPr>
        <w:t xml:space="preserve"> que, estando el vehículo en el taller, se realizó un inventario de los daños, advirtiéndose el daño al faro delantero derecho; </w:t>
      </w:r>
      <w:r w:rsidRPr="4FAF2335" w:rsidR="00F239F4">
        <w:rPr>
          <w:b w:val="1"/>
          <w:bCs w:val="1"/>
          <w:i w:val="1"/>
          <w:iCs w:val="1"/>
          <w:sz w:val="23"/>
          <w:szCs w:val="23"/>
          <w:lang w:val="es-PE"/>
        </w:rPr>
        <w:t xml:space="preserve">e) </w:t>
      </w:r>
      <w:r w:rsidRPr="4FAF2335" w:rsidR="00F239F4">
        <w:rPr>
          <w:sz w:val="23"/>
          <w:szCs w:val="23"/>
          <w:lang w:val="es-PE"/>
        </w:rPr>
        <w:t xml:space="preserve">que, dentro de la resolución del siniestro, </w:t>
      </w:r>
      <w:r w:rsidRPr="4FAF2335" w:rsidR="7A9E833C">
        <w:rPr>
          <w:sz w:val="23"/>
          <w:szCs w:val="23"/>
          <w:lang w:val="es-PE"/>
        </w:rPr>
        <w:t>................</w:t>
      </w:r>
      <w:r w:rsidRPr="4FAF2335" w:rsidR="00F239F4">
        <w:rPr>
          <w:sz w:val="23"/>
          <w:szCs w:val="23"/>
          <w:lang w:val="es-PE"/>
        </w:rPr>
        <w:t xml:space="preserve"> se llevó el faro delantero derecho para repararlo, lo cual implicaba una aceptación de que éste había sido afectado por el siniestro, y, por lo tanto, materia de cobertura de acuerdo con la Póliza; y, </w:t>
      </w:r>
      <w:r w:rsidRPr="4FAF2335" w:rsidR="00F239F4">
        <w:rPr>
          <w:b w:val="1"/>
          <w:bCs w:val="1"/>
          <w:i w:val="1"/>
          <w:iCs w:val="1"/>
          <w:sz w:val="23"/>
          <w:szCs w:val="23"/>
          <w:lang w:val="es-PE"/>
        </w:rPr>
        <w:t>f)</w:t>
      </w:r>
      <w:r w:rsidRPr="4FAF2335" w:rsidR="00F239F4">
        <w:rPr>
          <w:sz w:val="23"/>
          <w:szCs w:val="23"/>
          <w:lang w:val="es-PE"/>
        </w:rPr>
        <w:t xml:space="preserve"> que, con posterioridad, </w:t>
      </w:r>
      <w:r w:rsidRPr="4FAF2335" w:rsidR="7A9E833C">
        <w:rPr>
          <w:sz w:val="23"/>
          <w:szCs w:val="23"/>
          <w:lang w:val="es-PE"/>
        </w:rPr>
        <w:t>................</w:t>
      </w:r>
      <w:r w:rsidRPr="4FAF2335" w:rsidR="00F239F4">
        <w:rPr>
          <w:sz w:val="23"/>
          <w:szCs w:val="23"/>
          <w:lang w:val="es-PE"/>
        </w:rPr>
        <w:t>, al momento de hacer el ajuste del siniestro, argumentó que el daño del faro delantero derecho constituía un «</w:t>
      </w:r>
      <w:r w:rsidRPr="4FAF2335" w:rsidR="00F239F4">
        <w:rPr>
          <w:i w:val="1"/>
          <w:iCs w:val="1"/>
          <w:sz w:val="23"/>
          <w:szCs w:val="23"/>
          <w:lang w:val="es-PE"/>
        </w:rPr>
        <w:t>daño oculto preexistente»</w:t>
      </w:r>
      <w:r w:rsidRPr="4FAF2335" w:rsidR="00F239F4">
        <w:rPr>
          <w:sz w:val="23"/>
          <w:szCs w:val="23"/>
          <w:lang w:val="es-PE"/>
        </w:rPr>
        <w:t>, desconociendo que el vehículo ha pasado por dos inspecciones exhaustivas por parte de ellos mismos, siendo la más reciente a menos de dos semanas del siniestro.</w:t>
      </w:r>
    </w:p>
    <w:p w:rsidRPr="00F239F4" w:rsidR="00F239F4" w:rsidP="00F239F4" w:rsidRDefault="00F239F4" w14:paraId="5237633C" w14:textId="77777777">
      <w:pPr>
        <w:jc w:val="both"/>
        <w:outlineLvl w:val="0"/>
        <w:rPr>
          <w:sz w:val="23"/>
          <w:szCs w:val="23"/>
          <w:lang w:val="es-PE"/>
        </w:rPr>
      </w:pPr>
    </w:p>
    <w:p w:rsidR="00F239F4" w:rsidP="00F239F4" w:rsidRDefault="00F239F4" w14:paraId="64F44096" w14:textId="4F5C6338">
      <w:pPr>
        <w:jc w:val="both"/>
        <w:outlineLvl w:val="0"/>
        <w:rPr>
          <w:sz w:val="23"/>
          <w:szCs w:val="23"/>
          <w:lang w:val="es-PE"/>
        </w:rPr>
      </w:pPr>
      <w:r w:rsidRPr="4FAF2335" w:rsidR="00F239F4">
        <w:rPr>
          <w:sz w:val="23"/>
          <w:szCs w:val="23"/>
          <w:lang w:val="es-PE"/>
        </w:rPr>
        <w:t xml:space="preserve">Que, con su reclamación, el señor </w:t>
      </w:r>
      <w:r w:rsidRPr="4FAF2335" w:rsidR="3CB3EFB6">
        <w:rPr>
          <w:sz w:val="23"/>
          <w:szCs w:val="23"/>
          <w:lang w:val="es-PE"/>
        </w:rPr>
        <w:t>..................................................</w:t>
      </w:r>
      <w:r w:rsidRPr="4FAF2335" w:rsidR="00F239F4">
        <w:rPr>
          <w:sz w:val="23"/>
          <w:szCs w:val="23"/>
          <w:lang w:val="es-PE"/>
        </w:rPr>
        <w:t xml:space="preserve"> presentó los siguientes documentos: </w:t>
      </w:r>
      <w:r w:rsidRPr="4FAF2335" w:rsidR="00F239F4">
        <w:rPr>
          <w:b w:val="1"/>
          <w:bCs w:val="1"/>
          <w:i w:val="1"/>
          <w:iCs w:val="1"/>
          <w:sz w:val="23"/>
          <w:szCs w:val="23"/>
          <w:lang w:val="es-PE"/>
        </w:rPr>
        <w:t xml:space="preserve">(i) </w:t>
      </w:r>
      <w:r w:rsidRPr="4FAF2335" w:rsidR="00F239F4">
        <w:rPr>
          <w:sz w:val="23"/>
          <w:szCs w:val="23"/>
          <w:lang w:val="es-PE"/>
        </w:rPr>
        <w:t xml:space="preserve">copia del documento nacional de identidad del reclamante; </w:t>
      </w:r>
      <w:r w:rsidRPr="4FAF2335" w:rsidR="00F239F4">
        <w:rPr>
          <w:b w:val="1"/>
          <w:bCs w:val="1"/>
          <w:i w:val="1"/>
          <w:iCs w:val="1"/>
          <w:sz w:val="23"/>
          <w:szCs w:val="23"/>
          <w:lang w:val="es-PE"/>
        </w:rPr>
        <w:t>(</w:t>
      </w:r>
      <w:r w:rsidRPr="4FAF2335" w:rsidR="00F239F4">
        <w:rPr>
          <w:b w:val="1"/>
          <w:bCs w:val="1"/>
          <w:i w:val="1"/>
          <w:iCs w:val="1"/>
          <w:sz w:val="23"/>
          <w:szCs w:val="23"/>
          <w:lang w:val="es-PE"/>
        </w:rPr>
        <w:t>ii</w:t>
      </w:r>
      <w:r w:rsidRPr="4FAF2335" w:rsidR="00F239F4">
        <w:rPr>
          <w:b w:val="1"/>
          <w:bCs w:val="1"/>
          <w:i w:val="1"/>
          <w:iCs w:val="1"/>
          <w:sz w:val="23"/>
          <w:szCs w:val="23"/>
          <w:lang w:val="es-PE"/>
        </w:rPr>
        <w:t>)</w:t>
      </w:r>
      <w:r w:rsidRPr="4FAF2335" w:rsidR="00F239F4">
        <w:rPr>
          <w:sz w:val="23"/>
          <w:szCs w:val="23"/>
          <w:lang w:val="es-PE"/>
        </w:rPr>
        <w:t xml:space="preserve"> copia de la póliza vehicular </w:t>
      </w:r>
      <w:r w:rsidRPr="4FAF2335" w:rsidR="00F239F4">
        <w:rPr>
          <w:sz w:val="23"/>
          <w:szCs w:val="23"/>
          <w:lang w:val="es-PE"/>
        </w:rPr>
        <w:t>n.°</w:t>
      </w:r>
      <w:r w:rsidRPr="4FAF2335" w:rsidR="00F239F4">
        <w:rPr>
          <w:sz w:val="23"/>
          <w:szCs w:val="23"/>
          <w:lang w:val="es-PE"/>
        </w:rPr>
        <w:t xml:space="preserve"> </w:t>
      </w:r>
      <w:r w:rsidRPr="4FAF2335" w:rsidR="707060F7">
        <w:rPr>
          <w:sz w:val="23"/>
          <w:szCs w:val="23"/>
          <w:lang w:val="es-PE"/>
        </w:rPr>
        <w:t>..................................</w:t>
      </w:r>
      <w:r w:rsidRPr="4FAF2335" w:rsidR="00F239F4">
        <w:rPr>
          <w:sz w:val="23"/>
          <w:szCs w:val="23"/>
          <w:lang w:val="es-PE"/>
        </w:rPr>
        <w:t xml:space="preserve">; </w:t>
      </w:r>
      <w:r w:rsidRPr="4FAF2335" w:rsidR="00F239F4">
        <w:rPr>
          <w:b w:val="1"/>
          <w:bCs w:val="1"/>
          <w:i w:val="1"/>
          <w:iCs w:val="1"/>
          <w:sz w:val="23"/>
          <w:szCs w:val="23"/>
          <w:lang w:val="es-PE"/>
        </w:rPr>
        <w:t>(</w:t>
      </w:r>
      <w:r w:rsidRPr="4FAF2335" w:rsidR="00F239F4">
        <w:rPr>
          <w:b w:val="1"/>
          <w:bCs w:val="1"/>
          <w:i w:val="1"/>
          <w:iCs w:val="1"/>
          <w:sz w:val="23"/>
          <w:szCs w:val="23"/>
          <w:lang w:val="es-PE"/>
        </w:rPr>
        <w:t>iii</w:t>
      </w:r>
      <w:r w:rsidRPr="4FAF2335" w:rsidR="00F239F4">
        <w:rPr>
          <w:b w:val="1"/>
          <w:bCs w:val="1"/>
          <w:i w:val="1"/>
          <w:iCs w:val="1"/>
          <w:sz w:val="23"/>
          <w:szCs w:val="23"/>
          <w:lang w:val="es-PE"/>
        </w:rPr>
        <w:t>)</w:t>
      </w:r>
      <w:r w:rsidRPr="4FAF2335" w:rsidR="00F239F4">
        <w:rPr>
          <w:sz w:val="23"/>
          <w:szCs w:val="23"/>
          <w:lang w:val="es-PE"/>
        </w:rPr>
        <w:t xml:space="preserve"> copia del correo de </w:t>
      </w:r>
      <w:r w:rsidRPr="4FAF2335" w:rsidR="372BEFF0">
        <w:rPr>
          <w:sz w:val="23"/>
          <w:szCs w:val="23"/>
          <w:lang w:val="es-PE"/>
        </w:rPr>
        <w:t>.............</w:t>
      </w:r>
      <w:r w:rsidRPr="4FAF2335" w:rsidR="00F239F4">
        <w:rPr>
          <w:sz w:val="23"/>
          <w:szCs w:val="23"/>
          <w:lang w:val="es-PE"/>
        </w:rPr>
        <w:t xml:space="preserve"> de fecha 11 de noviembre del 26 de noviembre de 2024, a través del cual señala que no procede el reemplazo del faro delantero del vehículo asegurado; y, </w:t>
      </w:r>
      <w:r w:rsidRPr="4FAF2335" w:rsidR="00F239F4">
        <w:rPr>
          <w:b w:val="1"/>
          <w:bCs w:val="1"/>
          <w:i w:val="1"/>
          <w:iCs w:val="1"/>
          <w:sz w:val="23"/>
          <w:szCs w:val="23"/>
          <w:lang w:val="es-PE"/>
        </w:rPr>
        <w:t>(</w:t>
      </w:r>
      <w:r w:rsidRPr="4FAF2335" w:rsidR="00F239F4">
        <w:rPr>
          <w:b w:val="1"/>
          <w:bCs w:val="1"/>
          <w:i w:val="1"/>
          <w:iCs w:val="1"/>
          <w:sz w:val="23"/>
          <w:szCs w:val="23"/>
          <w:lang w:val="es-PE"/>
        </w:rPr>
        <w:t>iv</w:t>
      </w:r>
      <w:r w:rsidRPr="4FAF2335" w:rsidR="00F239F4">
        <w:rPr>
          <w:b w:val="1"/>
          <w:bCs w:val="1"/>
          <w:i w:val="1"/>
          <w:iCs w:val="1"/>
          <w:sz w:val="23"/>
          <w:szCs w:val="23"/>
          <w:lang w:val="es-PE"/>
        </w:rPr>
        <w:t>)</w:t>
      </w:r>
      <w:r w:rsidRPr="4FAF2335" w:rsidR="00F239F4">
        <w:rPr>
          <w:sz w:val="23"/>
          <w:szCs w:val="23"/>
          <w:lang w:val="es-PE"/>
        </w:rPr>
        <w:t xml:space="preserve"> fotografía de los daños en el faro delantero del vehículo asegurado.</w:t>
      </w:r>
    </w:p>
    <w:p w:rsidRPr="00F239F4" w:rsidR="00F239F4" w:rsidP="00F239F4" w:rsidRDefault="00F239F4" w14:paraId="7EE85101" w14:textId="77777777">
      <w:pPr>
        <w:jc w:val="both"/>
        <w:outlineLvl w:val="0"/>
        <w:rPr>
          <w:sz w:val="23"/>
          <w:szCs w:val="23"/>
          <w:lang w:val="es-PE"/>
        </w:rPr>
      </w:pPr>
    </w:p>
    <w:p w:rsidR="00F239F4" w:rsidP="00F239F4" w:rsidRDefault="00F239F4" w14:paraId="095EB886" w14:textId="6E527003">
      <w:pPr>
        <w:jc w:val="both"/>
        <w:outlineLvl w:val="0"/>
        <w:rPr>
          <w:sz w:val="23"/>
          <w:szCs w:val="23"/>
          <w:lang w:val="es-PE"/>
        </w:rPr>
      </w:pPr>
      <w:r w:rsidRPr="4FAF2335" w:rsidR="00F239F4">
        <w:rPr>
          <w:sz w:val="23"/>
          <w:szCs w:val="23"/>
          <w:lang w:val="es-PE"/>
        </w:rPr>
        <w:t xml:space="preserve">Que, </w:t>
      </w:r>
      <w:r w:rsidRPr="4FAF2335" w:rsidR="7A9E833C">
        <w:rPr>
          <w:sz w:val="23"/>
          <w:szCs w:val="23"/>
          <w:lang w:val="es-PE"/>
        </w:rPr>
        <w:t>................</w:t>
      </w:r>
      <w:r w:rsidRPr="4FAF2335" w:rsidR="00F239F4">
        <w:rPr>
          <w:sz w:val="23"/>
          <w:szCs w:val="23"/>
          <w:lang w:val="es-PE"/>
        </w:rPr>
        <w:t xml:space="preserve"> presentó su descargo el día 17 de marzo de 2025, solicitando que el reclamo del señor </w:t>
      </w:r>
      <w:r w:rsidRPr="4FAF2335" w:rsidR="3CB3EFB6">
        <w:rPr>
          <w:sz w:val="23"/>
          <w:szCs w:val="23"/>
          <w:lang w:val="es-PE"/>
        </w:rPr>
        <w:t>..................................................</w:t>
      </w:r>
      <w:r w:rsidRPr="4FAF2335" w:rsidR="00F239F4">
        <w:rPr>
          <w:sz w:val="23"/>
          <w:szCs w:val="23"/>
          <w:lang w:val="es-PE"/>
        </w:rPr>
        <w:t xml:space="preserve"> sea declarado infundado en todos sus extremos sobre la base de los siguientes argumentos: </w:t>
      </w:r>
      <w:r w:rsidRPr="4FAF2335" w:rsidR="00F239F4">
        <w:rPr>
          <w:b w:val="1"/>
          <w:bCs w:val="1"/>
          <w:i w:val="1"/>
          <w:iCs w:val="1"/>
          <w:sz w:val="23"/>
          <w:szCs w:val="23"/>
          <w:lang w:val="es-PE"/>
        </w:rPr>
        <w:t>a)</w:t>
      </w:r>
      <w:r w:rsidRPr="4FAF2335" w:rsidR="00F239F4">
        <w:rPr>
          <w:sz w:val="23"/>
          <w:szCs w:val="23"/>
          <w:lang w:val="es-PE"/>
        </w:rPr>
        <w:t xml:space="preserve"> que, después del siniestro ocurrido el 15 de octubre de 2024, la unidad vehicular fue trasladada al taller del concesionario, donde se realizó el inventario inicial de daños; en ese momento, el asegurado alegó haber señalado los daños del faro delantero derecho dentro del listado de desperfectos destacados y pendientes de revisión; </w:t>
      </w:r>
      <w:r w:rsidRPr="4FAF2335" w:rsidR="00F239F4">
        <w:rPr>
          <w:b w:val="1"/>
          <w:bCs w:val="1"/>
          <w:i w:val="1"/>
          <w:iCs w:val="1"/>
          <w:sz w:val="23"/>
          <w:szCs w:val="23"/>
          <w:lang w:val="es-PE"/>
        </w:rPr>
        <w:t>b)</w:t>
      </w:r>
      <w:r w:rsidRPr="4FAF2335" w:rsidR="00F239F4">
        <w:rPr>
          <w:sz w:val="23"/>
          <w:szCs w:val="23"/>
          <w:lang w:val="es-PE"/>
        </w:rPr>
        <w:t xml:space="preserve"> que, los daños del faro delantero derecho corresponden a un daño oculto preexistente que no guarda relación directa con el siniestro reportado, ello en razón del análisis del evento, donde se determinó que el desprendimiento del parachoques no pudo generar este tipo de afectaciones en el faro; </w:t>
      </w:r>
      <w:r w:rsidRPr="4FAF2335" w:rsidR="00F239F4">
        <w:rPr>
          <w:b w:val="1"/>
          <w:bCs w:val="1"/>
          <w:i w:val="1"/>
          <w:iCs w:val="1"/>
          <w:sz w:val="23"/>
          <w:szCs w:val="23"/>
          <w:lang w:val="es-PE"/>
        </w:rPr>
        <w:t>c)</w:t>
      </w:r>
      <w:r w:rsidRPr="4FAF2335" w:rsidR="00F239F4">
        <w:rPr>
          <w:sz w:val="23"/>
          <w:szCs w:val="23"/>
          <w:lang w:val="es-PE"/>
        </w:rPr>
        <w:t xml:space="preserve"> que, el siniestro ocurrió cuando la funda delantera del vehículo quedó enganchada en un muro de estacionamiento; </w:t>
      </w:r>
      <w:r w:rsidRPr="4FAF2335" w:rsidR="00F239F4">
        <w:rPr>
          <w:b w:val="1"/>
          <w:bCs w:val="1"/>
          <w:i w:val="1"/>
          <w:iCs w:val="1"/>
          <w:sz w:val="23"/>
          <w:szCs w:val="23"/>
          <w:lang w:val="es-PE"/>
        </w:rPr>
        <w:t>d)</w:t>
      </w:r>
      <w:r w:rsidRPr="4FAF2335" w:rsidR="00F239F4">
        <w:rPr>
          <w:sz w:val="23"/>
          <w:szCs w:val="23"/>
          <w:lang w:val="es-PE"/>
        </w:rPr>
        <w:t xml:space="preserve"> que, las imágenes tomadas por el taller evidencian daños en la parte baja de la unidad con signos de arrastre, lo que pudo haber causado un </w:t>
      </w:r>
      <w:r w:rsidRPr="4FAF2335" w:rsidR="00F239F4">
        <w:rPr>
          <w:sz w:val="23"/>
          <w:szCs w:val="23"/>
          <w:lang w:val="es-PE"/>
        </w:rPr>
        <w:t xml:space="preserve">desprendimiento de la funda delantera; sin embargo, no se observa un impacto directo en el faro delantero derecho que justifique su reemplazo; </w:t>
      </w:r>
      <w:r w:rsidRPr="4FAF2335" w:rsidR="00F239F4">
        <w:rPr>
          <w:b w:val="1"/>
          <w:bCs w:val="1"/>
          <w:i w:val="1"/>
          <w:iCs w:val="1"/>
          <w:sz w:val="23"/>
          <w:szCs w:val="23"/>
          <w:lang w:val="es-PE"/>
        </w:rPr>
        <w:t>e)</w:t>
      </w:r>
      <w:r w:rsidRPr="4FAF2335" w:rsidR="00F239F4">
        <w:rPr>
          <w:sz w:val="23"/>
          <w:szCs w:val="23"/>
          <w:lang w:val="es-PE"/>
        </w:rPr>
        <w:t xml:space="preserve"> que, de la inspección realizada se constató que el faro delantero derecho únicamente presenta un ligero raspón en los bordes, daño que pudo haber sido ocasionado por el desprendimiento de la funda; </w:t>
      </w:r>
      <w:r w:rsidRPr="4FAF2335" w:rsidR="00F239F4">
        <w:rPr>
          <w:b w:val="1"/>
          <w:bCs w:val="1"/>
          <w:i w:val="1"/>
          <w:iCs w:val="1"/>
          <w:sz w:val="23"/>
          <w:szCs w:val="23"/>
          <w:lang w:val="es-PE"/>
        </w:rPr>
        <w:t>f)</w:t>
      </w:r>
      <w:r w:rsidRPr="4FAF2335" w:rsidR="00F239F4">
        <w:rPr>
          <w:sz w:val="23"/>
          <w:szCs w:val="23"/>
          <w:lang w:val="es-PE"/>
        </w:rPr>
        <w:t xml:space="preserve"> que, </w:t>
      </w:r>
      <w:r w:rsidRPr="4FAF2335" w:rsidR="7A9E833C">
        <w:rPr>
          <w:sz w:val="23"/>
          <w:szCs w:val="23"/>
          <w:lang w:val="es-PE"/>
        </w:rPr>
        <w:t>................</w:t>
      </w:r>
      <w:r w:rsidRPr="4FAF2335" w:rsidR="00F239F4">
        <w:rPr>
          <w:sz w:val="23"/>
          <w:szCs w:val="23"/>
          <w:lang w:val="es-PE"/>
        </w:rPr>
        <w:t xml:space="preserve"> consideró la reparación del faro delantero derecho, mas no su reemplazo, ya que el daño existente no es atribuible al siniestro reportado; y, </w:t>
      </w:r>
      <w:r w:rsidRPr="4FAF2335" w:rsidR="00F239F4">
        <w:rPr>
          <w:b w:val="1"/>
          <w:bCs w:val="1"/>
          <w:i w:val="1"/>
          <w:iCs w:val="1"/>
          <w:sz w:val="23"/>
          <w:szCs w:val="23"/>
          <w:lang w:val="es-PE"/>
        </w:rPr>
        <w:t>g)</w:t>
      </w:r>
      <w:r w:rsidRPr="4FAF2335" w:rsidR="00F239F4">
        <w:rPr>
          <w:sz w:val="23"/>
          <w:szCs w:val="23"/>
          <w:lang w:val="es-PE"/>
        </w:rPr>
        <w:t xml:space="preserve"> que, no cabe que la empresa aseguradora brinde una cobertura en los términos señalados por el reclamante, si de los hechos descritos y medios probatorios existentes se desprende que no se cumple con la condición establecida en la Póliza para cubrir este tipo de siniestro.</w:t>
      </w:r>
    </w:p>
    <w:p w:rsidRPr="00F239F4" w:rsidR="00DA2BF5" w:rsidP="00F239F4" w:rsidRDefault="00DA2BF5" w14:paraId="5E59A331" w14:textId="77777777">
      <w:pPr>
        <w:jc w:val="both"/>
        <w:outlineLvl w:val="0"/>
        <w:rPr>
          <w:sz w:val="23"/>
          <w:szCs w:val="23"/>
          <w:lang w:val="es-PE"/>
        </w:rPr>
      </w:pPr>
    </w:p>
    <w:p w:rsidR="00F239F4" w:rsidP="00F239F4" w:rsidRDefault="00F239F4" w14:paraId="11D9B417" w14:textId="3D070CA4">
      <w:pPr>
        <w:jc w:val="both"/>
        <w:outlineLvl w:val="0"/>
        <w:rPr>
          <w:sz w:val="23"/>
          <w:szCs w:val="23"/>
          <w:lang w:val="es-PE"/>
        </w:rPr>
      </w:pPr>
      <w:r w:rsidRPr="4FAF2335" w:rsidR="00F239F4">
        <w:rPr>
          <w:sz w:val="23"/>
          <w:szCs w:val="23"/>
          <w:lang w:val="es-PE"/>
        </w:rPr>
        <w:t xml:space="preserve">Que, con su escrito de absolución de reclamo, </w:t>
      </w:r>
      <w:r w:rsidRPr="4FAF2335" w:rsidR="7A9E833C">
        <w:rPr>
          <w:sz w:val="23"/>
          <w:szCs w:val="23"/>
          <w:lang w:val="es-PE"/>
        </w:rPr>
        <w:t>................</w:t>
      </w:r>
      <w:r w:rsidRPr="4FAF2335" w:rsidR="00F239F4">
        <w:rPr>
          <w:sz w:val="23"/>
          <w:szCs w:val="23"/>
          <w:lang w:val="es-PE"/>
        </w:rPr>
        <w:t xml:space="preserve"> presentó los siguientes documentos: </w:t>
      </w:r>
      <w:r w:rsidRPr="4FAF2335" w:rsidR="00F239F4">
        <w:rPr>
          <w:b w:val="1"/>
          <w:bCs w:val="1"/>
          <w:i w:val="1"/>
          <w:iCs w:val="1"/>
          <w:sz w:val="23"/>
          <w:szCs w:val="23"/>
          <w:lang w:val="es-PE"/>
        </w:rPr>
        <w:t>(i)</w:t>
      </w:r>
      <w:r w:rsidRPr="4FAF2335" w:rsidR="00F239F4">
        <w:rPr>
          <w:sz w:val="23"/>
          <w:szCs w:val="23"/>
          <w:lang w:val="es-PE"/>
        </w:rPr>
        <w:t xml:space="preserve"> copia de la ficha de inspección </w:t>
      </w:r>
      <w:r w:rsidRPr="4FAF2335" w:rsidR="00F239F4">
        <w:rPr>
          <w:sz w:val="23"/>
          <w:szCs w:val="23"/>
          <w:lang w:val="es-PE"/>
        </w:rPr>
        <w:t>n.°</w:t>
      </w:r>
      <w:r w:rsidRPr="4FAF2335" w:rsidR="00F239F4">
        <w:rPr>
          <w:sz w:val="23"/>
          <w:szCs w:val="23"/>
          <w:lang w:val="es-PE"/>
        </w:rPr>
        <w:t xml:space="preserve"> </w:t>
      </w:r>
      <w:r w:rsidRPr="4FAF2335" w:rsidR="69A1E491">
        <w:rPr>
          <w:sz w:val="23"/>
          <w:szCs w:val="23"/>
          <w:lang w:val="es-PE"/>
        </w:rPr>
        <w:t>.............</w:t>
      </w:r>
      <w:r w:rsidRPr="4FAF2335" w:rsidR="00F239F4">
        <w:rPr>
          <w:sz w:val="23"/>
          <w:szCs w:val="23"/>
          <w:lang w:val="es-PE"/>
        </w:rPr>
        <w:t xml:space="preserve"> realizada al vehículo asegurado por LSA </w:t>
      </w:r>
      <w:r w:rsidRPr="4FAF2335" w:rsidR="00F239F4">
        <w:rPr>
          <w:sz w:val="23"/>
          <w:szCs w:val="23"/>
          <w:lang w:val="es-PE"/>
        </w:rPr>
        <w:t>Group</w:t>
      </w:r>
      <w:r w:rsidRPr="4FAF2335" w:rsidR="00F239F4">
        <w:rPr>
          <w:sz w:val="23"/>
          <w:szCs w:val="23"/>
          <w:lang w:val="es-PE"/>
        </w:rPr>
        <w:t>, donde se indica como características de los dos faros delanteros lo siguiente: «</w:t>
      </w:r>
      <w:r w:rsidRPr="4FAF2335" w:rsidR="00F239F4">
        <w:rPr>
          <w:i w:val="1"/>
          <w:iCs w:val="1"/>
          <w:sz w:val="23"/>
          <w:szCs w:val="23"/>
          <w:lang w:val="es-PE"/>
        </w:rPr>
        <w:t>todos buenos</w:t>
      </w:r>
      <w:r w:rsidRPr="4FAF2335" w:rsidR="00F239F4">
        <w:rPr>
          <w:sz w:val="23"/>
          <w:szCs w:val="23"/>
          <w:lang w:val="es-PE"/>
        </w:rPr>
        <w:t xml:space="preserve">»; y, </w:t>
      </w:r>
      <w:r w:rsidRPr="4FAF2335" w:rsidR="00F239F4">
        <w:rPr>
          <w:b w:val="1"/>
          <w:bCs w:val="1"/>
          <w:i w:val="1"/>
          <w:iCs w:val="1"/>
          <w:sz w:val="23"/>
          <w:szCs w:val="23"/>
          <w:lang w:val="es-PE"/>
        </w:rPr>
        <w:t>(</w:t>
      </w:r>
      <w:r w:rsidRPr="4FAF2335" w:rsidR="00F239F4">
        <w:rPr>
          <w:b w:val="1"/>
          <w:bCs w:val="1"/>
          <w:i w:val="1"/>
          <w:iCs w:val="1"/>
          <w:sz w:val="23"/>
          <w:szCs w:val="23"/>
          <w:lang w:val="es-PE"/>
        </w:rPr>
        <w:t>ii</w:t>
      </w:r>
      <w:r w:rsidRPr="4FAF2335" w:rsidR="00F239F4">
        <w:rPr>
          <w:b w:val="1"/>
          <w:bCs w:val="1"/>
          <w:i w:val="1"/>
          <w:iCs w:val="1"/>
          <w:sz w:val="23"/>
          <w:szCs w:val="23"/>
          <w:lang w:val="es-PE"/>
        </w:rPr>
        <w:t>)</w:t>
      </w:r>
      <w:r w:rsidRPr="4FAF2335" w:rsidR="00F239F4">
        <w:rPr>
          <w:sz w:val="23"/>
          <w:szCs w:val="23"/>
          <w:lang w:val="es-PE"/>
        </w:rPr>
        <w:t xml:space="preserve"> Póliza vehicular </w:t>
      </w:r>
      <w:r w:rsidRPr="4FAF2335" w:rsidR="00F239F4">
        <w:rPr>
          <w:sz w:val="23"/>
          <w:szCs w:val="23"/>
          <w:lang w:val="es-PE"/>
        </w:rPr>
        <w:t>n.°</w:t>
      </w:r>
      <w:r w:rsidRPr="4FAF2335" w:rsidR="00F239F4">
        <w:rPr>
          <w:sz w:val="23"/>
          <w:szCs w:val="23"/>
          <w:lang w:val="es-PE"/>
        </w:rPr>
        <w:t xml:space="preserve"> </w:t>
      </w:r>
      <w:r w:rsidRPr="4FAF2335" w:rsidR="707060F7">
        <w:rPr>
          <w:sz w:val="23"/>
          <w:szCs w:val="23"/>
          <w:lang w:val="es-PE"/>
        </w:rPr>
        <w:t>..................................</w:t>
      </w:r>
      <w:r w:rsidRPr="4FAF2335" w:rsidR="00F239F4">
        <w:rPr>
          <w:sz w:val="23"/>
          <w:szCs w:val="23"/>
          <w:lang w:val="es-PE"/>
        </w:rPr>
        <w:t xml:space="preserve">. </w:t>
      </w:r>
    </w:p>
    <w:p w:rsidRPr="00F239F4" w:rsidR="00DA2BF5" w:rsidP="00F239F4" w:rsidRDefault="00DA2BF5" w14:paraId="52088FC3" w14:textId="77777777">
      <w:pPr>
        <w:jc w:val="both"/>
        <w:outlineLvl w:val="0"/>
        <w:rPr>
          <w:sz w:val="23"/>
          <w:szCs w:val="23"/>
          <w:lang w:val="es-PE"/>
        </w:rPr>
      </w:pPr>
    </w:p>
    <w:p w:rsidR="00F239F4" w:rsidP="00F239F4" w:rsidRDefault="00F239F4" w14:paraId="67DE8DCD" w14:textId="77777777">
      <w:pPr>
        <w:jc w:val="both"/>
        <w:outlineLvl w:val="0"/>
        <w:rPr>
          <w:sz w:val="23"/>
          <w:szCs w:val="23"/>
          <w:lang w:val="es-PE"/>
        </w:rPr>
      </w:pPr>
      <w:r w:rsidRPr="00F239F4">
        <w:rPr>
          <w:sz w:val="23"/>
          <w:szCs w:val="23"/>
          <w:lang w:val="es-PE"/>
        </w:rPr>
        <w:t xml:space="preserve">Que, el 5 de mayo de 2025 se realizó mediante </w:t>
      </w:r>
      <w:bookmarkStart w:name="_Hlk199292738" w:id="1"/>
      <w:r w:rsidRPr="00F239F4">
        <w:rPr>
          <w:sz w:val="23"/>
          <w:szCs w:val="23"/>
          <w:lang w:val="es-PE"/>
        </w:rPr>
        <w:t>videoconferencia</w:t>
      </w:r>
      <w:bookmarkEnd w:id="1"/>
      <w:r w:rsidRPr="00F239F4">
        <w:rPr>
          <w:sz w:val="23"/>
          <w:szCs w:val="23"/>
          <w:lang w:val="es-PE"/>
        </w:rPr>
        <w:t xml:space="preserve"> la audiencia de informe oral con la concurrencia de la representante de la empresa aseguradora, la cual tuvo la oportunidad de exponer sus argumentos y absolver las preguntas formuladas por los miembros de la Defensoría. Durante la audiencia de informe oral, el Colegiado otorgó a la empresa aseguradora un plazo de tres (3) días hábiles para que presente un escrito sustentando técnicamente su posición.</w:t>
      </w:r>
    </w:p>
    <w:p w:rsidRPr="00F239F4" w:rsidR="00DA2BF5" w:rsidP="00F239F4" w:rsidRDefault="00DA2BF5" w14:paraId="2640D509" w14:textId="77777777">
      <w:pPr>
        <w:jc w:val="both"/>
        <w:outlineLvl w:val="0"/>
        <w:rPr>
          <w:sz w:val="23"/>
          <w:szCs w:val="23"/>
          <w:lang w:val="es-PE"/>
        </w:rPr>
      </w:pPr>
    </w:p>
    <w:p w:rsidR="00F239F4" w:rsidP="00F239F4" w:rsidRDefault="00F239F4" w14:paraId="5FF2DB32" w14:textId="3D8658BD">
      <w:pPr>
        <w:jc w:val="both"/>
        <w:outlineLvl w:val="0"/>
        <w:rPr>
          <w:sz w:val="23"/>
          <w:szCs w:val="23"/>
          <w:lang w:val="es-PE"/>
        </w:rPr>
      </w:pPr>
      <w:r w:rsidRPr="4FAF2335" w:rsidR="00F239F4">
        <w:rPr>
          <w:sz w:val="23"/>
          <w:szCs w:val="23"/>
          <w:lang w:val="es-PE"/>
        </w:rPr>
        <w:t>Que, el 5 de mayo de 2025, el asegurado mediante correo electrónico, presentó un escrito a través del cual sustentó los siguientes argumentos adicionales:</w:t>
      </w:r>
      <w:r w:rsidRPr="4FAF2335" w:rsidR="00F239F4">
        <w:rPr>
          <w:b w:val="1"/>
          <w:bCs w:val="1"/>
          <w:i w:val="1"/>
          <w:iCs w:val="1"/>
          <w:sz w:val="23"/>
          <w:szCs w:val="23"/>
          <w:lang w:val="es-PE"/>
        </w:rPr>
        <w:t xml:space="preserve"> a)</w:t>
      </w:r>
      <w:r w:rsidRPr="4FAF2335" w:rsidR="00F239F4">
        <w:rPr>
          <w:sz w:val="23"/>
          <w:szCs w:val="23"/>
          <w:lang w:val="es-PE"/>
        </w:rPr>
        <w:t xml:space="preserve"> que, el 13 de enero de 2023, </w:t>
      </w:r>
      <w:r w:rsidRPr="4FAF2335" w:rsidR="7A9E833C">
        <w:rPr>
          <w:sz w:val="23"/>
          <w:szCs w:val="23"/>
          <w:lang w:val="es-PE"/>
        </w:rPr>
        <w:t>................</w:t>
      </w:r>
      <w:r w:rsidRPr="4FAF2335" w:rsidR="00F239F4">
        <w:rPr>
          <w:sz w:val="23"/>
          <w:szCs w:val="23"/>
          <w:lang w:val="es-PE"/>
        </w:rPr>
        <w:t xml:space="preserve"> realizó la inspección del vehículo asegurado al momento de recogerlo del concesionario luego de la compra; </w:t>
      </w:r>
      <w:r w:rsidRPr="4FAF2335" w:rsidR="00F239F4">
        <w:rPr>
          <w:b w:val="1"/>
          <w:bCs w:val="1"/>
          <w:i w:val="1"/>
          <w:iCs w:val="1"/>
          <w:sz w:val="23"/>
          <w:szCs w:val="23"/>
          <w:lang w:val="es-PE"/>
        </w:rPr>
        <w:t>b)</w:t>
      </w:r>
      <w:r w:rsidRPr="4FAF2335" w:rsidR="00F239F4">
        <w:rPr>
          <w:sz w:val="23"/>
          <w:szCs w:val="23"/>
          <w:lang w:val="es-PE"/>
        </w:rPr>
        <w:t xml:space="preserve"> que, en dicho momento no existía ningún daño en el faro delantero derecho; </w:t>
      </w:r>
      <w:r w:rsidRPr="4FAF2335" w:rsidR="00F239F4">
        <w:rPr>
          <w:b w:val="1"/>
          <w:bCs w:val="1"/>
          <w:i w:val="1"/>
          <w:iCs w:val="1"/>
          <w:sz w:val="23"/>
          <w:szCs w:val="23"/>
          <w:lang w:val="es-PE"/>
        </w:rPr>
        <w:t>c)</w:t>
      </w:r>
      <w:r w:rsidRPr="4FAF2335" w:rsidR="00F239F4">
        <w:rPr>
          <w:sz w:val="23"/>
          <w:szCs w:val="23"/>
          <w:lang w:val="es-PE"/>
        </w:rPr>
        <w:t xml:space="preserve"> que, </w:t>
      </w:r>
      <w:r w:rsidRPr="4FAF2335" w:rsidR="7A9E833C">
        <w:rPr>
          <w:sz w:val="23"/>
          <w:szCs w:val="23"/>
          <w:lang w:val="es-PE"/>
        </w:rPr>
        <w:t>................</w:t>
      </w:r>
      <w:r w:rsidRPr="4FAF2335" w:rsidR="00F239F4">
        <w:rPr>
          <w:sz w:val="23"/>
          <w:szCs w:val="23"/>
          <w:lang w:val="es-PE"/>
        </w:rPr>
        <w:t xml:space="preserve"> no ha presentado ni el informe de inspección, ni las fotografías del estado del vehículo asegurado tomadas en dicha ocasión;</w:t>
      </w:r>
      <w:r w:rsidRPr="4FAF2335" w:rsidR="00F239F4">
        <w:rPr>
          <w:b w:val="1"/>
          <w:bCs w:val="1"/>
          <w:i w:val="1"/>
          <w:iCs w:val="1"/>
          <w:sz w:val="23"/>
          <w:szCs w:val="23"/>
          <w:lang w:val="es-PE"/>
        </w:rPr>
        <w:t xml:space="preserve"> d)</w:t>
      </w:r>
      <w:r w:rsidRPr="4FAF2335" w:rsidR="00F239F4">
        <w:rPr>
          <w:sz w:val="23"/>
          <w:szCs w:val="23"/>
          <w:lang w:val="es-PE"/>
        </w:rPr>
        <w:t xml:space="preserve"> que, el jueves 3 de octubre, por un cambio de aros y llantas, representantes de </w:t>
      </w:r>
      <w:r w:rsidRPr="4FAF2335" w:rsidR="7A9E833C">
        <w:rPr>
          <w:sz w:val="23"/>
          <w:szCs w:val="23"/>
          <w:lang w:val="es-PE"/>
        </w:rPr>
        <w:t>................</w:t>
      </w:r>
      <w:r w:rsidRPr="4FAF2335" w:rsidR="00F239F4">
        <w:rPr>
          <w:sz w:val="23"/>
          <w:szCs w:val="23"/>
          <w:lang w:val="es-PE"/>
        </w:rPr>
        <w:t xml:space="preserve"> realizaron una segunda inspección del vehículo asegurado, y, nuevamente la documentaron con fotografías; </w:t>
      </w:r>
      <w:r w:rsidRPr="4FAF2335" w:rsidR="00F239F4">
        <w:rPr>
          <w:b w:val="1"/>
          <w:bCs w:val="1"/>
          <w:i w:val="1"/>
          <w:iCs w:val="1"/>
          <w:sz w:val="23"/>
          <w:szCs w:val="23"/>
          <w:lang w:val="es-PE"/>
        </w:rPr>
        <w:t>e)</w:t>
      </w:r>
      <w:r w:rsidRPr="4FAF2335" w:rsidR="00F239F4">
        <w:rPr>
          <w:sz w:val="23"/>
          <w:szCs w:val="23"/>
          <w:lang w:val="es-PE"/>
        </w:rPr>
        <w:t xml:space="preserve"> que, la posición de </w:t>
      </w:r>
      <w:r w:rsidRPr="4FAF2335" w:rsidR="7A9E833C">
        <w:rPr>
          <w:sz w:val="23"/>
          <w:szCs w:val="23"/>
          <w:lang w:val="es-PE"/>
        </w:rPr>
        <w:t>................</w:t>
      </w:r>
      <w:r w:rsidRPr="4FAF2335" w:rsidR="00F239F4">
        <w:rPr>
          <w:sz w:val="23"/>
          <w:szCs w:val="23"/>
          <w:lang w:val="es-PE"/>
        </w:rPr>
        <w:t xml:space="preserve"> se sustenta en el hecho que el daño del faro delantero derecho constituye uno «</w:t>
      </w:r>
      <w:r w:rsidRPr="4FAF2335" w:rsidR="00F239F4">
        <w:rPr>
          <w:i w:val="1"/>
          <w:iCs w:val="1"/>
          <w:sz w:val="23"/>
          <w:szCs w:val="23"/>
          <w:lang w:val="es-PE"/>
        </w:rPr>
        <w:t>oculto preexistente</w:t>
      </w:r>
      <w:r w:rsidRPr="4FAF2335" w:rsidR="00F239F4">
        <w:rPr>
          <w:sz w:val="23"/>
          <w:szCs w:val="23"/>
          <w:lang w:val="es-PE"/>
        </w:rPr>
        <w:t xml:space="preserve">», ya que no corresponde con el tipo de siniestro; desconociendo que el vehículo ha pasado por dos inspecciones por parte de la propia </w:t>
      </w:r>
      <w:r w:rsidRPr="4FAF2335" w:rsidR="7A9E833C">
        <w:rPr>
          <w:sz w:val="23"/>
          <w:szCs w:val="23"/>
          <w:lang w:val="es-PE"/>
        </w:rPr>
        <w:t>................</w:t>
      </w:r>
      <w:r w:rsidRPr="4FAF2335" w:rsidR="00F239F4">
        <w:rPr>
          <w:sz w:val="23"/>
          <w:szCs w:val="23"/>
          <w:lang w:val="es-PE"/>
        </w:rPr>
        <w:t xml:space="preserve">, siendo la más reciente a menos de dos semanas antes del siniestro; </w:t>
      </w:r>
      <w:r w:rsidRPr="4FAF2335" w:rsidR="00F239F4">
        <w:rPr>
          <w:b w:val="1"/>
          <w:bCs w:val="1"/>
          <w:i w:val="1"/>
          <w:iCs w:val="1"/>
          <w:sz w:val="23"/>
          <w:szCs w:val="23"/>
          <w:lang w:val="es-PE"/>
        </w:rPr>
        <w:t>f)</w:t>
      </w:r>
      <w:r w:rsidRPr="4FAF2335" w:rsidR="00F239F4">
        <w:rPr>
          <w:sz w:val="23"/>
          <w:szCs w:val="23"/>
          <w:lang w:val="es-PE"/>
        </w:rPr>
        <w:t xml:space="preserve"> que, </w:t>
      </w:r>
      <w:r w:rsidRPr="4FAF2335" w:rsidR="7A9E833C">
        <w:rPr>
          <w:sz w:val="23"/>
          <w:szCs w:val="23"/>
          <w:lang w:val="es-PE"/>
        </w:rPr>
        <w:t>................</w:t>
      </w:r>
      <w:r w:rsidRPr="4FAF2335" w:rsidR="00F239F4">
        <w:rPr>
          <w:sz w:val="23"/>
          <w:szCs w:val="23"/>
          <w:lang w:val="es-PE"/>
        </w:rPr>
        <w:t xml:space="preserve"> no ha tomado en cuenta, la explicación que hiciera el taller concesionario que señaló que al momento de arrancarse la funda, ésta podía haber sido la que golpeara al faro en la esquina, dañándolo; y, </w:t>
      </w:r>
      <w:r w:rsidRPr="4FAF2335" w:rsidR="00F239F4">
        <w:rPr>
          <w:b w:val="1"/>
          <w:bCs w:val="1"/>
          <w:i w:val="1"/>
          <w:iCs w:val="1"/>
          <w:sz w:val="23"/>
          <w:szCs w:val="23"/>
          <w:lang w:val="es-PE"/>
        </w:rPr>
        <w:t>g)</w:t>
      </w:r>
      <w:r w:rsidRPr="4FAF2335" w:rsidR="00F239F4">
        <w:rPr>
          <w:sz w:val="23"/>
          <w:szCs w:val="23"/>
          <w:lang w:val="es-PE"/>
        </w:rPr>
        <w:t xml:space="preserve"> que, el punto principal es que ese daño no se encontraba con anterioridad al siniestro, lo cual se encuentra documentado en las inspecciones anteriores al siniestro, con lo cual el daño del faro delantero derecho sería materia de cobertura.</w:t>
      </w:r>
    </w:p>
    <w:p w:rsidRPr="00F239F4" w:rsidR="00DA2BF5" w:rsidP="00F239F4" w:rsidRDefault="00DA2BF5" w14:paraId="5A3EDB80" w14:textId="77777777">
      <w:pPr>
        <w:jc w:val="both"/>
        <w:outlineLvl w:val="0"/>
        <w:rPr>
          <w:sz w:val="23"/>
          <w:szCs w:val="23"/>
          <w:lang w:val="es-PE"/>
        </w:rPr>
      </w:pPr>
    </w:p>
    <w:p w:rsidR="00F239F4" w:rsidP="00F239F4" w:rsidRDefault="00F239F4" w14:paraId="02CFF252" w14:textId="779F2716">
      <w:pPr>
        <w:jc w:val="both"/>
        <w:outlineLvl w:val="0"/>
        <w:rPr>
          <w:sz w:val="23"/>
          <w:szCs w:val="23"/>
          <w:lang w:val="es-PE"/>
        </w:rPr>
      </w:pPr>
      <w:r w:rsidRPr="4FAF2335" w:rsidR="00F239F4">
        <w:rPr>
          <w:sz w:val="23"/>
          <w:szCs w:val="23"/>
          <w:lang w:val="es-PE"/>
        </w:rPr>
        <w:t xml:space="preserve">Que, </w:t>
      </w:r>
      <w:r w:rsidRPr="4FAF2335" w:rsidR="7A9E833C">
        <w:rPr>
          <w:sz w:val="23"/>
          <w:szCs w:val="23"/>
          <w:lang w:val="es-PE"/>
        </w:rPr>
        <w:t>................</w:t>
      </w:r>
      <w:r w:rsidRPr="4FAF2335" w:rsidR="00F239F4">
        <w:rPr>
          <w:sz w:val="23"/>
          <w:szCs w:val="23"/>
          <w:lang w:val="es-PE"/>
        </w:rPr>
        <w:t xml:space="preserve"> no absolvió el requerimiento realizado por el Colegiado en la audiencia de informe oral.</w:t>
      </w:r>
    </w:p>
    <w:p w:rsidRPr="00F239F4" w:rsidR="00DA2BF5" w:rsidP="00F239F4" w:rsidRDefault="00DA2BF5" w14:paraId="60C76153" w14:textId="77777777">
      <w:pPr>
        <w:jc w:val="both"/>
        <w:outlineLvl w:val="0"/>
        <w:rPr>
          <w:sz w:val="23"/>
          <w:szCs w:val="23"/>
          <w:lang w:val="es-PE"/>
        </w:rPr>
      </w:pPr>
    </w:p>
    <w:p w:rsidR="00F239F4" w:rsidP="00F239F4" w:rsidRDefault="00F239F4" w14:paraId="7E8FEF81" w14:textId="77777777">
      <w:pPr>
        <w:jc w:val="both"/>
        <w:outlineLvl w:val="0"/>
        <w:rPr>
          <w:sz w:val="23"/>
          <w:szCs w:val="23"/>
          <w:lang w:val="es-PE"/>
        </w:rPr>
      </w:pPr>
      <w:r w:rsidRPr="00F239F4">
        <w:rPr>
          <w:sz w:val="23"/>
          <w:szCs w:val="23"/>
          <w:lang w:val="es-PE"/>
        </w:rPr>
        <w:t>Al resolver, este Colegiado toma en cuenta las argumentaciones de las partes expresadas a lo largo del procedimiento.</w:t>
      </w:r>
    </w:p>
    <w:p w:rsidR="00DA2BF5" w:rsidP="00F239F4" w:rsidRDefault="00DA2BF5" w14:paraId="45BEE926" w14:textId="77777777">
      <w:pPr>
        <w:jc w:val="both"/>
        <w:outlineLvl w:val="0"/>
        <w:rPr>
          <w:sz w:val="23"/>
          <w:szCs w:val="23"/>
          <w:lang w:val="es-PE"/>
        </w:rPr>
      </w:pPr>
    </w:p>
    <w:p w:rsidR="00DA2BF5" w:rsidP="00F239F4" w:rsidRDefault="00DA2BF5" w14:paraId="3C0F4B64" w14:textId="77777777">
      <w:pPr>
        <w:jc w:val="both"/>
        <w:outlineLvl w:val="0"/>
        <w:rPr>
          <w:sz w:val="23"/>
          <w:szCs w:val="23"/>
          <w:lang w:val="es-PE"/>
        </w:rPr>
      </w:pPr>
    </w:p>
    <w:p w:rsidR="00DA2BF5" w:rsidP="00F239F4" w:rsidRDefault="00DA2BF5" w14:paraId="7DDEDE15" w14:textId="77777777">
      <w:pPr>
        <w:jc w:val="both"/>
        <w:outlineLvl w:val="0"/>
        <w:rPr>
          <w:sz w:val="23"/>
          <w:szCs w:val="23"/>
          <w:lang w:val="es-PE"/>
        </w:rPr>
      </w:pPr>
    </w:p>
    <w:p w:rsidR="00DA2BF5" w:rsidP="00F239F4" w:rsidRDefault="00DA2BF5" w14:paraId="5473473F" w14:textId="77777777">
      <w:pPr>
        <w:jc w:val="both"/>
        <w:outlineLvl w:val="0"/>
        <w:rPr>
          <w:sz w:val="23"/>
          <w:szCs w:val="23"/>
          <w:lang w:val="es-PE"/>
        </w:rPr>
      </w:pPr>
    </w:p>
    <w:p w:rsidRPr="00F239F4" w:rsidR="00DA2BF5" w:rsidP="00F239F4" w:rsidRDefault="00DA2BF5" w14:paraId="26841737" w14:textId="77777777">
      <w:pPr>
        <w:jc w:val="both"/>
        <w:outlineLvl w:val="0"/>
        <w:rPr>
          <w:sz w:val="23"/>
          <w:szCs w:val="23"/>
          <w:lang w:val="es-PE"/>
        </w:rPr>
      </w:pPr>
    </w:p>
    <w:p w:rsidR="00F239F4" w:rsidP="00F239F4" w:rsidRDefault="00F239F4" w14:paraId="72E41F26" w14:textId="77777777">
      <w:pPr>
        <w:jc w:val="both"/>
        <w:outlineLvl w:val="0"/>
        <w:rPr>
          <w:b/>
          <w:bCs/>
          <w:sz w:val="23"/>
          <w:szCs w:val="23"/>
          <w:lang w:val="es-MX"/>
        </w:rPr>
      </w:pPr>
      <w:r w:rsidRPr="00F239F4">
        <w:rPr>
          <w:b/>
          <w:bCs/>
          <w:sz w:val="23"/>
          <w:szCs w:val="23"/>
          <w:lang w:val="es-MX"/>
        </w:rPr>
        <w:t>CONSIDERANDO:</w:t>
      </w:r>
    </w:p>
    <w:p w:rsidRPr="00F239F4" w:rsidR="00DA2BF5" w:rsidP="00F239F4" w:rsidRDefault="00DA2BF5" w14:paraId="7C47729C" w14:textId="77777777">
      <w:pPr>
        <w:jc w:val="both"/>
        <w:outlineLvl w:val="0"/>
        <w:rPr>
          <w:b/>
          <w:bCs/>
          <w:sz w:val="23"/>
          <w:szCs w:val="23"/>
          <w:lang w:val="es-MX"/>
        </w:rPr>
      </w:pPr>
    </w:p>
    <w:p w:rsidR="00F239F4" w:rsidP="00F239F4" w:rsidRDefault="00F239F4" w14:paraId="348BEC51" w14:textId="77777777">
      <w:pPr>
        <w:jc w:val="both"/>
        <w:outlineLvl w:val="0"/>
        <w:rPr>
          <w:sz w:val="23"/>
          <w:szCs w:val="23"/>
          <w:lang w:val="es-PE"/>
        </w:rPr>
      </w:pPr>
      <w:r w:rsidRPr="00F239F4">
        <w:rPr>
          <w:b/>
          <w:bCs/>
          <w:sz w:val="23"/>
          <w:szCs w:val="23"/>
          <w:u w:val="single"/>
          <w:lang w:val="es-PE"/>
        </w:rPr>
        <w:t>PRIMERO</w:t>
      </w:r>
      <w:r w:rsidRPr="00F239F4">
        <w:rPr>
          <w:sz w:val="23"/>
          <w:szCs w:val="23"/>
          <w:lang w:val="es-PE"/>
        </w:rPr>
        <w:t>: Conforme al Reglamento de la DEFASEG (el “Reglamento”)</w:t>
      </w:r>
      <w:r w:rsidRPr="00F239F4">
        <w:rPr>
          <w:sz w:val="23"/>
          <w:szCs w:val="23"/>
          <w:vertAlign w:val="superscript"/>
          <w:lang w:val="en-US"/>
        </w:rPr>
        <w:footnoteReference w:id="1"/>
      </w:r>
      <w:r w:rsidRPr="00F239F4">
        <w:rPr>
          <w:sz w:val="23"/>
          <w:szCs w:val="23"/>
          <w:lang w:val="es-PE"/>
        </w:rPr>
        <w:t>, esta Defensoría sólo es competente para resolver aquellos reclamos de los asegurados, que hubiesen sido sometidos a su conocimiento, siempre y cuando cumplan con los requisitos reglamentarios de materia, cuantía y oportunidad, de manera que, todos aquellos reclamos por materias distintas al otorgamiento de la cobertura, como podrían ser aquellas pretensiones indemnizatorias por daños y perjuicios, el reembolso de los gastos incurridos por el asegurado o la idoneidad del servicio brindado por la empresa aseguradora, son ajenas a la competencia funcional de esta Defensoría; y, por lo tanto, deberán discutirse ante las instancias competentes.</w:t>
      </w:r>
    </w:p>
    <w:p w:rsidRPr="00F239F4" w:rsidR="00DA2BF5" w:rsidP="00F239F4" w:rsidRDefault="00DA2BF5" w14:paraId="3BBA49A6" w14:textId="77777777">
      <w:pPr>
        <w:jc w:val="both"/>
        <w:outlineLvl w:val="0"/>
        <w:rPr>
          <w:sz w:val="23"/>
          <w:szCs w:val="23"/>
          <w:lang w:val="es-PE"/>
        </w:rPr>
      </w:pPr>
    </w:p>
    <w:p w:rsidR="00F239F4" w:rsidP="00F239F4" w:rsidRDefault="00F239F4" w14:paraId="76F5AE79" w14:textId="77777777">
      <w:pPr>
        <w:jc w:val="both"/>
        <w:outlineLvl w:val="0"/>
        <w:rPr>
          <w:sz w:val="23"/>
          <w:szCs w:val="23"/>
          <w:lang w:val="es-PE"/>
        </w:rPr>
      </w:pPr>
      <w:r w:rsidRPr="00F239F4">
        <w:rPr>
          <w:b/>
          <w:bCs/>
          <w:sz w:val="23"/>
          <w:szCs w:val="23"/>
          <w:u w:val="single"/>
          <w:lang w:val="es-PE"/>
        </w:rPr>
        <w:t>SEGUNDO</w:t>
      </w:r>
      <w:r w:rsidRPr="00F239F4">
        <w:rPr>
          <w:sz w:val="23"/>
          <w:szCs w:val="23"/>
          <w:lang w:val="es-PE"/>
        </w:rPr>
        <w:t xml:space="preserve">: De acuerdo con el Reglamento, las resoluciones emitidas por la sala colegiada de la DEFASEG que queden </w:t>
      </w:r>
      <w:proofErr w:type="gramStart"/>
      <w:r w:rsidRPr="00F239F4">
        <w:rPr>
          <w:sz w:val="23"/>
          <w:szCs w:val="23"/>
          <w:lang w:val="es-PE"/>
        </w:rPr>
        <w:t>firmes,</w:t>
      </w:r>
      <w:proofErr w:type="gramEnd"/>
      <w:r w:rsidRPr="00F239F4">
        <w:rPr>
          <w:sz w:val="23"/>
          <w:szCs w:val="23"/>
          <w:lang w:val="es-PE"/>
        </w:rPr>
        <w:t xml:space="preserve"> son vinculantes para las empresas aseguradoras, cuando son favorables para los asegurados, las cuales deberán proceder conforme a lo ordenado en ellas en un plazo máximo de quince días hábiles de notificada la resolución.</w:t>
      </w:r>
    </w:p>
    <w:p w:rsidRPr="00F239F4" w:rsidR="00DA2BF5" w:rsidP="00F239F4" w:rsidRDefault="00DA2BF5" w14:paraId="72078897" w14:textId="77777777">
      <w:pPr>
        <w:jc w:val="both"/>
        <w:outlineLvl w:val="0"/>
        <w:rPr>
          <w:sz w:val="23"/>
          <w:szCs w:val="23"/>
          <w:lang w:val="es-PE"/>
        </w:rPr>
      </w:pPr>
    </w:p>
    <w:p w:rsidR="00F239F4" w:rsidP="00F239F4" w:rsidRDefault="00F239F4" w14:paraId="4A3349FF" w14:textId="77777777">
      <w:pPr>
        <w:jc w:val="both"/>
        <w:outlineLvl w:val="0"/>
        <w:rPr>
          <w:sz w:val="23"/>
          <w:szCs w:val="23"/>
          <w:lang w:val="es-PE"/>
        </w:rPr>
      </w:pPr>
      <w:r w:rsidRPr="00F239F4">
        <w:rPr>
          <w:b/>
          <w:bCs/>
          <w:sz w:val="23"/>
          <w:szCs w:val="23"/>
          <w:u w:val="single"/>
          <w:lang w:val="es-PE"/>
        </w:rPr>
        <w:t>TERCERO</w:t>
      </w:r>
      <w:r w:rsidRPr="00F239F4">
        <w:rPr>
          <w:sz w:val="23"/>
          <w:szCs w:val="23"/>
          <w:lang w:val="es-PE"/>
        </w:rPr>
        <w:t>: El artículo 1 de la Ley del Contrato de Seguro</w:t>
      </w:r>
      <w:r w:rsidRPr="00F239F4">
        <w:rPr>
          <w:sz w:val="23"/>
          <w:szCs w:val="23"/>
          <w:vertAlign w:val="superscript"/>
          <w:lang w:val="es-PE"/>
        </w:rPr>
        <w:footnoteReference w:id="2"/>
      </w:r>
      <w:r w:rsidRPr="00F239F4">
        <w:rPr>
          <w:sz w:val="23"/>
          <w:szCs w:val="23"/>
          <w:lang w:val="es-PE"/>
        </w:rPr>
        <w:t xml:space="preserve"> señala que el contrato de seguro es aquel acuerdo por el que una empresa aseguradora se obliga, por el cobro de una prima, a indemnizar el daño producido al asegurado, a satisfacer un capital, una renta u otras prestaciones convenidas en caso se produzca un evento cuyo riesgo es objeto de cobertura, dentro de los términos de una póliza que la empresa aseguradora deberá entregar al asegurado al momento de la contratación y cuyos requisitos están previstos en el artículo 26 de la Ley señalada.</w:t>
      </w:r>
    </w:p>
    <w:p w:rsidRPr="00F239F4" w:rsidR="00DA2BF5" w:rsidP="00F239F4" w:rsidRDefault="00DA2BF5" w14:paraId="4DFF2FCD" w14:textId="77777777">
      <w:pPr>
        <w:jc w:val="both"/>
        <w:outlineLvl w:val="0"/>
        <w:rPr>
          <w:sz w:val="23"/>
          <w:szCs w:val="23"/>
          <w:lang w:val="es-PE"/>
        </w:rPr>
      </w:pPr>
    </w:p>
    <w:p w:rsidR="00F239F4" w:rsidP="00F239F4" w:rsidRDefault="00F239F4" w14:paraId="2CAAA729" w14:textId="77777777">
      <w:pPr>
        <w:jc w:val="both"/>
        <w:outlineLvl w:val="0"/>
        <w:rPr>
          <w:sz w:val="23"/>
          <w:szCs w:val="23"/>
          <w:lang w:val="es-PE"/>
        </w:rPr>
      </w:pPr>
      <w:r w:rsidRPr="00F239F4">
        <w:rPr>
          <w:b/>
          <w:bCs/>
          <w:sz w:val="23"/>
          <w:szCs w:val="23"/>
          <w:u w:val="single"/>
          <w:lang w:val="es-PE"/>
        </w:rPr>
        <w:t>CUARTO</w:t>
      </w:r>
      <w:r w:rsidRPr="00F239F4">
        <w:rPr>
          <w:sz w:val="23"/>
          <w:szCs w:val="23"/>
          <w:lang w:val="es-PE"/>
        </w:rPr>
        <w:t>: Que, el artículo 1361 del Código Civil</w:t>
      </w:r>
      <w:r w:rsidRPr="00F239F4">
        <w:rPr>
          <w:sz w:val="23"/>
          <w:szCs w:val="23"/>
          <w:vertAlign w:val="superscript"/>
          <w:lang w:val="es-PE"/>
        </w:rPr>
        <w:footnoteReference w:id="3"/>
      </w:r>
      <w:r w:rsidRPr="00F239F4">
        <w:rPr>
          <w:sz w:val="23"/>
          <w:szCs w:val="23"/>
          <w:lang w:val="es-PE"/>
        </w:rPr>
        <w:t xml:space="preserve"> establece que los contratos son obligatorios en cuanto se encuentre expresado en ellos, presumiéndose que lo declarado en ellos corresponde a la voluntad de las partes, de manera que la parte que sostenga lo contrario a lo establecido expresamente en ellos deberá probarlo.</w:t>
      </w:r>
    </w:p>
    <w:p w:rsidRPr="00F239F4" w:rsidR="00DA2BF5" w:rsidP="00F239F4" w:rsidRDefault="00DA2BF5" w14:paraId="282E82A3" w14:textId="77777777">
      <w:pPr>
        <w:jc w:val="both"/>
        <w:outlineLvl w:val="0"/>
        <w:rPr>
          <w:sz w:val="23"/>
          <w:szCs w:val="23"/>
          <w:lang w:val="es-PE"/>
        </w:rPr>
      </w:pPr>
    </w:p>
    <w:p w:rsidRPr="00F239F4" w:rsidR="00F239F4" w:rsidP="00F239F4" w:rsidRDefault="00F239F4" w14:paraId="29DB9C79" w14:textId="77777777">
      <w:pPr>
        <w:jc w:val="both"/>
        <w:outlineLvl w:val="0"/>
        <w:rPr>
          <w:sz w:val="23"/>
          <w:szCs w:val="23"/>
          <w:lang w:val="es-PE"/>
        </w:rPr>
      </w:pPr>
      <w:r w:rsidRPr="00F239F4">
        <w:rPr>
          <w:b/>
          <w:bCs/>
          <w:sz w:val="23"/>
          <w:szCs w:val="23"/>
          <w:u w:val="single"/>
          <w:lang w:val="es-PE"/>
        </w:rPr>
        <w:t>QUINTO</w:t>
      </w:r>
      <w:r w:rsidRPr="00F239F4">
        <w:rPr>
          <w:sz w:val="23"/>
          <w:szCs w:val="23"/>
          <w:lang w:val="es-PE"/>
        </w:rPr>
        <w:t>: Que, en materia procesal, corresponde a quien invoque los hechos probar su existencia; carga a la que se refiere el artículo 196 del Código Procesal Civil</w:t>
      </w:r>
      <w:r w:rsidRPr="00F239F4">
        <w:rPr>
          <w:sz w:val="23"/>
          <w:szCs w:val="23"/>
          <w:vertAlign w:val="superscript"/>
          <w:lang w:val="es-PE"/>
        </w:rPr>
        <w:footnoteReference w:id="4"/>
      </w:r>
      <w:r w:rsidRPr="00F239F4">
        <w:rPr>
          <w:sz w:val="23"/>
          <w:szCs w:val="23"/>
          <w:lang w:val="es-PE"/>
        </w:rPr>
        <w:t>, salvo que se acoja a alguna presunción legal de carácter relativa o absoluta contemplada expresamente en la legislación pertinente.</w:t>
      </w:r>
    </w:p>
    <w:p w:rsidR="00F239F4" w:rsidP="00F239F4" w:rsidRDefault="00F239F4" w14:paraId="690E99DB" w14:textId="77777777">
      <w:pPr>
        <w:jc w:val="both"/>
        <w:outlineLvl w:val="0"/>
        <w:rPr>
          <w:sz w:val="23"/>
          <w:szCs w:val="23"/>
          <w:lang w:val="es-PE"/>
        </w:rPr>
      </w:pPr>
      <w:r w:rsidRPr="00F239F4">
        <w:rPr>
          <w:b/>
          <w:bCs/>
          <w:sz w:val="23"/>
          <w:szCs w:val="23"/>
          <w:u w:val="single"/>
          <w:lang w:val="es-PE"/>
        </w:rPr>
        <w:t>SEXTO</w:t>
      </w:r>
      <w:r w:rsidRPr="00F239F4">
        <w:rPr>
          <w:sz w:val="23"/>
          <w:szCs w:val="23"/>
          <w:lang w:val="es-PE"/>
        </w:rPr>
        <w:t>: Que este Colegiado al resolver ha tomado en consideración los argumentos presentados por ambas partes. En ese sentido, el detalle de las posiciones de las partes refleja sus principales argumentos, no pretendiendo ser un listado exhaustivo de los mismos.</w:t>
      </w:r>
    </w:p>
    <w:p w:rsidRPr="00F239F4" w:rsidR="00237AB1" w:rsidP="00F239F4" w:rsidRDefault="00237AB1" w14:paraId="69217739" w14:textId="77777777">
      <w:pPr>
        <w:jc w:val="both"/>
        <w:outlineLvl w:val="0"/>
        <w:rPr>
          <w:sz w:val="23"/>
          <w:szCs w:val="23"/>
          <w:lang w:val="es-PE"/>
        </w:rPr>
      </w:pPr>
    </w:p>
    <w:p w:rsidR="00F239F4" w:rsidP="00F239F4" w:rsidRDefault="00F239F4" w14:paraId="703166D5" w14:textId="77777777">
      <w:pPr>
        <w:jc w:val="both"/>
        <w:outlineLvl w:val="0"/>
        <w:rPr>
          <w:sz w:val="23"/>
          <w:szCs w:val="23"/>
          <w:lang w:val="es-PE"/>
        </w:rPr>
      </w:pPr>
      <w:bookmarkStart w:name="_Hlk200061658" w:id="2"/>
      <w:r w:rsidRPr="00F239F4">
        <w:rPr>
          <w:b/>
          <w:bCs/>
          <w:sz w:val="23"/>
          <w:szCs w:val="23"/>
          <w:u w:val="single"/>
          <w:lang w:val="es-PE"/>
        </w:rPr>
        <w:t>SÉPTIMO</w:t>
      </w:r>
      <w:r w:rsidRPr="00F239F4">
        <w:rPr>
          <w:sz w:val="23"/>
          <w:szCs w:val="23"/>
          <w:lang w:val="es-PE"/>
        </w:rPr>
        <w:t xml:space="preserve">: El Reglamento dispone en su artículo 4 que, la Defensoría es competente para resolver aquellas controversias suscitadas entre asegurados y empresas de seguros, siempre que se cumplan con los siguientes requisitos de materia, plazo y cuantía de manera concurrente: </w:t>
      </w:r>
      <w:r w:rsidRPr="00F239F4">
        <w:rPr>
          <w:b/>
          <w:bCs/>
          <w:i/>
          <w:iCs/>
          <w:sz w:val="23"/>
          <w:szCs w:val="23"/>
          <w:lang w:val="es-PE"/>
        </w:rPr>
        <w:t>(i)</w:t>
      </w:r>
      <w:r w:rsidRPr="00F239F4">
        <w:rPr>
          <w:sz w:val="23"/>
          <w:szCs w:val="23"/>
          <w:lang w:val="es-PE"/>
        </w:rPr>
        <w:t xml:space="preserve"> por un rechazo o liquidación de un siniestro por parte de una empresa de seguros; </w:t>
      </w:r>
      <w:r w:rsidRPr="00F239F4">
        <w:rPr>
          <w:b/>
          <w:bCs/>
          <w:i/>
          <w:iCs/>
          <w:sz w:val="23"/>
          <w:szCs w:val="23"/>
          <w:lang w:val="es-PE"/>
        </w:rPr>
        <w:t>(</w:t>
      </w:r>
      <w:proofErr w:type="spellStart"/>
      <w:r w:rsidRPr="00F239F4">
        <w:rPr>
          <w:b/>
          <w:bCs/>
          <w:i/>
          <w:iCs/>
          <w:sz w:val="23"/>
          <w:szCs w:val="23"/>
          <w:lang w:val="es-PE"/>
        </w:rPr>
        <w:t>ii</w:t>
      </w:r>
      <w:proofErr w:type="spellEnd"/>
      <w:r w:rsidRPr="00F239F4">
        <w:rPr>
          <w:b/>
          <w:bCs/>
          <w:i/>
          <w:iCs/>
          <w:sz w:val="23"/>
          <w:szCs w:val="23"/>
          <w:lang w:val="es-PE"/>
        </w:rPr>
        <w:t>)</w:t>
      </w:r>
      <w:r w:rsidRPr="00F239F4">
        <w:rPr>
          <w:sz w:val="23"/>
          <w:szCs w:val="23"/>
          <w:lang w:val="es-PE"/>
        </w:rPr>
        <w:t xml:space="preserve"> el reclamo debe presentarse dentro del plazo de dos años desde el día siguiente de recibida la primera notificación en que es rechazada la pretensión de cobertura por parte de la empresa de seguros; y, </w:t>
      </w:r>
      <w:r w:rsidRPr="00F239F4">
        <w:rPr>
          <w:b/>
          <w:bCs/>
          <w:i/>
          <w:iCs/>
          <w:sz w:val="23"/>
          <w:szCs w:val="23"/>
          <w:lang w:val="es-PE"/>
        </w:rPr>
        <w:t>(</w:t>
      </w:r>
      <w:proofErr w:type="spellStart"/>
      <w:r w:rsidRPr="00F239F4">
        <w:rPr>
          <w:b/>
          <w:bCs/>
          <w:i/>
          <w:iCs/>
          <w:sz w:val="23"/>
          <w:szCs w:val="23"/>
          <w:lang w:val="es-PE"/>
        </w:rPr>
        <w:t>iii</w:t>
      </w:r>
      <w:proofErr w:type="spellEnd"/>
      <w:r w:rsidRPr="00F239F4">
        <w:rPr>
          <w:b/>
          <w:bCs/>
          <w:i/>
          <w:iCs/>
          <w:sz w:val="23"/>
          <w:szCs w:val="23"/>
          <w:lang w:val="es-PE"/>
        </w:rPr>
        <w:t>)</w:t>
      </w:r>
      <w:r w:rsidRPr="00F239F4">
        <w:rPr>
          <w:sz w:val="23"/>
          <w:szCs w:val="23"/>
          <w:lang w:val="es-PE"/>
        </w:rPr>
        <w:t xml:space="preserve"> el total de la indemnización exigida por el asegurado a la empresa de seguros no debe exceder los USD 50 000 (cincuenta mil dólares americanos y 00/100)</w:t>
      </w:r>
      <w:r w:rsidRPr="00F239F4">
        <w:rPr>
          <w:sz w:val="23"/>
          <w:szCs w:val="23"/>
          <w:vertAlign w:val="superscript"/>
          <w:lang w:val="es-PE"/>
        </w:rPr>
        <w:footnoteReference w:id="5"/>
      </w:r>
      <w:r w:rsidRPr="00F239F4">
        <w:rPr>
          <w:sz w:val="23"/>
          <w:szCs w:val="23"/>
          <w:lang w:val="es-PE"/>
        </w:rPr>
        <w:t xml:space="preserve">.  </w:t>
      </w:r>
    </w:p>
    <w:p w:rsidRPr="00F239F4" w:rsidR="00237AB1" w:rsidP="00F239F4" w:rsidRDefault="00237AB1" w14:paraId="291FA12E" w14:textId="77777777">
      <w:pPr>
        <w:jc w:val="both"/>
        <w:outlineLvl w:val="0"/>
        <w:rPr>
          <w:sz w:val="23"/>
          <w:szCs w:val="23"/>
          <w:lang w:val="es-PE"/>
        </w:rPr>
      </w:pPr>
    </w:p>
    <w:p w:rsidR="00F239F4" w:rsidP="00F239F4" w:rsidRDefault="00F239F4" w14:paraId="3242F862" w14:textId="1E7E1B4C">
      <w:pPr>
        <w:jc w:val="both"/>
        <w:outlineLvl w:val="0"/>
        <w:rPr>
          <w:sz w:val="23"/>
          <w:szCs w:val="23"/>
          <w:lang w:val="es-PE"/>
        </w:rPr>
      </w:pPr>
      <w:r w:rsidRPr="4FAF2335" w:rsidR="00F239F4">
        <w:rPr>
          <w:b w:val="1"/>
          <w:bCs w:val="1"/>
          <w:sz w:val="23"/>
          <w:szCs w:val="23"/>
          <w:u w:val="single"/>
          <w:lang w:val="es-PE"/>
        </w:rPr>
        <w:t>OCTAVO:</w:t>
      </w:r>
      <w:r w:rsidRPr="4FAF2335" w:rsidR="00F239F4">
        <w:rPr>
          <w:sz w:val="23"/>
          <w:szCs w:val="23"/>
          <w:lang w:val="es-PE"/>
        </w:rPr>
        <w:t xml:space="preserve"> No se encuentra en discusión que el señor </w:t>
      </w:r>
      <w:r w:rsidRPr="4FAF2335" w:rsidR="3CB3EFB6">
        <w:rPr>
          <w:sz w:val="23"/>
          <w:szCs w:val="23"/>
          <w:lang w:val="es-PE"/>
        </w:rPr>
        <w:t>..................................................</w:t>
      </w:r>
      <w:r w:rsidRPr="4FAF2335" w:rsidR="00F239F4">
        <w:rPr>
          <w:sz w:val="23"/>
          <w:szCs w:val="23"/>
          <w:lang w:val="es-PE"/>
        </w:rPr>
        <w:t xml:space="preserve"> adquirió un seguro vehicular con </w:t>
      </w:r>
      <w:r w:rsidRPr="4FAF2335" w:rsidR="7A9E833C">
        <w:rPr>
          <w:sz w:val="23"/>
          <w:szCs w:val="23"/>
          <w:lang w:val="es-PE"/>
        </w:rPr>
        <w:t>................</w:t>
      </w:r>
      <w:r w:rsidRPr="4FAF2335" w:rsidR="00F239F4">
        <w:rPr>
          <w:sz w:val="23"/>
          <w:szCs w:val="23"/>
          <w:lang w:val="es-PE"/>
        </w:rPr>
        <w:t xml:space="preserve">, tampoco se cuestiona que el 15 de octubre de 2024, se produjo un siniestro en el que estuvo involucrado el vehículo asegurado en circunstancias que la funda delantera del vehículo quedó enganchada en un muro de estacionamiento ocasionando daños en la parte baja de la unidad con signos de arrastre y desprendimiento. </w:t>
      </w:r>
    </w:p>
    <w:p w:rsidRPr="00F239F4" w:rsidR="00237AB1" w:rsidP="00F239F4" w:rsidRDefault="00237AB1" w14:paraId="23FB523A" w14:textId="77777777">
      <w:pPr>
        <w:jc w:val="both"/>
        <w:outlineLvl w:val="0"/>
        <w:rPr>
          <w:b/>
          <w:bCs/>
          <w:sz w:val="23"/>
          <w:szCs w:val="23"/>
          <w:u w:val="single"/>
          <w:lang w:val="es-PE"/>
        </w:rPr>
      </w:pPr>
    </w:p>
    <w:p w:rsidR="00F239F4" w:rsidP="00F239F4" w:rsidRDefault="00F239F4" w14:paraId="4E3F9CF2" w14:textId="59B41522">
      <w:pPr>
        <w:jc w:val="both"/>
        <w:outlineLvl w:val="0"/>
        <w:rPr>
          <w:sz w:val="23"/>
          <w:szCs w:val="23"/>
          <w:lang w:val="es-PE"/>
        </w:rPr>
      </w:pPr>
      <w:r w:rsidRPr="4FAF2335" w:rsidR="00F239F4">
        <w:rPr>
          <w:b w:val="1"/>
          <w:bCs w:val="1"/>
          <w:sz w:val="23"/>
          <w:szCs w:val="23"/>
          <w:u w:val="single"/>
          <w:lang w:val="es-PE"/>
        </w:rPr>
        <w:t>NOVENO</w:t>
      </w:r>
      <w:r w:rsidRPr="4FAF2335" w:rsidR="00F239F4">
        <w:rPr>
          <w:sz w:val="23"/>
          <w:szCs w:val="23"/>
          <w:lang w:val="es-PE"/>
        </w:rPr>
        <w:t xml:space="preserve">: Sobre la base de los documentos presentados por las partes a lo largo de la presente controversia, este Colegiado considera que la materia controvertida consiste en determinar si se encuentra justificada -o no- la negativa de </w:t>
      </w:r>
      <w:r w:rsidRPr="4FAF2335" w:rsidR="372BEFF0">
        <w:rPr>
          <w:sz w:val="23"/>
          <w:szCs w:val="23"/>
          <w:lang w:val="es-PE"/>
        </w:rPr>
        <w:t>.............</w:t>
      </w:r>
      <w:r w:rsidRPr="4FAF2335" w:rsidR="00F239F4">
        <w:rPr>
          <w:sz w:val="23"/>
          <w:szCs w:val="23"/>
          <w:lang w:val="es-PE"/>
        </w:rPr>
        <w:t xml:space="preserve"> a otorgar cobertura -en los términos exigidos por el asegurado-, al daño sufrido por el faro delantero derecho.</w:t>
      </w:r>
      <w:r w:rsidRPr="4FAF2335" w:rsidR="00F239F4">
        <w:rPr>
          <w:sz w:val="23"/>
          <w:szCs w:val="23"/>
          <w:lang w:val="es-PE"/>
        </w:rPr>
        <w:t xml:space="preserve"> Por consiguiente, no nos encontramos en estricto sentido ante un rechazo total de brindar cobertura al faro delantero derecho del vehículo solicitada por el asegurado, pues la aseguradora ha aceptado reparar el faro dañado; de los actuados, es claro que la controversia radica en determinar si el daño reclamado por el asegurado deriva del siniestro ocurrido el 15 de octubre; y si, como consecuencia de ello, corresponde reemplazar el faro por uno nuevo -como sostiene el asegurado- o, en la medida que nos encontramos ante un daño oculto preexistente -como afirma la aseguradora- procede su reparación. </w:t>
      </w:r>
    </w:p>
    <w:p w:rsidRPr="00F239F4" w:rsidR="00237AB1" w:rsidP="00F239F4" w:rsidRDefault="00237AB1" w14:paraId="1C905503" w14:textId="77777777">
      <w:pPr>
        <w:jc w:val="both"/>
        <w:outlineLvl w:val="0"/>
        <w:rPr>
          <w:sz w:val="23"/>
          <w:szCs w:val="23"/>
          <w:lang w:val="es-PE"/>
        </w:rPr>
      </w:pPr>
    </w:p>
    <w:p w:rsidRPr="00F239F4" w:rsidR="00F239F4" w:rsidP="00F239F4" w:rsidRDefault="00F239F4" w14:paraId="7974C57B" w14:textId="1CF7DC16">
      <w:pPr>
        <w:jc w:val="both"/>
        <w:outlineLvl w:val="0"/>
        <w:rPr>
          <w:sz w:val="23"/>
          <w:szCs w:val="23"/>
          <w:lang w:val="es-PE"/>
        </w:rPr>
      </w:pPr>
      <w:r w:rsidRPr="4FAF2335" w:rsidR="00F239F4">
        <w:rPr>
          <w:b w:val="1"/>
          <w:bCs w:val="1"/>
          <w:sz w:val="23"/>
          <w:szCs w:val="23"/>
          <w:u w:val="single"/>
          <w:lang w:val="es-PE"/>
        </w:rPr>
        <w:t>DÉCIMO:</w:t>
      </w:r>
      <w:r w:rsidRPr="4FAF2335" w:rsidR="00F239F4">
        <w:rPr>
          <w:sz w:val="23"/>
          <w:szCs w:val="23"/>
          <w:lang w:val="es-PE"/>
        </w:rPr>
        <w:t xml:space="preserve"> El reclamo fue presentado por el señor </w:t>
      </w:r>
      <w:r w:rsidRPr="4FAF2335" w:rsidR="3CB3EFB6">
        <w:rPr>
          <w:sz w:val="23"/>
          <w:szCs w:val="23"/>
          <w:lang w:val="es-PE"/>
        </w:rPr>
        <w:t>..................................................</w:t>
      </w:r>
      <w:r w:rsidRPr="4FAF2335" w:rsidR="00F239F4">
        <w:rPr>
          <w:sz w:val="23"/>
          <w:szCs w:val="23"/>
          <w:lang w:val="es-PE"/>
        </w:rPr>
        <w:t xml:space="preserve"> el 7 de febrero de 2025, por lo tanto, nos encontramos dentro del plazo perentorio para su presentación contemplado en el Reglamento. </w:t>
      </w:r>
    </w:p>
    <w:p w:rsidR="4FAF2335" w:rsidP="4FAF2335" w:rsidRDefault="4FAF2335" w14:paraId="57E5F383" w14:textId="7F97EE5E">
      <w:pPr>
        <w:jc w:val="both"/>
        <w:outlineLvl w:val="0"/>
        <w:rPr>
          <w:sz w:val="23"/>
          <w:szCs w:val="23"/>
          <w:lang w:val="es-PE"/>
        </w:rPr>
      </w:pPr>
    </w:p>
    <w:p w:rsidR="00F239F4" w:rsidP="00F239F4" w:rsidRDefault="00F239F4" w14:paraId="0FC8EA29" w14:textId="77777777">
      <w:pPr>
        <w:jc w:val="both"/>
        <w:outlineLvl w:val="0"/>
        <w:rPr>
          <w:sz w:val="23"/>
          <w:szCs w:val="23"/>
          <w:lang w:val="es-PE"/>
        </w:rPr>
      </w:pPr>
      <w:r w:rsidRPr="00F239F4">
        <w:rPr>
          <w:b/>
          <w:bCs/>
          <w:sz w:val="23"/>
          <w:szCs w:val="23"/>
          <w:u w:val="single"/>
          <w:lang w:val="es-PE"/>
        </w:rPr>
        <w:t>UNDÉCIMO:</w:t>
      </w:r>
      <w:r w:rsidRPr="00F239F4">
        <w:rPr>
          <w:sz w:val="23"/>
          <w:szCs w:val="23"/>
          <w:lang w:val="es-PE"/>
        </w:rPr>
        <w:t xml:space="preserve"> La cifra del reclamo ha sido calculada por el asegurado al momento de presentar su reclamo en PEN 20,000 (veinte mil soles y 00/100), en dicho sentido, el reclamo se encuentra dentro de los límites por cuantía de la competencia establecida por el Reglamento.</w:t>
      </w:r>
    </w:p>
    <w:p w:rsidRPr="00F239F4" w:rsidR="00237AB1" w:rsidP="00F239F4" w:rsidRDefault="00237AB1" w14:paraId="6C887C16" w14:textId="77777777">
      <w:pPr>
        <w:jc w:val="both"/>
        <w:outlineLvl w:val="0"/>
        <w:rPr>
          <w:sz w:val="23"/>
          <w:szCs w:val="23"/>
          <w:lang w:val="es-PE"/>
        </w:rPr>
      </w:pPr>
    </w:p>
    <w:p w:rsidR="00F239F4" w:rsidP="00F239F4" w:rsidRDefault="00F239F4" w14:paraId="29CBDEB8" w14:textId="747D4991">
      <w:pPr>
        <w:jc w:val="both"/>
        <w:outlineLvl w:val="0"/>
        <w:rPr>
          <w:sz w:val="23"/>
          <w:szCs w:val="23"/>
          <w:lang w:val="es-PE"/>
        </w:rPr>
      </w:pPr>
      <w:r w:rsidRPr="4FAF2335" w:rsidR="00F239F4">
        <w:rPr>
          <w:b w:val="1"/>
          <w:bCs w:val="1"/>
          <w:sz w:val="23"/>
          <w:szCs w:val="23"/>
          <w:u w:val="single"/>
          <w:lang w:val="es-PE"/>
        </w:rPr>
        <w:t>DUODÉCIMO:</w:t>
      </w:r>
      <w:r w:rsidRPr="4FAF2335" w:rsidR="00F239F4">
        <w:rPr>
          <w:sz w:val="23"/>
          <w:szCs w:val="23"/>
          <w:lang w:val="es-PE"/>
        </w:rPr>
        <w:t xml:space="preserve"> En su absolución de la reclamación, </w:t>
      </w:r>
      <w:r w:rsidRPr="4FAF2335" w:rsidR="7A9E833C">
        <w:rPr>
          <w:sz w:val="23"/>
          <w:szCs w:val="23"/>
          <w:lang w:val="es-PE"/>
        </w:rPr>
        <w:t>................</w:t>
      </w:r>
      <w:r w:rsidRPr="4FAF2335" w:rsidR="00F239F4">
        <w:rPr>
          <w:sz w:val="23"/>
          <w:szCs w:val="23"/>
          <w:lang w:val="es-PE"/>
        </w:rPr>
        <w:t xml:space="preserve"> señala que el raspón que afecta al faro delantero derecho constituye un daño oculto preexistente, el cual no guardaría relación directa con el siniestro reportado el 15 de octubre de 2024. </w:t>
      </w:r>
    </w:p>
    <w:p w:rsidRPr="00F239F4" w:rsidR="00237AB1" w:rsidP="00F239F4" w:rsidRDefault="00237AB1" w14:paraId="4AA98B73" w14:textId="77777777">
      <w:pPr>
        <w:jc w:val="both"/>
        <w:outlineLvl w:val="0"/>
        <w:rPr>
          <w:sz w:val="23"/>
          <w:szCs w:val="23"/>
          <w:lang w:val="es-PE"/>
        </w:rPr>
      </w:pPr>
    </w:p>
    <w:p w:rsidR="00F239F4" w:rsidP="00F239F4" w:rsidRDefault="00F239F4" w14:paraId="0D2BF8B0" w14:textId="774AEDF3">
      <w:pPr>
        <w:jc w:val="both"/>
        <w:outlineLvl w:val="0"/>
        <w:rPr>
          <w:sz w:val="23"/>
          <w:szCs w:val="23"/>
          <w:lang w:val="es-PE"/>
        </w:rPr>
      </w:pPr>
      <w:r w:rsidRPr="4FAF2335" w:rsidR="00F239F4">
        <w:rPr>
          <w:sz w:val="23"/>
          <w:szCs w:val="23"/>
          <w:lang w:val="es-PE"/>
        </w:rPr>
        <w:t xml:space="preserve">En la medida que </w:t>
      </w:r>
      <w:r w:rsidRPr="4FAF2335" w:rsidR="7A9E833C">
        <w:rPr>
          <w:sz w:val="23"/>
          <w:szCs w:val="23"/>
          <w:lang w:val="es-PE"/>
        </w:rPr>
        <w:t>................</w:t>
      </w:r>
      <w:r w:rsidRPr="4FAF2335" w:rsidR="00F239F4">
        <w:rPr>
          <w:sz w:val="23"/>
          <w:szCs w:val="23"/>
          <w:lang w:val="es-PE"/>
        </w:rPr>
        <w:t xml:space="preserve"> no precisa qué quiere decir cuando señala que nos encontramos ante un «</w:t>
      </w:r>
      <w:r w:rsidRPr="4FAF2335" w:rsidR="00F239F4">
        <w:rPr>
          <w:i w:val="1"/>
          <w:iCs w:val="1"/>
          <w:sz w:val="23"/>
          <w:szCs w:val="23"/>
          <w:lang w:val="es-PE"/>
        </w:rPr>
        <w:t>daño oculto preexistente</w:t>
      </w:r>
      <w:r w:rsidRPr="4FAF2335" w:rsidR="00F239F4">
        <w:rPr>
          <w:sz w:val="23"/>
          <w:szCs w:val="23"/>
          <w:lang w:val="es-PE"/>
        </w:rPr>
        <w:t xml:space="preserve">», corresponde que esta Defensoría aclare si dicha definición tiene relevancia para el presente caso. </w:t>
      </w:r>
    </w:p>
    <w:p w:rsidRPr="00F239F4" w:rsidR="00237AB1" w:rsidP="00F239F4" w:rsidRDefault="00237AB1" w14:paraId="55517DB6" w14:textId="77777777">
      <w:pPr>
        <w:jc w:val="both"/>
        <w:outlineLvl w:val="0"/>
        <w:rPr>
          <w:sz w:val="23"/>
          <w:szCs w:val="23"/>
          <w:lang w:val="es-PE"/>
        </w:rPr>
      </w:pPr>
    </w:p>
    <w:p w:rsidR="00F239F4" w:rsidP="00F239F4" w:rsidRDefault="00F239F4" w14:paraId="6AF0221F" w14:textId="14F2AC97">
      <w:pPr>
        <w:jc w:val="both"/>
        <w:outlineLvl w:val="0"/>
        <w:rPr>
          <w:sz w:val="23"/>
          <w:szCs w:val="23"/>
          <w:lang w:val="es-PE"/>
        </w:rPr>
      </w:pPr>
      <w:r w:rsidRPr="4FAF2335" w:rsidR="00F239F4">
        <w:rPr>
          <w:sz w:val="23"/>
          <w:szCs w:val="23"/>
          <w:lang w:val="es-PE"/>
        </w:rPr>
        <w:t xml:space="preserve">Se entiende que para </w:t>
      </w:r>
      <w:r w:rsidRPr="4FAF2335" w:rsidR="7A9E833C">
        <w:rPr>
          <w:sz w:val="23"/>
          <w:szCs w:val="23"/>
          <w:lang w:val="es-PE"/>
        </w:rPr>
        <w:t>................</w:t>
      </w:r>
      <w:r w:rsidRPr="4FAF2335" w:rsidR="00F239F4">
        <w:rPr>
          <w:sz w:val="23"/>
          <w:szCs w:val="23"/>
          <w:lang w:val="es-PE"/>
        </w:rPr>
        <w:t xml:space="preserve"> un «</w:t>
      </w:r>
      <w:r w:rsidRPr="4FAF2335" w:rsidR="00F239F4">
        <w:rPr>
          <w:i w:val="1"/>
          <w:iCs w:val="1"/>
          <w:sz w:val="23"/>
          <w:szCs w:val="23"/>
          <w:lang w:val="es-PE"/>
        </w:rPr>
        <w:t>daño oculto preexistente</w:t>
      </w:r>
      <w:r w:rsidRPr="4FAF2335" w:rsidR="00F239F4">
        <w:rPr>
          <w:sz w:val="23"/>
          <w:szCs w:val="23"/>
          <w:lang w:val="es-PE"/>
        </w:rPr>
        <w:t>», constituiría un defecto del vehículo generado antes del reporte del siniestro, y, por lo tanto, que no fue identificado por la aseguradora al momento que realizó las inspecciones a la unidad vehicular del asegurado, pero que posiblemente sí fue conocido por el comprador antes de la ocurrencia del siniestro. </w:t>
      </w:r>
    </w:p>
    <w:p w:rsidRPr="00F239F4" w:rsidR="00237AB1" w:rsidP="00F239F4" w:rsidRDefault="00237AB1" w14:paraId="55D11A1E" w14:textId="77777777">
      <w:pPr>
        <w:jc w:val="both"/>
        <w:outlineLvl w:val="0"/>
        <w:rPr>
          <w:sz w:val="23"/>
          <w:szCs w:val="23"/>
          <w:lang w:val="es-PE"/>
        </w:rPr>
      </w:pPr>
    </w:p>
    <w:p w:rsidR="00F239F4" w:rsidP="00F239F4" w:rsidRDefault="00F239F4" w14:paraId="1959E338" w14:textId="58C78D6A">
      <w:pPr>
        <w:jc w:val="both"/>
        <w:outlineLvl w:val="0"/>
        <w:rPr>
          <w:sz w:val="23"/>
          <w:szCs w:val="23"/>
          <w:lang w:val="es-PE"/>
        </w:rPr>
      </w:pPr>
      <w:r w:rsidRPr="00F239F4" w:rsidR="00F239F4">
        <w:rPr>
          <w:sz w:val="23"/>
          <w:szCs w:val="23"/>
          <w:lang w:val="es-PE"/>
        </w:rPr>
        <w:t xml:space="preserve">En la medida que el término empleado por </w:t>
      </w:r>
      <w:r w:rsidRPr="00F239F4" w:rsidR="7A9E833C">
        <w:rPr>
          <w:sz w:val="23"/>
          <w:szCs w:val="23"/>
          <w:lang w:val="es-PE"/>
        </w:rPr>
        <w:t>................</w:t>
      </w:r>
      <w:r w:rsidRPr="00F239F4" w:rsidR="00F239F4">
        <w:rPr>
          <w:sz w:val="23"/>
          <w:szCs w:val="23"/>
          <w:lang w:val="es-PE"/>
        </w:rPr>
        <w:t xml:space="preserve"> para rechazar el siniestro es ambiguo y carece de definición doctrinal, pues la doctrina nos habla de «vicios ocultos»</w:t>
      </w:r>
      <w:r w:rsidRPr="00F239F4">
        <w:rPr>
          <w:sz w:val="23"/>
          <w:szCs w:val="23"/>
          <w:vertAlign w:val="superscript"/>
          <w:lang w:val="es-PE"/>
        </w:rPr>
        <w:footnoteReference w:id="6"/>
      </w:r>
      <w:r w:rsidRPr="00F239F4" w:rsidR="00F239F4">
        <w:rPr>
          <w:sz w:val="23"/>
          <w:szCs w:val="23"/>
          <w:lang w:val="es-PE"/>
        </w:rPr>
        <w:t xml:space="preserve"> no de «daños ocultos preexistentes», este Colegiado no coincide con la calificación de daño realizado por la aseguradora respecto del raspón del faro derecho delantero del vehículo del asegurado. Ello en la medida que no constituye daño oculto</w:t>
      </w:r>
      <w:r w:rsidRPr="00F239F4">
        <w:rPr>
          <w:sz w:val="23"/>
          <w:szCs w:val="23"/>
          <w:vertAlign w:val="superscript"/>
          <w:lang w:val="es-PE"/>
        </w:rPr>
        <w:footnoteReference w:id="7"/>
      </w:r>
      <w:r w:rsidRPr="00F239F4" w:rsidR="00F239F4">
        <w:rPr>
          <w:sz w:val="23"/>
          <w:szCs w:val="23"/>
          <w:lang w:val="es-PE"/>
        </w:rPr>
        <w:t>, pues de acuerdo con el material fotográfico alcanzado por las partes, el daño del faro derecho delantero es claramente visible; por otro lado, tampoco se puede calificar a la afectación del faro como prexistente, pues no se establece respecto de qué hecho o circunstancia es preexistente; por otro lado, es claro que el vehículo asegurado superó dos inspecciones por parte de la empresa aseguradora y no se detectó menoscabo que mereciera ser destacado.</w:t>
      </w:r>
    </w:p>
    <w:p w:rsidRPr="00F239F4" w:rsidR="00237AB1" w:rsidP="00F239F4" w:rsidRDefault="00237AB1" w14:paraId="29EB7196" w14:textId="77777777">
      <w:pPr>
        <w:jc w:val="both"/>
        <w:outlineLvl w:val="0"/>
        <w:rPr>
          <w:sz w:val="23"/>
          <w:szCs w:val="23"/>
          <w:lang w:val="es-PE"/>
        </w:rPr>
      </w:pPr>
    </w:p>
    <w:p w:rsidR="00F239F4" w:rsidP="00F239F4" w:rsidRDefault="00F239F4" w14:paraId="286E9ACF" w14:textId="77777777">
      <w:pPr>
        <w:jc w:val="both"/>
        <w:outlineLvl w:val="0"/>
        <w:rPr>
          <w:sz w:val="23"/>
          <w:szCs w:val="23"/>
          <w:lang w:val="es-PE"/>
        </w:rPr>
      </w:pPr>
      <w:r w:rsidRPr="00F239F4">
        <w:rPr>
          <w:b/>
          <w:bCs/>
          <w:sz w:val="23"/>
          <w:szCs w:val="23"/>
          <w:u w:val="single"/>
          <w:lang w:val="es-PE"/>
        </w:rPr>
        <w:t>DECIMOTERCERO</w:t>
      </w:r>
      <w:r w:rsidRPr="00F239F4">
        <w:rPr>
          <w:sz w:val="23"/>
          <w:szCs w:val="23"/>
          <w:lang w:val="es-PE"/>
        </w:rPr>
        <w:t>: Teniendo claro que no nos encontramos ante un daño oculto preexistente como señala la empresa aseguradora, cabe determinar en este extremo de acuerdo con la documentación que obra en el expediente, si el daño en el faro superior derecho del vehículo asegurado fue ocasionado por el siniestro del 15 de octubre de 20024.</w:t>
      </w:r>
    </w:p>
    <w:p w:rsidRPr="00F239F4" w:rsidR="00237AB1" w:rsidP="00F239F4" w:rsidRDefault="00237AB1" w14:paraId="3CDB97A7" w14:textId="77777777">
      <w:pPr>
        <w:jc w:val="both"/>
        <w:outlineLvl w:val="0"/>
        <w:rPr>
          <w:sz w:val="23"/>
          <w:szCs w:val="23"/>
          <w:lang w:val="es-PE"/>
        </w:rPr>
      </w:pPr>
    </w:p>
    <w:p w:rsidR="00F239F4" w:rsidP="00F239F4" w:rsidRDefault="00F239F4" w14:paraId="3635CB45" w14:textId="1B04EB0D">
      <w:pPr>
        <w:jc w:val="both"/>
        <w:outlineLvl w:val="0"/>
        <w:rPr>
          <w:sz w:val="23"/>
          <w:szCs w:val="23"/>
          <w:lang w:val="es-PE"/>
        </w:rPr>
      </w:pPr>
      <w:r w:rsidRPr="4FAF2335" w:rsidR="00F239F4">
        <w:rPr>
          <w:sz w:val="23"/>
          <w:szCs w:val="23"/>
          <w:lang w:val="es-PE"/>
        </w:rPr>
        <w:t xml:space="preserve">En la medida que </w:t>
      </w:r>
      <w:r w:rsidRPr="4FAF2335" w:rsidR="372BEFF0">
        <w:rPr>
          <w:sz w:val="23"/>
          <w:szCs w:val="23"/>
          <w:lang w:val="es-PE"/>
        </w:rPr>
        <w:t>.............</w:t>
      </w:r>
      <w:r w:rsidRPr="4FAF2335" w:rsidR="00F239F4">
        <w:rPr>
          <w:sz w:val="23"/>
          <w:szCs w:val="23"/>
          <w:lang w:val="es-PE"/>
        </w:rPr>
        <w:t xml:space="preserve"> no cumplió con informar a esta Defensoría respecto de los alcances técnicos de su posición, corresponde resolver con los elementos aportados por las partes documentariamente a lo largo del procedimiento. </w:t>
      </w:r>
    </w:p>
    <w:p w:rsidRPr="00F239F4" w:rsidR="00237AB1" w:rsidP="00F239F4" w:rsidRDefault="00237AB1" w14:paraId="24D6B51E" w14:textId="77777777">
      <w:pPr>
        <w:jc w:val="both"/>
        <w:outlineLvl w:val="0"/>
        <w:rPr>
          <w:sz w:val="23"/>
          <w:szCs w:val="23"/>
          <w:lang w:val="es-PE"/>
        </w:rPr>
      </w:pPr>
    </w:p>
    <w:p w:rsidR="00F239F4" w:rsidP="00F239F4" w:rsidRDefault="00F239F4" w14:paraId="48C3E843" w14:textId="11A7BB6F">
      <w:pPr>
        <w:jc w:val="both"/>
        <w:outlineLvl w:val="0"/>
        <w:rPr>
          <w:sz w:val="23"/>
          <w:szCs w:val="23"/>
          <w:lang w:val="es-PE"/>
        </w:rPr>
      </w:pPr>
      <w:r w:rsidRPr="4FAF2335" w:rsidR="00F239F4">
        <w:rPr>
          <w:sz w:val="23"/>
          <w:szCs w:val="23"/>
          <w:lang w:val="es-PE"/>
        </w:rPr>
        <w:t xml:space="preserve">Sobre el particular, para el asegurado, el daño del faro delantero </w:t>
      </w:r>
      <w:r w:rsidRPr="4FAF2335" w:rsidR="00F239F4">
        <w:rPr>
          <w:sz w:val="23"/>
          <w:szCs w:val="23"/>
          <w:lang w:val="es-PE"/>
        </w:rPr>
        <w:t>derecho,</w:t>
      </w:r>
      <w:r w:rsidRPr="4FAF2335" w:rsidR="00F239F4">
        <w:rPr>
          <w:sz w:val="23"/>
          <w:szCs w:val="23"/>
          <w:lang w:val="es-PE"/>
        </w:rPr>
        <w:t xml:space="preserve"> se produjo como consecuencia del siniestro, afirmando adicionalmente que el taller concesionario indicó </w:t>
      </w:r>
      <w:r w:rsidRPr="4FAF2335" w:rsidR="00F239F4">
        <w:rPr>
          <w:sz w:val="23"/>
          <w:szCs w:val="23"/>
          <w:lang w:val="es-PE"/>
        </w:rPr>
        <w:t>que</w:t>
      </w:r>
      <w:r w:rsidRPr="4FAF2335" w:rsidR="00F239F4">
        <w:rPr>
          <w:sz w:val="23"/>
          <w:szCs w:val="23"/>
          <w:lang w:val="es-PE"/>
        </w:rPr>
        <w:t xml:space="preserve"> al momento de arrancarse la funda, ésta podía haber sido la que golpeara al faro en la esquina </w:t>
      </w:r>
      <w:r w:rsidRPr="4FAF2335" w:rsidR="00F239F4">
        <w:rPr>
          <w:sz w:val="23"/>
          <w:szCs w:val="23"/>
          <w:lang w:val="es-PE"/>
        </w:rPr>
        <w:t xml:space="preserve">ocasionado el daño materia del reclamo. Sobre el particular, </w:t>
      </w:r>
      <w:r w:rsidRPr="4FAF2335" w:rsidR="372BEFF0">
        <w:rPr>
          <w:sz w:val="23"/>
          <w:szCs w:val="23"/>
          <w:lang w:val="es-PE"/>
        </w:rPr>
        <w:t>.............</w:t>
      </w:r>
      <w:r w:rsidRPr="4FAF2335" w:rsidR="00F239F4">
        <w:rPr>
          <w:sz w:val="23"/>
          <w:szCs w:val="23"/>
          <w:lang w:val="es-PE"/>
        </w:rPr>
        <w:t xml:space="preserve"> en su contestación de reclamo señala que concluyó que los daños del faro delantero no guardan relación con el siniestro reportado, dado que el desprendimiento del parachoques no puede generar el tipo de daño reportadas en el faro. No obstante, no podemos dejar de destacar que </w:t>
      </w:r>
      <w:r w:rsidRPr="4FAF2335" w:rsidR="372BEFF0">
        <w:rPr>
          <w:sz w:val="23"/>
          <w:szCs w:val="23"/>
          <w:lang w:val="es-PE"/>
        </w:rPr>
        <w:t>.............</w:t>
      </w:r>
      <w:r w:rsidRPr="4FAF2335" w:rsidR="00F239F4">
        <w:rPr>
          <w:sz w:val="23"/>
          <w:szCs w:val="23"/>
          <w:lang w:val="es-PE"/>
        </w:rPr>
        <w:t xml:space="preserve"> en el mismo escrito, reconoce que el daño bien pudo producirse como efecto del siniestro cuando indica que: </w:t>
      </w:r>
      <w:r w:rsidRPr="4FAF2335" w:rsidR="00F239F4">
        <w:rPr>
          <w:i w:val="1"/>
          <w:iCs w:val="1"/>
          <w:sz w:val="23"/>
          <w:szCs w:val="23"/>
          <w:lang w:val="es-PE"/>
        </w:rPr>
        <w:t xml:space="preserve">«(…) en la inspección realizada por la Compañía, se constató que el faro únicamente presentaba un ligero raspón en los bordes, </w:t>
      </w:r>
      <w:r w:rsidRPr="4FAF2335" w:rsidR="00F239F4">
        <w:rPr>
          <w:b w:val="1"/>
          <w:bCs w:val="1"/>
          <w:i w:val="1"/>
          <w:iCs w:val="1"/>
          <w:sz w:val="23"/>
          <w:szCs w:val="23"/>
          <w:u w:val="single"/>
          <w:lang w:val="es-PE"/>
        </w:rPr>
        <w:t>daño que pudo haber sido ocasionado por el desprendimiento de la funda</w:t>
      </w:r>
      <w:r w:rsidRPr="4FAF2335" w:rsidR="00F239F4">
        <w:rPr>
          <w:sz w:val="23"/>
          <w:szCs w:val="23"/>
          <w:lang w:val="es-PE"/>
        </w:rPr>
        <w:t xml:space="preserve">.» (el énfasis es agregado) </w:t>
      </w:r>
    </w:p>
    <w:p w:rsidRPr="00F239F4" w:rsidR="00BA2665" w:rsidP="00F239F4" w:rsidRDefault="00BA2665" w14:paraId="211444AB" w14:textId="77777777">
      <w:pPr>
        <w:jc w:val="both"/>
        <w:outlineLvl w:val="0"/>
        <w:rPr>
          <w:sz w:val="23"/>
          <w:szCs w:val="23"/>
          <w:lang w:val="es-PE"/>
        </w:rPr>
      </w:pPr>
    </w:p>
    <w:p w:rsidR="00F239F4" w:rsidP="00F239F4" w:rsidRDefault="00F239F4" w14:paraId="1EB23626" w14:textId="77777777">
      <w:pPr>
        <w:jc w:val="both"/>
        <w:outlineLvl w:val="0"/>
        <w:rPr>
          <w:sz w:val="23"/>
          <w:szCs w:val="23"/>
          <w:lang w:val="es-PE"/>
        </w:rPr>
      </w:pPr>
      <w:r w:rsidRPr="00F239F4">
        <w:rPr>
          <w:b/>
          <w:bCs/>
          <w:sz w:val="23"/>
          <w:szCs w:val="23"/>
          <w:u w:val="single"/>
          <w:lang w:val="es-PE"/>
        </w:rPr>
        <w:t>DECIMOCUARTO</w:t>
      </w:r>
      <w:r w:rsidRPr="00F239F4">
        <w:rPr>
          <w:sz w:val="23"/>
          <w:szCs w:val="23"/>
          <w:lang w:val="es-PE"/>
        </w:rPr>
        <w:t xml:space="preserve">: Si cómo hemos visto, la propia empresa aseguradora señala que el raspón en el faro del vehículo asegurado bien pudo producirse como consecuencia del siniestro del 15 de octubre de 2024, en virtud del principio de no contradicción, no procede que a renglón seguido sea ella misma la que afirme tajantemente que el tipo de daño en faro no pudo producir como efecto del siniestro del 15 de octubre de 2024. </w:t>
      </w:r>
    </w:p>
    <w:p w:rsidRPr="00F239F4" w:rsidR="00BA2665" w:rsidP="00F239F4" w:rsidRDefault="00BA2665" w14:paraId="587E70B4" w14:textId="77777777">
      <w:pPr>
        <w:jc w:val="both"/>
        <w:outlineLvl w:val="0"/>
        <w:rPr>
          <w:sz w:val="23"/>
          <w:szCs w:val="23"/>
          <w:lang w:val="es-PE"/>
        </w:rPr>
      </w:pPr>
    </w:p>
    <w:p w:rsidR="00F239F4" w:rsidP="00F239F4" w:rsidRDefault="00F239F4" w14:paraId="35D4012F" w14:textId="77777777">
      <w:pPr>
        <w:jc w:val="both"/>
        <w:outlineLvl w:val="0"/>
        <w:rPr>
          <w:sz w:val="23"/>
          <w:szCs w:val="23"/>
          <w:lang w:val="es-PE"/>
        </w:rPr>
      </w:pPr>
      <w:r w:rsidRPr="00F239F4">
        <w:rPr>
          <w:sz w:val="23"/>
          <w:szCs w:val="23"/>
          <w:lang w:val="es-PE"/>
        </w:rPr>
        <w:t>Cabe recordar que a diferencia de lo que ocurre en otras relaciones contractuales donde las partes pueden tomar alguna ventaja en determinadas situaciones sin mayor consecuencia legal, en el contrato de seguro, por el contrario, una conducta aprovechada es sancionada drásticamente por el ordenamiento.</w:t>
      </w:r>
      <w:r w:rsidRPr="00F239F4">
        <w:rPr>
          <w:sz w:val="23"/>
          <w:szCs w:val="23"/>
          <w:vertAlign w:val="superscript"/>
          <w:lang w:val="es-PE"/>
        </w:rPr>
        <w:footnoteReference w:id="8"/>
      </w:r>
      <w:r w:rsidRPr="00F239F4">
        <w:rPr>
          <w:sz w:val="23"/>
          <w:szCs w:val="23"/>
          <w:lang w:val="es-PE"/>
        </w:rPr>
        <w:t xml:space="preserve"> </w:t>
      </w:r>
    </w:p>
    <w:p w:rsidRPr="00F239F4" w:rsidR="00BA2665" w:rsidP="00F239F4" w:rsidRDefault="00BA2665" w14:paraId="46E653D2" w14:textId="77777777">
      <w:pPr>
        <w:jc w:val="both"/>
        <w:outlineLvl w:val="0"/>
        <w:rPr>
          <w:sz w:val="23"/>
          <w:szCs w:val="23"/>
          <w:lang w:val="es-PE"/>
        </w:rPr>
      </w:pPr>
    </w:p>
    <w:p w:rsidR="00F239F4" w:rsidP="00F239F4" w:rsidRDefault="00F239F4" w14:paraId="213E3674" w14:textId="77777777">
      <w:pPr>
        <w:jc w:val="both"/>
        <w:outlineLvl w:val="0"/>
        <w:rPr>
          <w:sz w:val="23"/>
          <w:szCs w:val="23"/>
          <w:lang w:val="es-PE"/>
        </w:rPr>
      </w:pPr>
      <w:r w:rsidRPr="00F239F4">
        <w:rPr>
          <w:sz w:val="23"/>
          <w:szCs w:val="23"/>
          <w:lang w:val="es-PE"/>
        </w:rPr>
        <w:t>Así, el artículo 77 de la Ley del Contrato de Seguro</w:t>
      </w:r>
      <w:r w:rsidRPr="00F239F4">
        <w:rPr>
          <w:sz w:val="23"/>
          <w:szCs w:val="23"/>
          <w:vertAlign w:val="superscript"/>
          <w:lang w:val="es-PE"/>
        </w:rPr>
        <w:footnoteReference w:id="9"/>
      </w:r>
      <w:r w:rsidRPr="00F239F4">
        <w:rPr>
          <w:sz w:val="23"/>
          <w:szCs w:val="23"/>
          <w:lang w:val="es-PE"/>
        </w:rPr>
        <w:t xml:space="preserve"> señala que mientras corresponde al asegurado demostrar la ocurrencia del siniestro, el asegurador tiene la carga de demostrar las causas que lo liberan de su prestación indemnizatoria. Dado que en el presente caso la aseguradora no ha demostrado que el raspón en el faro derecho delantero del vehículo asegurado se produjo con anterioridad al siniestro corresponde que proceda a indemnizar el daño.  </w:t>
      </w:r>
    </w:p>
    <w:p w:rsidRPr="00F239F4" w:rsidR="00BA2665" w:rsidP="00F239F4" w:rsidRDefault="00BA2665" w14:paraId="3036A704" w14:textId="77777777">
      <w:pPr>
        <w:jc w:val="both"/>
        <w:outlineLvl w:val="0"/>
        <w:rPr>
          <w:sz w:val="23"/>
          <w:szCs w:val="23"/>
          <w:lang w:val="es-PE"/>
        </w:rPr>
      </w:pPr>
    </w:p>
    <w:p w:rsidR="00F239F4" w:rsidP="00F239F4" w:rsidRDefault="00F239F4" w14:paraId="6ABBB377" w14:textId="77777777">
      <w:pPr>
        <w:jc w:val="both"/>
        <w:outlineLvl w:val="0"/>
        <w:rPr>
          <w:sz w:val="23"/>
          <w:szCs w:val="23"/>
          <w:lang w:val="es-PE"/>
        </w:rPr>
      </w:pPr>
      <w:r w:rsidRPr="00F239F4">
        <w:rPr>
          <w:b/>
          <w:bCs/>
          <w:sz w:val="23"/>
          <w:szCs w:val="23"/>
          <w:u w:val="single"/>
          <w:lang w:val="es-PE"/>
        </w:rPr>
        <w:t>DECIMOQUINTO</w:t>
      </w:r>
      <w:r w:rsidRPr="00F239F4">
        <w:rPr>
          <w:sz w:val="23"/>
          <w:szCs w:val="23"/>
          <w:lang w:val="es-PE"/>
        </w:rPr>
        <w:t xml:space="preserve">: </w:t>
      </w:r>
      <w:bookmarkEnd w:id="2"/>
      <w:r w:rsidRPr="00F239F4">
        <w:rPr>
          <w:sz w:val="23"/>
          <w:szCs w:val="23"/>
          <w:lang w:val="es-PE"/>
        </w:rPr>
        <w:t xml:space="preserve">No obstante, el hecho que se deba tener por cierto que el daño en el faro derecho delantero se produjo por efecto del siniestro del 15 de octubre de 2024, ello no implica necesariamente que el mismo deba ser reemplazado por uno nuevo, tal como exige el asegurado en su reclamación. </w:t>
      </w:r>
    </w:p>
    <w:p w:rsidRPr="00F239F4" w:rsidR="00BA2665" w:rsidP="00F239F4" w:rsidRDefault="00BA2665" w14:paraId="3ABF9ABD" w14:textId="77777777">
      <w:pPr>
        <w:jc w:val="both"/>
        <w:outlineLvl w:val="0"/>
        <w:rPr>
          <w:sz w:val="23"/>
          <w:szCs w:val="23"/>
          <w:lang w:val="es-PE"/>
        </w:rPr>
      </w:pPr>
    </w:p>
    <w:p w:rsidR="00F239F4" w:rsidP="00F239F4" w:rsidRDefault="00F239F4" w14:paraId="3DE0C654" w14:textId="77777777">
      <w:pPr>
        <w:jc w:val="both"/>
        <w:outlineLvl w:val="0"/>
        <w:rPr>
          <w:sz w:val="23"/>
          <w:szCs w:val="23"/>
          <w:lang w:val="es-PE"/>
        </w:rPr>
      </w:pPr>
      <w:r w:rsidRPr="00F239F4">
        <w:rPr>
          <w:sz w:val="23"/>
          <w:szCs w:val="23"/>
          <w:lang w:val="es-PE"/>
        </w:rPr>
        <w:t>Cabe recordar sobre el particular que el artículo IV de la Ley del Contrato de Seguro</w:t>
      </w:r>
      <w:r w:rsidRPr="00F239F4">
        <w:rPr>
          <w:sz w:val="23"/>
          <w:szCs w:val="23"/>
          <w:vertAlign w:val="superscript"/>
          <w:lang w:val="es-PE"/>
        </w:rPr>
        <w:footnoteReference w:id="10"/>
      </w:r>
      <w:r w:rsidRPr="00F239F4">
        <w:rPr>
          <w:sz w:val="23"/>
          <w:szCs w:val="23"/>
          <w:lang w:val="es-PE"/>
        </w:rPr>
        <w:t xml:space="preserve"> señala en su regla séptima que la cobertura, exclusiones, la extensión del riesgo, así como los derechos de los beneficiarios, previstos en el contrato de seguro, deben interpretarse literalmente.</w:t>
      </w:r>
    </w:p>
    <w:p w:rsidRPr="00F239F4" w:rsidR="00BA2665" w:rsidP="00F239F4" w:rsidRDefault="00BA2665" w14:paraId="0FB951F2" w14:textId="77777777">
      <w:pPr>
        <w:jc w:val="both"/>
        <w:outlineLvl w:val="0"/>
        <w:rPr>
          <w:sz w:val="23"/>
          <w:szCs w:val="23"/>
          <w:lang w:val="es-PE"/>
        </w:rPr>
      </w:pPr>
    </w:p>
    <w:p w:rsidR="00F239F4" w:rsidP="00F239F4" w:rsidRDefault="00F239F4" w14:paraId="73256625" w14:textId="77777777">
      <w:pPr>
        <w:jc w:val="both"/>
        <w:outlineLvl w:val="0"/>
        <w:rPr>
          <w:sz w:val="23"/>
          <w:szCs w:val="23"/>
          <w:lang w:val="es-PE"/>
        </w:rPr>
      </w:pPr>
      <w:r w:rsidRPr="00F239F4">
        <w:rPr>
          <w:b/>
          <w:bCs/>
          <w:sz w:val="23"/>
          <w:szCs w:val="23"/>
          <w:u w:val="single"/>
          <w:lang w:val="es-PE"/>
        </w:rPr>
        <w:t>DECIMOSEXTO</w:t>
      </w:r>
      <w:r w:rsidRPr="00F239F4">
        <w:rPr>
          <w:sz w:val="23"/>
          <w:szCs w:val="23"/>
          <w:lang w:val="es-PE"/>
        </w:rPr>
        <w:t>: Sobre el particular, las Condiciones generales de la Póliza señalan en su numeral 9, que tratándose de daño propio será considerado pérdida parcial, si los daños en el vehículo asegurado pueden ser reparados o remediados</w:t>
      </w:r>
      <w:r w:rsidRPr="00F239F4">
        <w:rPr>
          <w:sz w:val="23"/>
          <w:szCs w:val="23"/>
          <w:vertAlign w:val="superscript"/>
          <w:lang w:val="es-PE"/>
        </w:rPr>
        <w:footnoteReference w:id="11"/>
      </w:r>
      <w:r w:rsidRPr="00F239F4">
        <w:rPr>
          <w:sz w:val="23"/>
          <w:szCs w:val="23"/>
          <w:lang w:val="es-PE"/>
        </w:rPr>
        <w:t>. Asimismo, el numeral 12 de las Condiciones generales establecen que respecto de la indemnización por la cobertura por daño propio lo siguiente:</w:t>
      </w:r>
    </w:p>
    <w:p w:rsidRPr="00F239F4" w:rsidR="00B834F7" w:rsidP="00F239F4" w:rsidRDefault="00B834F7" w14:paraId="5C2E1F8A" w14:textId="77777777">
      <w:pPr>
        <w:jc w:val="both"/>
        <w:outlineLvl w:val="0"/>
        <w:rPr>
          <w:sz w:val="23"/>
          <w:szCs w:val="23"/>
          <w:lang w:val="es-PE"/>
        </w:rPr>
      </w:pPr>
    </w:p>
    <w:p w:rsidRPr="00F239F4" w:rsidR="00F239F4" w:rsidP="00B834F7" w:rsidRDefault="00F239F4" w14:paraId="7CCC8D47" w14:textId="77777777">
      <w:pPr>
        <w:ind w:left="1440"/>
        <w:jc w:val="both"/>
        <w:outlineLvl w:val="0"/>
        <w:rPr>
          <w:i/>
          <w:iCs/>
          <w:sz w:val="23"/>
          <w:szCs w:val="23"/>
          <w:lang w:val="es-PE"/>
        </w:rPr>
      </w:pPr>
      <w:r w:rsidRPr="00F239F4">
        <w:rPr>
          <w:i/>
          <w:iCs/>
          <w:sz w:val="23"/>
          <w:szCs w:val="23"/>
          <w:lang w:val="es-PE"/>
        </w:rPr>
        <w:t>«La COMPAÑÍA indemnizará:</w:t>
      </w:r>
    </w:p>
    <w:p w:rsidRPr="00F239F4" w:rsidR="00F239F4" w:rsidP="00B834F7" w:rsidRDefault="00F239F4" w14:paraId="4E54D61A" w14:textId="77777777">
      <w:pPr>
        <w:ind w:left="1440"/>
        <w:jc w:val="both"/>
        <w:outlineLvl w:val="0"/>
        <w:rPr>
          <w:i/>
          <w:iCs/>
          <w:sz w:val="23"/>
          <w:szCs w:val="23"/>
          <w:lang w:val="es-PE"/>
        </w:rPr>
      </w:pPr>
      <w:r w:rsidRPr="00F239F4">
        <w:rPr>
          <w:i/>
          <w:iCs/>
          <w:sz w:val="23"/>
          <w:szCs w:val="23"/>
          <w:lang w:val="es-PE"/>
        </w:rPr>
        <w:t xml:space="preserve">1) </w:t>
      </w:r>
      <w:r w:rsidRPr="00F239F4">
        <w:rPr>
          <w:i/>
          <w:iCs/>
          <w:sz w:val="23"/>
          <w:szCs w:val="23"/>
          <w:lang w:val="es-PE"/>
        </w:rPr>
        <w:tab/>
      </w:r>
      <w:r w:rsidRPr="00F239F4">
        <w:rPr>
          <w:i/>
          <w:iCs/>
          <w:sz w:val="23"/>
          <w:szCs w:val="23"/>
          <w:lang w:val="es-PE"/>
        </w:rPr>
        <w:t>En caso de Pérdida Parcial:</w:t>
      </w:r>
    </w:p>
    <w:p w:rsidRPr="00F239F4" w:rsidR="00F239F4" w:rsidP="00B834F7" w:rsidRDefault="00F239F4" w14:paraId="27A68049" w14:textId="77777777">
      <w:pPr>
        <w:ind w:left="1440"/>
        <w:jc w:val="both"/>
        <w:outlineLvl w:val="0"/>
        <w:rPr>
          <w:i/>
          <w:iCs/>
          <w:sz w:val="23"/>
          <w:szCs w:val="23"/>
          <w:lang w:val="es-PE"/>
        </w:rPr>
      </w:pPr>
      <w:r w:rsidRPr="00F239F4">
        <w:rPr>
          <w:i/>
          <w:iCs/>
          <w:sz w:val="23"/>
          <w:szCs w:val="23"/>
          <w:lang w:val="es-PE"/>
        </w:rPr>
        <w:t xml:space="preserve">a) </w:t>
      </w:r>
      <w:r w:rsidRPr="00F239F4">
        <w:rPr>
          <w:i/>
          <w:iCs/>
          <w:sz w:val="23"/>
          <w:szCs w:val="23"/>
          <w:lang w:val="es-PE"/>
        </w:rPr>
        <w:tab/>
      </w:r>
      <w:r w:rsidRPr="00F239F4">
        <w:rPr>
          <w:b/>
          <w:bCs/>
          <w:i/>
          <w:iCs/>
          <w:sz w:val="23"/>
          <w:szCs w:val="23"/>
          <w:u w:val="single"/>
          <w:lang w:val="es-PE"/>
        </w:rPr>
        <w:t>Pagando la reparación o reposición directamente al taller o proveedor que corresponda</w:t>
      </w:r>
      <w:r w:rsidRPr="00F239F4">
        <w:rPr>
          <w:i/>
          <w:iCs/>
          <w:sz w:val="23"/>
          <w:szCs w:val="23"/>
          <w:lang w:val="es-PE"/>
        </w:rPr>
        <w:t>, o</w:t>
      </w:r>
    </w:p>
    <w:p w:rsidR="00F239F4" w:rsidP="00B834F7" w:rsidRDefault="00F239F4" w14:paraId="39942605" w14:textId="77777777">
      <w:pPr>
        <w:ind w:left="1440"/>
        <w:jc w:val="both"/>
        <w:outlineLvl w:val="0"/>
        <w:rPr>
          <w:sz w:val="23"/>
          <w:szCs w:val="23"/>
          <w:lang w:val="es-PE"/>
        </w:rPr>
      </w:pPr>
      <w:r w:rsidRPr="00F239F4">
        <w:rPr>
          <w:i/>
          <w:iCs/>
          <w:sz w:val="23"/>
          <w:szCs w:val="23"/>
          <w:lang w:val="es-PE"/>
        </w:rPr>
        <w:t xml:space="preserve">b) </w:t>
      </w:r>
      <w:r w:rsidRPr="00F239F4">
        <w:rPr>
          <w:i/>
          <w:iCs/>
          <w:sz w:val="23"/>
          <w:szCs w:val="23"/>
          <w:lang w:val="es-PE"/>
        </w:rPr>
        <w:tab/>
      </w:r>
      <w:r w:rsidRPr="00F239F4">
        <w:rPr>
          <w:i/>
          <w:iCs/>
          <w:sz w:val="23"/>
          <w:szCs w:val="23"/>
          <w:lang w:val="es-PE"/>
        </w:rPr>
        <w:t xml:space="preserve">Pagando directamente al Asegurado o al Endosatario, según corresponda, una vez que se haya presentado la factura de reparación y/o liquidado las pérdidas, dentro del plazo de treinta (30) días de consentido el siniestro, el cual se consentirá una vez que la COMPAÑÍA haya aprobado el presupuesto de reparación o remediación de los daños o pérdidas físicas.» </w:t>
      </w:r>
      <w:r w:rsidRPr="00F239F4">
        <w:rPr>
          <w:sz w:val="23"/>
          <w:szCs w:val="23"/>
          <w:lang w:val="es-PE"/>
        </w:rPr>
        <w:t>(el énfasis es agregado)</w:t>
      </w:r>
    </w:p>
    <w:p w:rsidRPr="00F239F4" w:rsidR="00B834F7" w:rsidP="00F239F4" w:rsidRDefault="00B834F7" w14:paraId="024398F0" w14:textId="77777777">
      <w:pPr>
        <w:jc w:val="both"/>
        <w:outlineLvl w:val="0"/>
        <w:rPr>
          <w:i/>
          <w:iCs/>
          <w:sz w:val="23"/>
          <w:szCs w:val="23"/>
          <w:lang w:val="es-PE"/>
        </w:rPr>
      </w:pPr>
    </w:p>
    <w:p w:rsidR="00F239F4" w:rsidP="00F239F4" w:rsidRDefault="00F239F4" w14:paraId="03835BD2" w14:textId="77777777">
      <w:pPr>
        <w:jc w:val="both"/>
        <w:outlineLvl w:val="0"/>
        <w:rPr>
          <w:sz w:val="23"/>
          <w:szCs w:val="23"/>
          <w:lang w:val="es-PE"/>
        </w:rPr>
      </w:pPr>
      <w:r w:rsidRPr="00F239F4">
        <w:rPr>
          <w:sz w:val="23"/>
          <w:szCs w:val="23"/>
          <w:lang w:val="es-PE"/>
        </w:rPr>
        <w:t xml:space="preserve">Como se desprende de la Condiciones Generales de la Póliza citados, el daño ocurrido en el faro delantero derecho del vehículo asegurado constituye una pérdida parcial que puede ser indemnizado por la empresa aseguradora ya sea a través de la reparación o con la reposición </w:t>
      </w:r>
      <w:proofErr w:type="gramStart"/>
      <w:r w:rsidRPr="00F239F4">
        <w:rPr>
          <w:sz w:val="23"/>
          <w:szCs w:val="23"/>
          <w:lang w:val="es-PE"/>
        </w:rPr>
        <w:t>del mismo</w:t>
      </w:r>
      <w:proofErr w:type="gramEnd"/>
      <w:r w:rsidRPr="00F239F4">
        <w:rPr>
          <w:sz w:val="23"/>
          <w:szCs w:val="23"/>
          <w:lang w:val="es-PE"/>
        </w:rPr>
        <w:t xml:space="preserve">. Cómo se observa, la Póliza no establece algún dispositivo que sitúe al asegurado en la capacidad de decidir cuál es la indemnización que prefiere (reparación o reposición), por lo tanto, entendemos que es la empresa aseguradora la que debe optar entre las opciones señaladas, mecanismo que por otro lado evita que el asegurado arbitre entre las dos opciones indemnizatorias.     </w:t>
      </w:r>
    </w:p>
    <w:p w:rsidRPr="00F239F4" w:rsidR="00B834F7" w:rsidP="00F239F4" w:rsidRDefault="00B834F7" w14:paraId="4BFB5E30" w14:textId="77777777">
      <w:pPr>
        <w:jc w:val="both"/>
        <w:outlineLvl w:val="0"/>
        <w:rPr>
          <w:sz w:val="23"/>
          <w:szCs w:val="23"/>
          <w:lang w:val="es-PE"/>
        </w:rPr>
      </w:pPr>
    </w:p>
    <w:p w:rsidRPr="00F239F4" w:rsidR="00F239F4" w:rsidP="00F239F4" w:rsidRDefault="00F239F4" w14:paraId="61663E23" w14:textId="77777777">
      <w:pPr>
        <w:jc w:val="both"/>
        <w:outlineLvl w:val="0"/>
        <w:rPr>
          <w:sz w:val="23"/>
          <w:szCs w:val="23"/>
          <w:lang w:val="es-PE"/>
        </w:rPr>
      </w:pPr>
      <w:r w:rsidRPr="00F239F4">
        <w:rPr>
          <w:b/>
          <w:bCs/>
          <w:sz w:val="23"/>
          <w:szCs w:val="23"/>
          <w:u w:val="single"/>
          <w:lang w:val="es-PE"/>
        </w:rPr>
        <w:t>VIGÉSIMOSEGUNDO</w:t>
      </w:r>
      <w:r w:rsidRPr="00F239F4">
        <w:rPr>
          <w:sz w:val="23"/>
          <w:szCs w:val="23"/>
          <w:lang w:val="es-PE"/>
        </w:rPr>
        <w:t>: Este Colegiado considera que con la reparación del faro (si se realiza de forma prolija en un concesionario autorizado) se cumple con compensar el daño sufrido por el asegurado, de forma tal que se obtiene la restitución del bien afectado en el estado que se encontraba en el instante previo a la ocurrencia del siniestro que lo dañó. </w:t>
      </w:r>
    </w:p>
    <w:p w:rsidR="00F239F4" w:rsidP="00F239F4" w:rsidRDefault="00F239F4" w14:paraId="2A6A9D0F" w14:textId="77777777">
      <w:pPr>
        <w:jc w:val="both"/>
        <w:outlineLvl w:val="0"/>
        <w:rPr>
          <w:sz w:val="23"/>
          <w:szCs w:val="23"/>
          <w:lang w:val="es-PE"/>
        </w:rPr>
      </w:pPr>
      <w:r w:rsidRPr="00F239F4">
        <w:rPr>
          <w:sz w:val="23"/>
          <w:szCs w:val="23"/>
          <w:lang w:val="es-PE"/>
        </w:rPr>
        <w:t>Que, en consecuencia, esta Defensoría del Asegurado concluye su apreciación razonada y conjunta al amparo de lo establecido en su Reglamento, por lo que:</w:t>
      </w:r>
    </w:p>
    <w:p w:rsidRPr="00F239F4" w:rsidR="00B834F7" w:rsidP="00F239F4" w:rsidRDefault="00B834F7" w14:paraId="4D115C71" w14:textId="77777777">
      <w:pPr>
        <w:jc w:val="both"/>
        <w:outlineLvl w:val="0"/>
        <w:rPr>
          <w:sz w:val="23"/>
          <w:szCs w:val="23"/>
          <w:lang w:val="es-PE"/>
        </w:rPr>
      </w:pPr>
    </w:p>
    <w:p w:rsidR="00F239F4" w:rsidP="00F239F4" w:rsidRDefault="00F239F4" w14:paraId="571801D8" w14:textId="77777777">
      <w:pPr>
        <w:jc w:val="both"/>
        <w:outlineLvl w:val="0"/>
        <w:rPr>
          <w:b/>
          <w:bCs/>
          <w:sz w:val="23"/>
          <w:szCs w:val="23"/>
          <w:lang w:val="es-PE"/>
        </w:rPr>
      </w:pPr>
      <w:r w:rsidRPr="00F239F4">
        <w:rPr>
          <w:b/>
          <w:bCs/>
          <w:sz w:val="23"/>
          <w:szCs w:val="23"/>
          <w:lang w:val="es-PE"/>
        </w:rPr>
        <w:t>RESUELVE:</w:t>
      </w:r>
    </w:p>
    <w:p w:rsidRPr="00F239F4" w:rsidR="00F955B8" w:rsidP="00F239F4" w:rsidRDefault="00F955B8" w14:paraId="6BE442EF" w14:textId="77777777">
      <w:pPr>
        <w:jc w:val="both"/>
        <w:outlineLvl w:val="0"/>
        <w:rPr>
          <w:b/>
          <w:bCs/>
          <w:sz w:val="23"/>
          <w:szCs w:val="23"/>
          <w:u w:val="single"/>
          <w:lang w:val="es-PE"/>
        </w:rPr>
      </w:pPr>
    </w:p>
    <w:p w:rsidR="00F239F4" w:rsidP="00F239F4" w:rsidRDefault="00F239F4" w14:paraId="4F0B9A8D" w14:textId="0020FEC3">
      <w:pPr>
        <w:jc w:val="both"/>
        <w:outlineLvl w:val="0"/>
        <w:rPr>
          <w:sz w:val="23"/>
          <w:szCs w:val="23"/>
          <w:lang w:val="es-PE"/>
        </w:rPr>
      </w:pPr>
      <w:r w:rsidRPr="4FAF2335" w:rsidR="00F239F4">
        <w:rPr>
          <w:sz w:val="23"/>
          <w:szCs w:val="23"/>
          <w:lang w:val="es-PE"/>
        </w:rPr>
        <w:t xml:space="preserve">Declarar </w:t>
      </w:r>
      <w:r w:rsidRPr="4FAF2335" w:rsidR="00F239F4">
        <w:rPr>
          <w:b w:val="1"/>
          <w:bCs w:val="1"/>
          <w:sz w:val="23"/>
          <w:szCs w:val="23"/>
          <w:lang w:val="es-PE"/>
        </w:rPr>
        <w:t>FUNDADA EN PARTE</w:t>
      </w:r>
      <w:r w:rsidRPr="4FAF2335" w:rsidR="00F239F4">
        <w:rPr>
          <w:sz w:val="23"/>
          <w:szCs w:val="23"/>
          <w:lang w:val="es-PE"/>
        </w:rPr>
        <w:t> la reclamación presentada por el señor </w:t>
      </w:r>
      <w:r w:rsidRPr="4FAF2335" w:rsidR="4893333C">
        <w:rPr>
          <w:b w:val="1"/>
          <w:bCs w:val="1"/>
          <w:sz w:val="23"/>
          <w:szCs w:val="23"/>
          <w:lang w:val="es-PE"/>
        </w:rPr>
        <w:t>...................................</w:t>
      </w:r>
      <w:r w:rsidRPr="4FAF2335" w:rsidR="00F239F4">
        <w:rPr>
          <w:b w:val="1"/>
          <w:bCs w:val="1"/>
          <w:sz w:val="23"/>
          <w:szCs w:val="23"/>
          <w:lang w:val="es-PE"/>
        </w:rPr>
        <w:t xml:space="preserve"> </w:t>
      </w:r>
      <w:r w:rsidRPr="4FAF2335" w:rsidR="3CB3EFB6">
        <w:rPr>
          <w:b w:val="1"/>
          <w:bCs w:val="1"/>
          <w:sz w:val="23"/>
          <w:szCs w:val="23"/>
          <w:lang w:val="es-PE"/>
        </w:rPr>
        <w:t>..................................................</w:t>
      </w:r>
      <w:r w:rsidRPr="4FAF2335" w:rsidR="00F239F4">
        <w:rPr>
          <w:sz w:val="23"/>
          <w:szCs w:val="23"/>
          <w:lang w:val="es-PE"/>
        </w:rPr>
        <w:t> contra </w:t>
      </w:r>
      <w:r w:rsidRPr="4FAF2335" w:rsidR="2A4841BA">
        <w:rPr>
          <w:b w:val="1"/>
          <w:bCs w:val="1"/>
          <w:sz w:val="23"/>
          <w:szCs w:val="23"/>
          <w:lang w:val="es-PE"/>
        </w:rPr>
        <w:t>....................................................................</w:t>
      </w:r>
      <w:r w:rsidRPr="4FAF2335" w:rsidR="00F239F4">
        <w:rPr>
          <w:sz w:val="23"/>
          <w:szCs w:val="23"/>
          <w:lang w:val="es-PE"/>
        </w:rPr>
        <w:t>, en el extremo que corresponde otorgar cobertura al siniestro respecto del faro delantero derecho dañado con motivo del siniestro ocurrido el 15 de octubre de 2024; e, </w:t>
      </w:r>
      <w:r w:rsidRPr="4FAF2335" w:rsidR="00F239F4">
        <w:rPr>
          <w:b w:val="1"/>
          <w:bCs w:val="1"/>
          <w:sz w:val="23"/>
          <w:szCs w:val="23"/>
          <w:lang w:val="es-PE"/>
        </w:rPr>
        <w:t>INFUNDADA</w:t>
      </w:r>
      <w:r w:rsidRPr="4FAF2335" w:rsidR="00F239F4">
        <w:rPr>
          <w:sz w:val="23"/>
          <w:szCs w:val="23"/>
          <w:lang w:val="es-PE"/>
        </w:rPr>
        <w:t xml:space="preserve"> la reclamación respecto de la solicitud de reemplazo de dicho faro delantero derecho, en tanto la aseguradora puede otorgar </w:t>
      </w:r>
      <w:r w:rsidRPr="4FAF2335" w:rsidR="00F239F4">
        <w:rPr>
          <w:sz w:val="23"/>
          <w:szCs w:val="23"/>
          <w:lang w:val="es-PE"/>
        </w:rPr>
        <w:t>cobertura  de</w:t>
      </w:r>
      <w:r w:rsidRPr="4FAF2335" w:rsidR="00F239F4">
        <w:rPr>
          <w:sz w:val="23"/>
          <w:szCs w:val="23"/>
          <w:lang w:val="es-PE"/>
        </w:rPr>
        <w:t xml:space="preserve"> acuerdo con las condiciones de la Póliza Vehicular </w:t>
      </w:r>
      <w:r w:rsidRPr="4FAF2335" w:rsidR="00F239F4">
        <w:rPr>
          <w:sz w:val="23"/>
          <w:szCs w:val="23"/>
          <w:lang w:val="es-PE"/>
        </w:rPr>
        <w:t>n.°</w:t>
      </w:r>
      <w:r w:rsidRPr="4FAF2335" w:rsidR="00F239F4">
        <w:rPr>
          <w:sz w:val="23"/>
          <w:szCs w:val="23"/>
          <w:lang w:val="es-PE"/>
        </w:rPr>
        <w:t xml:space="preserve"> </w:t>
      </w:r>
      <w:r w:rsidRPr="4FAF2335" w:rsidR="707060F7">
        <w:rPr>
          <w:sz w:val="23"/>
          <w:szCs w:val="23"/>
          <w:lang w:val="es-PE"/>
        </w:rPr>
        <w:t>..................................</w:t>
      </w:r>
      <w:r w:rsidRPr="4FAF2335" w:rsidR="00F239F4">
        <w:rPr>
          <w:sz w:val="23"/>
          <w:szCs w:val="23"/>
          <w:lang w:val="es-PE"/>
        </w:rPr>
        <w:t xml:space="preserve"> de acuerdo con lo señalado en la presente resolución.</w:t>
      </w:r>
    </w:p>
    <w:p w:rsidRPr="00F239F4" w:rsidR="00F955B8" w:rsidP="00F239F4" w:rsidRDefault="00F955B8" w14:paraId="305D8459" w14:textId="77777777">
      <w:pPr>
        <w:jc w:val="both"/>
        <w:outlineLvl w:val="0"/>
        <w:rPr>
          <w:sz w:val="23"/>
          <w:szCs w:val="23"/>
          <w:lang w:val="es-PE"/>
        </w:rPr>
      </w:pPr>
    </w:p>
    <w:p w:rsidRPr="00247BE2" w:rsidR="00804FBA" w:rsidP="00425565" w:rsidRDefault="00F15FBA" w14:paraId="0B8F9BB3" w14:textId="1B1C3F8E">
      <w:pPr>
        <w:jc w:val="right"/>
        <w:outlineLvl w:val="0"/>
        <w:rPr>
          <w:sz w:val="23"/>
          <w:szCs w:val="23"/>
          <w:lang w:val="es-PE"/>
        </w:rPr>
      </w:pPr>
      <w:r w:rsidRPr="00247BE2">
        <w:rPr>
          <w:sz w:val="23"/>
          <w:szCs w:val="23"/>
          <w:lang w:val="es-PE"/>
        </w:rPr>
        <w:t>Lima,</w:t>
      </w:r>
      <w:r w:rsidRPr="00247BE2" w:rsidR="009D4785">
        <w:rPr>
          <w:sz w:val="23"/>
          <w:szCs w:val="23"/>
          <w:lang w:val="es-PE"/>
        </w:rPr>
        <w:t xml:space="preserve"> </w:t>
      </w:r>
      <w:r w:rsidR="00421605">
        <w:rPr>
          <w:sz w:val="23"/>
          <w:szCs w:val="23"/>
          <w:lang w:val="es-PE"/>
        </w:rPr>
        <w:t>27</w:t>
      </w:r>
      <w:r w:rsidRPr="00247BE2" w:rsidR="00C70C36">
        <w:rPr>
          <w:sz w:val="23"/>
          <w:szCs w:val="23"/>
          <w:lang w:val="es-PE"/>
        </w:rPr>
        <w:t xml:space="preserve"> </w:t>
      </w:r>
      <w:r w:rsidRPr="00247BE2">
        <w:rPr>
          <w:sz w:val="23"/>
          <w:szCs w:val="23"/>
          <w:lang w:val="es-PE"/>
        </w:rPr>
        <w:t>de</w:t>
      </w:r>
      <w:r w:rsidRPr="00247BE2" w:rsidR="001631D6">
        <w:rPr>
          <w:sz w:val="23"/>
          <w:szCs w:val="23"/>
          <w:lang w:val="es-PE"/>
        </w:rPr>
        <w:t xml:space="preserve"> </w:t>
      </w:r>
      <w:r w:rsidRPr="00247BE2" w:rsidR="005018BF">
        <w:rPr>
          <w:sz w:val="23"/>
          <w:szCs w:val="23"/>
          <w:lang w:val="es-PE"/>
        </w:rPr>
        <w:t>junio</w:t>
      </w:r>
      <w:r w:rsidRPr="00247BE2" w:rsidR="001631D6">
        <w:rPr>
          <w:sz w:val="23"/>
          <w:szCs w:val="23"/>
          <w:lang w:val="es-PE"/>
        </w:rPr>
        <w:t xml:space="preserve"> </w:t>
      </w:r>
      <w:r w:rsidRPr="00247BE2">
        <w:rPr>
          <w:sz w:val="23"/>
          <w:szCs w:val="23"/>
          <w:lang w:val="es-PE"/>
        </w:rPr>
        <w:t>de 20</w:t>
      </w:r>
      <w:r w:rsidRPr="00247BE2" w:rsidR="001631D6">
        <w:rPr>
          <w:sz w:val="23"/>
          <w:szCs w:val="23"/>
          <w:lang w:val="es-PE"/>
        </w:rPr>
        <w:t>2</w:t>
      </w:r>
      <w:r w:rsidRPr="00247BE2" w:rsidR="0073373B">
        <w:rPr>
          <w:sz w:val="23"/>
          <w:szCs w:val="23"/>
          <w:lang w:val="es-PE"/>
        </w:rPr>
        <w:t>5</w:t>
      </w:r>
    </w:p>
    <w:p w:rsidRPr="00247BE2" w:rsidR="00804FBA" w:rsidP="00425565" w:rsidRDefault="00804FBA" w14:paraId="2C8A5CBC" w14:textId="77777777">
      <w:pPr>
        <w:jc w:val="both"/>
        <w:rPr>
          <w:b/>
          <w:bCs/>
          <w:i/>
          <w:iCs/>
          <w:sz w:val="23"/>
          <w:szCs w:val="23"/>
          <w:lang w:val="es-ES_tradnl"/>
        </w:rPr>
      </w:pPr>
    </w:p>
    <w:p w:rsidRPr="00247BE2" w:rsidR="003F73A8" w:rsidP="00425565" w:rsidRDefault="003F73A8" w14:paraId="00714C2C" w14:textId="77777777">
      <w:pPr>
        <w:jc w:val="both"/>
        <w:rPr>
          <w:b/>
          <w:bCs/>
          <w:i/>
          <w:iCs/>
          <w:sz w:val="23"/>
          <w:szCs w:val="23"/>
          <w:lang w:val="es-ES_tradnl"/>
        </w:rPr>
      </w:pPr>
      <w:r w:rsidRPr="00247BE2">
        <w:rPr>
          <w:b/>
          <w:bCs/>
          <w:i/>
          <w:iCs/>
          <w:sz w:val="23"/>
          <w:szCs w:val="23"/>
          <w:lang w:val="es-ES_tradnl"/>
        </w:rPr>
        <w:t>La Secretaría Técnica certifica que la presente resolución cuenta con el voto de los vocales cuyos nombres figuran en el presente documento.</w:t>
      </w:r>
    </w:p>
    <w:p w:rsidRPr="00247BE2" w:rsidR="00707C3F" w:rsidP="00247BE2" w:rsidRDefault="00707C3F" w14:paraId="52D37E4A" w14:textId="77777777">
      <w:pPr>
        <w:spacing w:line="360" w:lineRule="auto"/>
        <w:jc w:val="both"/>
        <w:rPr>
          <w:b/>
          <w:bCs/>
          <w:i/>
          <w:iCs/>
          <w:sz w:val="23"/>
          <w:szCs w:val="23"/>
          <w:lang w:val="es-ES_tradnl"/>
        </w:rPr>
      </w:pPr>
    </w:p>
    <w:p w:rsidRPr="00247BE2" w:rsidR="00707C3F" w:rsidP="00247BE2" w:rsidRDefault="00707C3F" w14:paraId="30ED2D98" w14:textId="547A44C6">
      <w:pPr>
        <w:spacing w:line="360" w:lineRule="auto"/>
        <w:jc w:val="center"/>
        <w:rPr>
          <w:b/>
          <w:bCs/>
          <w:sz w:val="23"/>
          <w:szCs w:val="23"/>
        </w:rPr>
      </w:pPr>
      <w:r w:rsidRPr="00247BE2">
        <w:rPr>
          <w:b/>
          <w:bCs/>
          <w:sz w:val="23"/>
          <w:szCs w:val="23"/>
        </w:rPr>
        <w:t xml:space="preserve">Rolando Eyzaguirre </w:t>
      </w:r>
      <w:proofErr w:type="spellStart"/>
      <w:r w:rsidRPr="00247BE2">
        <w:rPr>
          <w:b/>
          <w:bCs/>
          <w:sz w:val="23"/>
          <w:szCs w:val="23"/>
        </w:rPr>
        <w:t>Maccan</w:t>
      </w:r>
      <w:proofErr w:type="spellEnd"/>
      <w:r w:rsidRPr="00247BE2">
        <w:rPr>
          <w:b/>
          <w:bCs/>
          <w:sz w:val="23"/>
          <w:szCs w:val="23"/>
        </w:rPr>
        <w:t xml:space="preserve"> – </w:t>
      </w:r>
      <w:proofErr w:type="gramStart"/>
      <w:r w:rsidRPr="00247BE2" w:rsidR="00E4456F">
        <w:rPr>
          <w:b/>
          <w:bCs/>
          <w:sz w:val="23"/>
          <w:szCs w:val="23"/>
        </w:rPr>
        <w:t>Presidente</w:t>
      </w:r>
      <w:proofErr w:type="gramEnd"/>
    </w:p>
    <w:p w:rsidRPr="00247BE2" w:rsidR="00BB4CEC" w:rsidP="00247BE2" w:rsidRDefault="00BB4CEC" w14:paraId="01720D6D" w14:textId="7AD41673">
      <w:pPr>
        <w:spacing w:line="360" w:lineRule="auto"/>
        <w:jc w:val="center"/>
        <w:rPr>
          <w:b/>
          <w:bCs/>
          <w:sz w:val="23"/>
          <w:szCs w:val="23"/>
        </w:rPr>
      </w:pPr>
      <w:r w:rsidRPr="00247BE2">
        <w:rPr>
          <w:b/>
          <w:bCs/>
          <w:sz w:val="23"/>
          <w:szCs w:val="23"/>
        </w:rPr>
        <w:t>María Eugenia Valdez Fernández Baca –</w:t>
      </w:r>
      <w:r w:rsidRPr="00247BE2" w:rsidR="00E4456F">
        <w:rPr>
          <w:b/>
          <w:bCs/>
          <w:sz w:val="23"/>
          <w:szCs w:val="23"/>
        </w:rPr>
        <w:t xml:space="preserve"> Vocal</w:t>
      </w:r>
      <w:r w:rsidRPr="00247BE2">
        <w:rPr>
          <w:b/>
          <w:bCs/>
          <w:sz w:val="23"/>
          <w:szCs w:val="23"/>
        </w:rPr>
        <w:t xml:space="preserve"> </w:t>
      </w:r>
    </w:p>
    <w:p w:rsidRPr="00247BE2" w:rsidR="00DD0E29" w:rsidP="00247BE2" w:rsidRDefault="00AD20C0" w14:paraId="487074CF" w14:textId="11EAC2F0">
      <w:pPr>
        <w:spacing w:line="360" w:lineRule="auto"/>
        <w:jc w:val="center"/>
        <w:rPr>
          <w:b/>
          <w:bCs/>
          <w:sz w:val="23"/>
          <w:szCs w:val="23"/>
        </w:rPr>
      </w:pPr>
      <w:r w:rsidRPr="00247BE2">
        <w:rPr>
          <w:b/>
          <w:bCs/>
          <w:sz w:val="23"/>
          <w:szCs w:val="23"/>
        </w:rPr>
        <w:t>Antonio José Rodríguez Lobatón – Vocal</w:t>
      </w:r>
    </w:p>
    <w:p w:rsidRPr="008E0099"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21435" w:rsidP="005F148C" w:rsidRDefault="00621435" w14:paraId="31547262" w14:textId="77777777">
      <w:r>
        <w:separator/>
      </w:r>
    </w:p>
  </w:endnote>
  <w:endnote w:type="continuationSeparator" w:id="0">
    <w:p w:rsidR="00621435" w:rsidP="005F148C" w:rsidRDefault="00621435" w14:paraId="29DDFF6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21435" w:rsidP="005F148C" w:rsidRDefault="00621435" w14:paraId="790B54F1" w14:textId="77777777">
      <w:r>
        <w:separator/>
      </w:r>
    </w:p>
  </w:footnote>
  <w:footnote w:type="continuationSeparator" w:id="0">
    <w:p w:rsidR="00621435" w:rsidP="005F148C" w:rsidRDefault="00621435" w14:paraId="5957D983" w14:textId="77777777">
      <w:r>
        <w:continuationSeparator/>
      </w:r>
    </w:p>
  </w:footnote>
  <w:footnote w:id="1">
    <w:p w:rsidRPr="00237AB1" w:rsidR="00F239F4" w:rsidP="00F239F4" w:rsidRDefault="00F239F4" w14:paraId="0B350052" w14:textId="77777777">
      <w:pPr>
        <w:pStyle w:val="Textonotapie"/>
        <w:tabs>
          <w:tab w:val="left" w:pos="284"/>
        </w:tabs>
        <w:spacing w:after="120"/>
        <w:ind w:left="284" w:hanging="284"/>
        <w:rPr>
          <w:sz w:val="18"/>
          <w:szCs w:val="18"/>
          <w:lang w:val="es-MX"/>
        </w:rPr>
      </w:pPr>
      <w:r>
        <w:rPr>
          <w:rStyle w:val="Refdenotaalpie"/>
          <w:rFonts w:ascii="Georgia" w:hAnsi="Georgia"/>
        </w:rPr>
        <w:footnoteRef/>
      </w:r>
      <w:r>
        <w:rPr>
          <w:rFonts w:ascii="Georgia" w:hAnsi="Georgia"/>
        </w:rPr>
        <w:t xml:space="preserve"> </w:t>
      </w:r>
      <w:r>
        <w:rPr>
          <w:rFonts w:ascii="Georgia" w:hAnsi="Georgia"/>
        </w:rPr>
        <w:tab/>
      </w:r>
      <w:hyperlink w:history="1" r:id="rId1">
        <w:r w:rsidRPr="00237AB1">
          <w:rPr>
            <w:rStyle w:val="Hipervnculo"/>
            <w:rFonts w:eastAsia="Arial Unicode MS"/>
            <w:sz w:val="18"/>
            <w:szCs w:val="18"/>
            <w:lang w:val="es-PE"/>
          </w:rPr>
          <w:t>http://www.defaseg.com.pe/reglamento</w:t>
        </w:r>
      </w:hyperlink>
      <w:r w:rsidRPr="00237AB1">
        <w:rPr>
          <w:rFonts w:eastAsia="Arial Unicode MS"/>
          <w:sz w:val="18"/>
          <w:szCs w:val="18"/>
          <w:lang w:val="es-PE"/>
        </w:rPr>
        <w:t xml:space="preserve"> </w:t>
      </w:r>
    </w:p>
  </w:footnote>
  <w:footnote w:id="2">
    <w:p w:rsidRPr="00237AB1" w:rsidR="00F239F4" w:rsidP="00F239F4" w:rsidRDefault="00F239F4" w14:paraId="0B5A0F40" w14:textId="77777777">
      <w:pPr>
        <w:pStyle w:val="Textonotapie"/>
        <w:tabs>
          <w:tab w:val="left" w:pos="284"/>
        </w:tabs>
        <w:spacing w:after="60"/>
        <w:ind w:left="284" w:hanging="284"/>
        <w:rPr>
          <w:rStyle w:val="Hipervnculo"/>
          <w:color w:val="000000" w:themeColor="text1"/>
          <w:sz w:val="18"/>
          <w:szCs w:val="18"/>
          <w:lang w:val="es-PE"/>
        </w:rPr>
      </w:pPr>
      <w:r w:rsidRPr="00237AB1">
        <w:rPr>
          <w:rStyle w:val="Refdenotaalpie"/>
          <w:sz w:val="18"/>
          <w:szCs w:val="18"/>
        </w:rPr>
        <w:footnoteRef/>
      </w:r>
      <w:r w:rsidRPr="00237AB1">
        <w:rPr>
          <w:sz w:val="18"/>
          <w:szCs w:val="18"/>
          <w:lang w:val="es-PE"/>
        </w:rPr>
        <w:t xml:space="preserve"> </w:t>
      </w:r>
      <w:r w:rsidRPr="00237AB1">
        <w:rPr>
          <w:sz w:val="18"/>
          <w:szCs w:val="18"/>
          <w:lang w:val="es-PE"/>
        </w:rPr>
        <w:tab/>
      </w:r>
      <w:r w:rsidRPr="00237AB1">
        <w:rPr>
          <w:rStyle w:val="Hipervnculo"/>
          <w:b/>
          <w:bCs/>
          <w:color w:val="000000" w:themeColor="text1"/>
          <w:sz w:val="18"/>
          <w:szCs w:val="18"/>
          <w:lang w:val="es-PE"/>
        </w:rPr>
        <w:t>Ley del Contrato de Seguro</w:t>
      </w:r>
    </w:p>
    <w:p w:rsidRPr="00237AB1" w:rsidR="00F239F4" w:rsidP="00F239F4" w:rsidRDefault="00F239F4" w14:paraId="1907CC57" w14:textId="77777777">
      <w:pPr>
        <w:pStyle w:val="Textonotapie"/>
        <w:tabs>
          <w:tab w:val="left" w:pos="284"/>
        </w:tabs>
        <w:spacing w:after="60"/>
        <w:ind w:left="284" w:hanging="284"/>
        <w:rPr>
          <w:rStyle w:val="Hipervnculo"/>
          <w:b/>
          <w:bCs/>
          <w:color w:val="000000" w:themeColor="text1"/>
          <w:sz w:val="18"/>
          <w:szCs w:val="18"/>
          <w:lang w:val="es-PE"/>
        </w:rPr>
      </w:pPr>
      <w:r w:rsidRPr="00237AB1">
        <w:rPr>
          <w:rStyle w:val="Hipervnculo"/>
          <w:b/>
          <w:bCs/>
          <w:color w:val="000000" w:themeColor="text1"/>
          <w:sz w:val="18"/>
          <w:szCs w:val="18"/>
          <w:lang w:val="es-PE"/>
        </w:rPr>
        <w:tab/>
      </w:r>
      <w:r w:rsidRPr="00237AB1">
        <w:rPr>
          <w:rStyle w:val="Hipervnculo"/>
          <w:b/>
          <w:bCs/>
          <w:color w:val="000000" w:themeColor="text1"/>
          <w:sz w:val="18"/>
          <w:szCs w:val="18"/>
          <w:lang w:val="es-PE"/>
        </w:rPr>
        <w:t>Artículo 1o.- Definición</w:t>
      </w:r>
    </w:p>
    <w:p w:rsidRPr="00237AB1" w:rsidR="00F239F4" w:rsidP="00F239F4" w:rsidRDefault="00F239F4" w14:paraId="5B36E106" w14:textId="77777777">
      <w:pPr>
        <w:pStyle w:val="Textonotapie"/>
        <w:tabs>
          <w:tab w:val="left" w:pos="284"/>
        </w:tabs>
        <w:spacing w:after="120"/>
        <w:ind w:left="284" w:hanging="284"/>
        <w:rPr>
          <w:rStyle w:val="Hipervnculo"/>
          <w:color w:val="000000" w:themeColor="text1"/>
          <w:sz w:val="18"/>
          <w:szCs w:val="18"/>
          <w:lang w:val="es-PE"/>
        </w:rPr>
      </w:pPr>
      <w:r w:rsidRPr="00237AB1">
        <w:rPr>
          <w:rStyle w:val="Hipervnculo"/>
          <w:color w:val="000000" w:themeColor="text1"/>
          <w:sz w:val="18"/>
          <w:szCs w:val="18"/>
          <w:lang w:val="es-PE"/>
        </w:rPr>
        <w:tab/>
      </w:r>
      <w:r w:rsidRPr="00237AB1">
        <w:rPr>
          <w:rStyle w:val="Hipervnculo"/>
          <w:color w:val="000000" w:themeColor="text1"/>
          <w:sz w:val="18"/>
          <w:szCs w:val="18"/>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3">
    <w:p w:rsidRPr="00237AB1" w:rsidR="00F239F4" w:rsidP="00F239F4" w:rsidRDefault="00F239F4" w14:paraId="63637E97" w14:textId="77777777">
      <w:pPr>
        <w:pStyle w:val="Textonotapie"/>
        <w:tabs>
          <w:tab w:val="left" w:pos="284"/>
        </w:tabs>
        <w:spacing w:after="120"/>
        <w:ind w:left="284" w:hanging="284"/>
        <w:rPr>
          <w:b/>
          <w:bCs/>
          <w:sz w:val="18"/>
          <w:szCs w:val="18"/>
        </w:rPr>
      </w:pPr>
      <w:r w:rsidRPr="00237AB1">
        <w:rPr>
          <w:rStyle w:val="Refdenotaalpie"/>
          <w:sz w:val="18"/>
          <w:szCs w:val="18"/>
        </w:rPr>
        <w:footnoteRef/>
      </w:r>
      <w:r w:rsidRPr="00237AB1">
        <w:rPr>
          <w:sz w:val="18"/>
          <w:szCs w:val="18"/>
          <w:lang w:val="es-PE"/>
        </w:rPr>
        <w:t xml:space="preserve"> </w:t>
      </w:r>
      <w:r w:rsidRPr="00237AB1">
        <w:rPr>
          <w:sz w:val="18"/>
          <w:szCs w:val="18"/>
          <w:lang w:val="es-PE"/>
        </w:rPr>
        <w:tab/>
      </w:r>
      <w:r w:rsidRPr="00237AB1">
        <w:rPr>
          <w:b/>
          <w:bCs/>
          <w:sz w:val="18"/>
          <w:szCs w:val="18"/>
          <w:lang w:val="es-PE"/>
        </w:rPr>
        <w:t>Código Civil</w:t>
      </w:r>
    </w:p>
    <w:p w:rsidRPr="00237AB1" w:rsidR="00F239F4" w:rsidP="00F239F4" w:rsidRDefault="00F239F4" w14:paraId="7AFC57C5" w14:textId="77777777">
      <w:pPr>
        <w:pStyle w:val="Textonotapie"/>
        <w:tabs>
          <w:tab w:val="left" w:pos="284"/>
        </w:tabs>
        <w:spacing w:after="120"/>
        <w:ind w:left="284" w:hanging="284"/>
        <w:rPr>
          <w:sz w:val="18"/>
          <w:szCs w:val="18"/>
          <w:lang w:val="es-PE"/>
        </w:rPr>
      </w:pPr>
      <w:r w:rsidRPr="00237AB1">
        <w:rPr>
          <w:b/>
          <w:bCs/>
          <w:sz w:val="18"/>
          <w:szCs w:val="18"/>
          <w:lang w:val="es-PE"/>
        </w:rPr>
        <w:tab/>
      </w:r>
      <w:r w:rsidRPr="00237AB1">
        <w:rPr>
          <w:b/>
          <w:bCs/>
          <w:sz w:val="18"/>
          <w:szCs w:val="18"/>
          <w:lang w:val="es-PE"/>
        </w:rPr>
        <w:t>Artículo 1361.-</w:t>
      </w:r>
      <w:r w:rsidRPr="00237AB1">
        <w:rPr>
          <w:sz w:val="18"/>
          <w:szCs w:val="18"/>
          <w:lang w:val="es-PE"/>
        </w:rPr>
        <w:t> Los contratos son obligatorios en cuanto se haya expresado en ellos.</w:t>
      </w:r>
    </w:p>
    <w:p w:rsidRPr="00237AB1" w:rsidR="00F239F4" w:rsidP="00F239F4" w:rsidRDefault="00F239F4" w14:paraId="3DC01681" w14:textId="77777777">
      <w:pPr>
        <w:pStyle w:val="Textonotapie"/>
        <w:tabs>
          <w:tab w:val="left" w:pos="284"/>
        </w:tabs>
        <w:spacing w:after="120"/>
        <w:ind w:left="284" w:hanging="284"/>
        <w:rPr>
          <w:sz w:val="18"/>
          <w:szCs w:val="18"/>
          <w:lang w:val="es-PE"/>
        </w:rPr>
      </w:pPr>
      <w:r w:rsidRPr="00237AB1">
        <w:rPr>
          <w:sz w:val="18"/>
          <w:szCs w:val="18"/>
          <w:lang w:val="es-PE"/>
        </w:rPr>
        <w:tab/>
      </w:r>
      <w:r w:rsidRPr="00237AB1">
        <w:rPr>
          <w:sz w:val="18"/>
          <w:szCs w:val="18"/>
          <w:lang w:val="es-PE"/>
        </w:rPr>
        <w:t>Se presume que la declaración expresada en el contrato responde a la voluntad común de las partes y quien niegue esa coincidencia debe probarla.</w:t>
      </w:r>
    </w:p>
  </w:footnote>
  <w:footnote w:id="4">
    <w:p w:rsidRPr="00237AB1" w:rsidR="00F239F4" w:rsidP="00F239F4" w:rsidRDefault="00F239F4" w14:paraId="0D2C291C" w14:textId="77777777">
      <w:pPr>
        <w:pStyle w:val="Textonotapie"/>
        <w:tabs>
          <w:tab w:val="left" w:pos="284"/>
        </w:tabs>
        <w:spacing w:after="120"/>
        <w:ind w:left="284" w:hanging="284"/>
        <w:rPr>
          <w:b/>
          <w:bCs/>
          <w:sz w:val="18"/>
          <w:szCs w:val="18"/>
          <w:lang w:val="es-MX"/>
        </w:rPr>
      </w:pPr>
      <w:r w:rsidRPr="00237AB1">
        <w:rPr>
          <w:rStyle w:val="Refdenotaalpie"/>
          <w:sz w:val="18"/>
          <w:szCs w:val="18"/>
        </w:rPr>
        <w:footnoteRef/>
      </w:r>
      <w:r w:rsidRPr="00237AB1">
        <w:rPr>
          <w:sz w:val="18"/>
          <w:szCs w:val="18"/>
          <w:lang w:val="es-PE"/>
        </w:rPr>
        <w:t xml:space="preserve"> </w:t>
      </w:r>
      <w:r w:rsidRPr="00237AB1">
        <w:rPr>
          <w:sz w:val="18"/>
          <w:szCs w:val="18"/>
          <w:lang w:val="es-PE"/>
        </w:rPr>
        <w:tab/>
      </w:r>
      <w:r w:rsidRPr="00237AB1">
        <w:rPr>
          <w:b/>
          <w:bCs/>
          <w:sz w:val="18"/>
          <w:szCs w:val="18"/>
          <w:lang w:val="es-MX"/>
        </w:rPr>
        <w:t>Código Procesal Civil</w:t>
      </w:r>
    </w:p>
    <w:p w:rsidRPr="00237AB1" w:rsidR="00F239F4" w:rsidP="00F239F4" w:rsidRDefault="00F239F4" w14:paraId="7231CD44" w14:textId="77777777">
      <w:pPr>
        <w:pStyle w:val="Textonotapie"/>
        <w:tabs>
          <w:tab w:val="left" w:pos="284"/>
        </w:tabs>
        <w:spacing w:after="120"/>
        <w:ind w:left="284" w:hanging="284"/>
        <w:rPr>
          <w:sz w:val="18"/>
          <w:szCs w:val="18"/>
          <w:lang w:val="es-MX"/>
        </w:rPr>
      </w:pPr>
      <w:r w:rsidRPr="00237AB1">
        <w:rPr>
          <w:b/>
          <w:bCs/>
          <w:sz w:val="18"/>
          <w:szCs w:val="18"/>
          <w:lang w:val="es-MX"/>
        </w:rPr>
        <w:tab/>
      </w:r>
      <w:r w:rsidRPr="00237AB1">
        <w:rPr>
          <w:b/>
          <w:bCs/>
          <w:sz w:val="18"/>
          <w:szCs w:val="18"/>
          <w:lang w:val="es-MX"/>
        </w:rPr>
        <w:t xml:space="preserve">Artículo 196.- Carga de la </w:t>
      </w:r>
      <w:r w:rsidRPr="00237AB1">
        <w:rPr>
          <w:b/>
          <w:bCs/>
          <w:sz w:val="18"/>
          <w:szCs w:val="18"/>
          <w:lang w:val="es-MX"/>
        </w:rPr>
        <w:t>prueba.-</w:t>
      </w:r>
      <w:r w:rsidRPr="00237AB1">
        <w:rPr>
          <w:sz w:val="18"/>
          <w:szCs w:val="18"/>
          <w:lang w:val="es-MX"/>
        </w:rPr>
        <w:t xml:space="preserve"> Salvo disposición legal diferente, la carga de probar corresponde a quien afirma hechos que configuran su pretensión, o a quien los contradice alegando nuevos hechos.</w:t>
      </w:r>
    </w:p>
  </w:footnote>
  <w:footnote w:id="5">
    <w:p w:rsidRPr="00237AB1" w:rsidR="00F239F4" w:rsidP="00F239F4" w:rsidRDefault="00F239F4" w14:paraId="7B9CAF72" w14:textId="77777777">
      <w:pPr>
        <w:pStyle w:val="Textonotapie"/>
        <w:tabs>
          <w:tab w:val="left" w:pos="284"/>
        </w:tabs>
        <w:spacing w:after="120"/>
        <w:ind w:left="284" w:hanging="284"/>
        <w:rPr>
          <w:b/>
          <w:bCs/>
          <w:sz w:val="18"/>
          <w:szCs w:val="18"/>
          <w:lang w:val="es-MX"/>
        </w:rPr>
      </w:pPr>
      <w:r w:rsidRPr="00237AB1">
        <w:rPr>
          <w:rStyle w:val="Refdenotaalpie"/>
          <w:sz w:val="18"/>
          <w:szCs w:val="18"/>
        </w:rPr>
        <w:footnoteRef/>
      </w:r>
      <w:r w:rsidRPr="00237AB1">
        <w:rPr>
          <w:sz w:val="18"/>
          <w:szCs w:val="18"/>
        </w:rPr>
        <w:t xml:space="preserve"> </w:t>
      </w:r>
      <w:r w:rsidRPr="00237AB1">
        <w:rPr>
          <w:sz w:val="18"/>
          <w:szCs w:val="18"/>
        </w:rPr>
        <w:tab/>
      </w:r>
      <w:r w:rsidRPr="00237AB1">
        <w:rPr>
          <w:b/>
          <w:bCs/>
          <w:sz w:val="18"/>
          <w:szCs w:val="18"/>
        </w:rPr>
        <w:t>Reglamento de la DEFASEG</w:t>
      </w:r>
    </w:p>
    <w:p w:rsidRPr="00237AB1" w:rsidR="00F239F4" w:rsidP="00F239F4" w:rsidRDefault="00F239F4" w14:paraId="4503B175" w14:textId="77777777">
      <w:pPr>
        <w:pStyle w:val="Textonotapie"/>
        <w:tabs>
          <w:tab w:val="left" w:pos="284"/>
        </w:tabs>
        <w:spacing w:after="120"/>
        <w:ind w:left="284" w:hanging="284"/>
        <w:rPr>
          <w:rStyle w:val="Hipervnculo"/>
          <w:color w:val="000000" w:themeColor="text1"/>
          <w:sz w:val="18"/>
          <w:szCs w:val="18"/>
          <w:lang w:val="es-PE"/>
        </w:rPr>
      </w:pPr>
      <w:r w:rsidRPr="00237AB1">
        <w:rPr>
          <w:rStyle w:val="Hipervnculo"/>
          <w:b/>
          <w:bCs/>
          <w:color w:val="000000" w:themeColor="text1"/>
          <w:sz w:val="18"/>
          <w:szCs w:val="18"/>
          <w:lang w:val="es-PE"/>
        </w:rPr>
        <w:tab/>
      </w:r>
      <w:r w:rsidRPr="00237AB1">
        <w:rPr>
          <w:rStyle w:val="Hipervnculo"/>
          <w:b/>
          <w:bCs/>
          <w:color w:val="000000" w:themeColor="text1"/>
          <w:sz w:val="18"/>
          <w:szCs w:val="18"/>
          <w:lang w:val="es-PE"/>
        </w:rPr>
        <w:t xml:space="preserve">4. Competencia </w:t>
      </w:r>
    </w:p>
    <w:p w:rsidRPr="00237AB1" w:rsidR="00F239F4" w:rsidP="00F239F4" w:rsidRDefault="00F239F4" w14:paraId="39BBB7E3" w14:textId="77777777">
      <w:pPr>
        <w:pStyle w:val="Textonotapie"/>
        <w:tabs>
          <w:tab w:val="left" w:pos="284"/>
        </w:tabs>
        <w:spacing w:after="120"/>
        <w:ind w:left="284" w:hanging="284"/>
        <w:rPr>
          <w:rStyle w:val="Hipervnculo"/>
          <w:color w:val="000000" w:themeColor="text1"/>
          <w:sz w:val="18"/>
          <w:szCs w:val="18"/>
          <w:lang w:val="es-PE"/>
        </w:rPr>
      </w:pPr>
      <w:r w:rsidRPr="00237AB1">
        <w:rPr>
          <w:rStyle w:val="Hipervnculo"/>
          <w:color w:val="000000" w:themeColor="text1"/>
          <w:sz w:val="18"/>
          <w:szCs w:val="18"/>
          <w:lang w:val="es-PE"/>
        </w:rPr>
        <w:tab/>
      </w:r>
      <w:r w:rsidRPr="00237AB1">
        <w:rPr>
          <w:rStyle w:val="Hipervnculo"/>
          <w:color w:val="000000" w:themeColor="text1"/>
          <w:sz w:val="18"/>
          <w:szCs w:val="18"/>
          <w:lang w:val="es-PE"/>
        </w:rPr>
        <w:t xml:space="preserve">La Defensoría conoce los reclamos que plantean los usuarios de seguros, ello siempre y cuando cumplan con los siguientes requisitos de admisibilidad de manera concurrente: </w:t>
      </w:r>
    </w:p>
    <w:p w:rsidRPr="00237AB1" w:rsidR="00F239F4" w:rsidP="00F239F4" w:rsidRDefault="00F239F4" w14:paraId="718A45E5" w14:textId="77777777">
      <w:pPr>
        <w:pStyle w:val="Textonotapie"/>
        <w:tabs>
          <w:tab w:val="left" w:pos="284"/>
          <w:tab w:val="left" w:pos="567"/>
        </w:tabs>
        <w:spacing w:after="120"/>
        <w:ind w:left="567" w:hanging="567"/>
        <w:rPr>
          <w:rStyle w:val="Hipervnculo"/>
          <w:color w:val="000000" w:themeColor="text1"/>
          <w:sz w:val="18"/>
          <w:szCs w:val="18"/>
          <w:lang w:val="es-PE"/>
        </w:rPr>
      </w:pPr>
      <w:r w:rsidRPr="00237AB1">
        <w:rPr>
          <w:rStyle w:val="Hipervnculo"/>
          <w:color w:val="000000" w:themeColor="text1"/>
          <w:sz w:val="18"/>
          <w:szCs w:val="18"/>
          <w:lang w:val="es-PE"/>
        </w:rPr>
        <w:tab/>
      </w:r>
      <w:r w:rsidRPr="00237AB1">
        <w:rPr>
          <w:rStyle w:val="Hipervnculo"/>
          <w:color w:val="000000" w:themeColor="text1"/>
          <w:sz w:val="18"/>
          <w:szCs w:val="18"/>
          <w:lang w:val="es-PE"/>
        </w:rPr>
        <w:t xml:space="preserve">1. </w:t>
      </w:r>
      <w:r w:rsidRPr="00237AB1">
        <w:rPr>
          <w:rStyle w:val="Hipervnculo"/>
          <w:color w:val="000000" w:themeColor="text1"/>
          <w:sz w:val="18"/>
          <w:szCs w:val="18"/>
          <w:lang w:val="es-PE"/>
        </w:rPr>
        <w:tab/>
      </w:r>
      <w:r w:rsidRPr="00237AB1">
        <w:rPr>
          <w:rStyle w:val="Hipervnculo"/>
          <w:color w:val="000000" w:themeColor="text1"/>
          <w:sz w:val="18"/>
          <w:szCs w:val="18"/>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237AB1" w:rsidR="00F239F4" w:rsidP="00F239F4" w:rsidRDefault="00F239F4" w14:paraId="60A85880" w14:textId="77777777">
      <w:pPr>
        <w:pStyle w:val="Textonotapie"/>
        <w:tabs>
          <w:tab w:val="left" w:pos="284"/>
          <w:tab w:val="left" w:pos="567"/>
        </w:tabs>
        <w:spacing w:after="120"/>
        <w:ind w:left="567" w:hanging="567"/>
        <w:rPr>
          <w:rStyle w:val="Hipervnculo"/>
          <w:color w:val="000000" w:themeColor="text1"/>
          <w:sz w:val="18"/>
          <w:szCs w:val="18"/>
          <w:lang w:val="es-PE"/>
        </w:rPr>
      </w:pPr>
      <w:r w:rsidRPr="00237AB1">
        <w:rPr>
          <w:rStyle w:val="Hipervnculo"/>
          <w:color w:val="000000" w:themeColor="text1"/>
          <w:sz w:val="18"/>
          <w:szCs w:val="18"/>
          <w:lang w:val="es-PE"/>
        </w:rPr>
        <w:tab/>
      </w:r>
      <w:r w:rsidRPr="00237AB1">
        <w:rPr>
          <w:rStyle w:val="Hipervnculo"/>
          <w:color w:val="000000" w:themeColor="text1"/>
          <w:sz w:val="18"/>
          <w:szCs w:val="18"/>
          <w:lang w:val="es-PE"/>
        </w:rPr>
        <w:t xml:space="preserve">2. </w:t>
      </w:r>
      <w:r w:rsidRPr="00237AB1">
        <w:rPr>
          <w:rStyle w:val="Hipervnculo"/>
          <w:color w:val="000000" w:themeColor="text1"/>
          <w:sz w:val="18"/>
          <w:szCs w:val="18"/>
          <w:lang w:val="es-PE"/>
        </w:rPr>
        <w:tab/>
      </w:r>
      <w:r w:rsidRPr="00237AB1">
        <w:rPr>
          <w:rStyle w:val="Hipervnculo"/>
          <w:color w:val="000000" w:themeColor="text1"/>
          <w:sz w:val="18"/>
          <w:szCs w:val="18"/>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237AB1" w:rsidR="00F239F4" w:rsidP="00F239F4" w:rsidRDefault="00F239F4" w14:paraId="35581F83" w14:textId="77777777">
      <w:pPr>
        <w:pStyle w:val="Textonotapie"/>
        <w:tabs>
          <w:tab w:val="left" w:pos="284"/>
          <w:tab w:val="left" w:pos="567"/>
        </w:tabs>
        <w:spacing w:after="120"/>
        <w:ind w:left="567" w:hanging="567"/>
        <w:rPr>
          <w:rStyle w:val="Hipervnculo"/>
          <w:color w:val="000000" w:themeColor="text1"/>
          <w:sz w:val="18"/>
          <w:szCs w:val="18"/>
          <w:lang w:val="es-PE"/>
        </w:rPr>
      </w:pPr>
      <w:r w:rsidRPr="00237AB1">
        <w:rPr>
          <w:rStyle w:val="Hipervnculo"/>
          <w:color w:val="000000" w:themeColor="text1"/>
          <w:sz w:val="18"/>
          <w:szCs w:val="18"/>
          <w:lang w:val="es-PE"/>
        </w:rPr>
        <w:tab/>
      </w:r>
      <w:r w:rsidRPr="00237AB1">
        <w:rPr>
          <w:rStyle w:val="Hipervnculo"/>
          <w:color w:val="000000" w:themeColor="text1"/>
          <w:sz w:val="18"/>
          <w:szCs w:val="18"/>
          <w:lang w:val="es-PE"/>
        </w:rPr>
        <w:t xml:space="preserve">3. </w:t>
      </w:r>
      <w:r w:rsidRPr="00237AB1">
        <w:rPr>
          <w:rStyle w:val="Hipervnculo"/>
          <w:color w:val="000000" w:themeColor="text1"/>
          <w:sz w:val="18"/>
          <w:szCs w:val="18"/>
          <w:lang w:val="es-PE"/>
        </w:rPr>
        <w:tab/>
      </w:r>
      <w:r w:rsidRPr="00237AB1">
        <w:rPr>
          <w:rStyle w:val="Hipervnculo"/>
          <w:color w:val="000000" w:themeColor="text1"/>
          <w:sz w:val="18"/>
          <w:szCs w:val="18"/>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237AB1" w:rsidR="00F239F4" w:rsidP="00F239F4" w:rsidRDefault="00F239F4" w14:paraId="10BDA57B" w14:textId="77777777">
      <w:pPr>
        <w:pStyle w:val="Textonotapie"/>
        <w:tabs>
          <w:tab w:val="left" w:pos="284"/>
        </w:tabs>
        <w:spacing w:after="120"/>
        <w:ind w:left="284" w:hanging="284"/>
        <w:rPr>
          <w:sz w:val="18"/>
          <w:szCs w:val="18"/>
          <w:lang w:val="en-US"/>
        </w:rPr>
      </w:pPr>
      <w:r w:rsidRPr="00237AB1">
        <w:rPr>
          <w:rStyle w:val="Refdenotaalpie"/>
          <w:sz w:val="18"/>
          <w:szCs w:val="18"/>
        </w:rPr>
        <w:footnoteRef/>
      </w:r>
      <w:r w:rsidRPr="00237AB1">
        <w:rPr>
          <w:sz w:val="18"/>
          <w:szCs w:val="18"/>
        </w:rPr>
        <w:t xml:space="preserve"> </w:t>
      </w:r>
      <w:r w:rsidRPr="00237AB1">
        <w:rPr>
          <w:sz w:val="18"/>
          <w:szCs w:val="18"/>
        </w:rPr>
        <w:tab/>
      </w:r>
      <w:r w:rsidRPr="00237AB1">
        <w:rPr>
          <w:sz w:val="18"/>
          <w:szCs w:val="18"/>
        </w:rPr>
        <w:t xml:space="preserve">Un vicio oculto es toda imperfección existente sobre el bien transferido, que lo hace inadecuado para el propósito de su adquisición, este vicio o defecto, ordinariamente no se presenta y cuya existencia afecta el disfrute </w:t>
      </w:r>
      <w:r w:rsidRPr="00237AB1">
        <w:rPr>
          <w:sz w:val="18"/>
          <w:szCs w:val="18"/>
        </w:rPr>
        <w:t xml:space="preserve">del mismo, al grado de volverlo inútil para la finalidad por la cual se adquirió. Conforme al artículo 1503 del Código Civil, este vicio debe estar presente al momento de la transferencia, teniendo la condición de oculto ante los ojos del adquirente. ALDEA CORREA, </w:t>
      </w:r>
      <w:proofErr w:type="spellStart"/>
      <w:r w:rsidRPr="00237AB1">
        <w:rPr>
          <w:sz w:val="18"/>
          <w:szCs w:val="18"/>
        </w:rPr>
        <w:t>Vládik</w:t>
      </w:r>
      <w:proofErr w:type="spellEnd"/>
      <w:r w:rsidRPr="00237AB1">
        <w:rPr>
          <w:sz w:val="18"/>
          <w:szCs w:val="18"/>
        </w:rPr>
        <w:t xml:space="preserve">. </w:t>
      </w:r>
      <w:bookmarkStart w:name="P153" w:id="3"/>
      <w:r w:rsidRPr="00237AB1">
        <w:rPr>
          <w:sz w:val="18"/>
          <w:szCs w:val="18"/>
        </w:rPr>
        <w:t>«Obligación de saneamiento por vicios ocultos</w:t>
      </w:r>
      <w:bookmarkEnd w:id="3"/>
      <w:r w:rsidRPr="00237AB1">
        <w:rPr>
          <w:sz w:val="18"/>
          <w:szCs w:val="18"/>
        </w:rPr>
        <w:t xml:space="preserve">». En: Código Civil Comentado, Tomo VII, </w:t>
      </w:r>
      <w:hyperlink w:history="1" r:id="rId2">
        <w:r w:rsidRPr="00237AB1">
          <w:rPr>
            <w:rStyle w:val="Hipervnculo"/>
            <w:sz w:val="18"/>
            <w:szCs w:val="18"/>
          </w:rPr>
          <w:t xml:space="preserve">GUTIÉRREZ CAMACHO Walter </w:t>
        </w:r>
      </w:hyperlink>
      <w:r w:rsidRPr="00237AB1">
        <w:rPr>
          <w:sz w:val="18"/>
          <w:szCs w:val="18"/>
        </w:rPr>
        <w:t>(Ed.), Lima: Gaceta Jurídica.</w:t>
      </w:r>
    </w:p>
  </w:footnote>
  <w:footnote w:id="7">
    <w:p w:rsidRPr="00237AB1" w:rsidR="00F239F4" w:rsidP="00F239F4" w:rsidRDefault="00F239F4" w14:paraId="56821EB2" w14:textId="77777777">
      <w:pPr>
        <w:pStyle w:val="Textonotapie"/>
        <w:tabs>
          <w:tab w:val="left" w:pos="284"/>
        </w:tabs>
        <w:spacing w:after="120"/>
        <w:ind w:left="284" w:hanging="284"/>
        <w:rPr>
          <w:sz w:val="18"/>
          <w:szCs w:val="18"/>
        </w:rPr>
      </w:pPr>
      <w:r w:rsidRPr="00237AB1">
        <w:rPr>
          <w:rStyle w:val="Refdenotaalpie"/>
          <w:sz w:val="18"/>
          <w:szCs w:val="18"/>
        </w:rPr>
        <w:footnoteRef/>
      </w:r>
      <w:r w:rsidRPr="00237AB1">
        <w:rPr>
          <w:sz w:val="18"/>
          <w:szCs w:val="18"/>
        </w:rPr>
        <w:t xml:space="preserve">  </w:t>
      </w:r>
      <w:r w:rsidRPr="00237AB1">
        <w:rPr>
          <w:sz w:val="18"/>
          <w:szCs w:val="18"/>
        </w:rPr>
        <w:tab/>
      </w:r>
      <w:r w:rsidRPr="00237AB1">
        <w:rPr>
          <w:sz w:val="18"/>
          <w:szCs w:val="18"/>
        </w:rPr>
        <w:t xml:space="preserve">Para la Real Academia de la Lengua Española el adjetivo «oculto» se refiere a algo escondido, ignorado, que no se da a conocer ni se deja ver ni sentir; en dicho sentido, el daño del faro superior derecho coincide con esta definición. </w:t>
      </w:r>
      <w:r w:rsidRPr="00237AB1">
        <w:rPr>
          <w:noProof/>
          <w:sz w:val="18"/>
          <w:szCs w:val="18"/>
          <w:lang w:val="es-PE"/>
        </w:rPr>
        <w:t>«Oculto», en  Diccionario de la lengua española, Real Academia Española (RAE) y Asociación de Academias de la Lengua Española (ASALE), (Consulta: 19 de junio de 2025), &lt;</w:t>
      </w:r>
      <w:hyperlink w:history="1" r:id="rId3">
        <w:r w:rsidRPr="00237AB1">
          <w:rPr>
            <w:rStyle w:val="Hipervnculo"/>
            <w:noProof/>
            <w:sz w:val="18"/>
            <w:szCs w:val="18"/>
            <w:lang w:val="es-PE"/>
          </w:rPr>
          <w:t>https://dle.rae.es/oculto?m=form</w:t>
        </w:r>
      </w:hyperlink>
      <w:r w:rsidRPr="00237AB1">
        <w:rPr>
          <w:noProof/>
          <w:sz w:val="18"/>
          <w:szCs w:val="18"/>
          <w:lang w:val="es-PE"/>
        </w:rPr>
        <w:t>&gt;.</w:t>
      </w:r>
    </w:p>
  </w:footnote>
  <w:footnote w:id="8">
    <w:p w:rsidRPr="00237AB1" w:rsidR="00F239F4" w:rsidP="00F239F4" w:rsidRDefault="00F239F4" w14:paraId="58E089A6" w14:textId="77777777">
      <w:pPr>
        <w:pStyle w:val="Textonotapie"/>
        <w:tabs>
          <w:tab w:val="left" w:pos="284"/>
        </w:tabs>
        <w:spacing w:after="120"/>
        <w:ind w:left="284" w:hanging="284"/>
        <w:rPr>
          <w:noProof/>
          <w:sz w:val="18"/>
          <w:szCs w:val="18"/>
          <w:lang w:val="es-PE"/>
        </w:rPr>
      </w:pPr>
      <w:r w:rsidRPr="00237AB1">
        <w:rPr>
          <w:rStyle w:val="Refdenotaalpie"/>
          <w:sz w:val="18"/>
          <w:szCs w:val="18"/>
        </w:rPr>
        <w:footnoteRef/>
      </w:r>
      <w:r w:rsidRPr="00237AB1">
        <w:rPr>
          <w:sz w:val="18"/>
          <w:szCs w:val="18"/>
        </w:rPr>
        <w:t xml:space="preserve"> </w:t>
      </w:r>
      <w:r w:rsidRPr="00237AB1">
        <w:rPr>
          <w:sz w:val="18"/>
          <w:szCs w:val="18"/>
        </w:rPr>
        <w:tab/>
      </w:r>
      <w:r w:rsidRPr="00237AB1">
        <w:rPr>
          <w:noProof/>
          <w:sz w:val="18"/>
          <w:szCs w:val="18"/>
          <w:lang w:val="es-PE"/>
        </w:rPr>
        <w:t>BERBESSI FERNÁNDEZ, D.A. (2024.) «Alcances de la buena fe en el contrato de seguros», Revista e-mercatoria, 24(1)</w:t>
      </w:r>
      <w:r w:rsidRPr="00237AB1">
        <w:rPr>
          <w:bCs/>
          <w:noProof/>
          <w:sz w:val="18"/>
          <w:szCs w:val="18"/>
          <w:lang w:val="es-PE"/>
        </w:rPr>
        <w:t xml:space="preserve"> [en línea]. Disponible en: </w:t>
      </w:r>
      <w:hyperlink w:history="1" r:id="rId4">
        <w:r w:rsidRPr="00237AB1">
          <w:rPr>
            <w:rStyle w:val="Hipervnculo"/>
            <w:noProof/>
            <w:sz w:val="18"/>
            <w:szCs w:val="18"/>
            <w:lang w:val="es-PE"/>
          </w:rPr>
          <w:t>https://doi.org/10.18601/16923960.v24n1.03</w:t>
        </w:r>
      </w:hyperlink>
      <w:r w:rsidRPr="00237AB1">
        <w:rPr>
          <w:noProof/>
          <w:sz w:val="18"/>
          <w:szCs w:val="18"/>
          <w:lang w:val="es-PE"/>
        </w:rPr>
        <w:t xml:space="preserve"> </w:t>
      </w:r>
      <w:r w:rsidRPr="00237AB1">
        <w:rPr>
          <w:bCs/>
          <w:noProof/>
          <w:sz w:val="18"/>
          <w:szCs w:val="18"/>
          <w:lang w:val="es-PE"/>
        </w:rPr>
        <w:t>(Consulta: 15 de junio de 2025)</w:t>
      </w:r>
      <w:r w:rsidRPr="00237AB1">
        <w:rPr>
          <w:noProof/>
          <w:sz w:val="18"/>
          <w:szCs w:val="18"/>
          <w:lang w:val="es-PE"/>
        </w:rPr>
        <w:t>.</w:t>
      </w:r>
    </w:p>
  </w:footnote>
  <w:footnote w:id="9">
    <w:p w:rsidRPr="00237AB1" w:rsidR="00F239F4" w:rsidP="00F239F4" w:rsidRDefault="00F239F4" w14:paraId="390D903A" w14:textId="77777777">
      <w:pPr>
        <w:pStyle w:val="Textonotapie"/>
        <w:tabs>
          <w:tab w:val="left" w:pos="284"/>
        </w:tabs>
        <w:spacing w:after="120"/>
        <w:ind w:left="284" w:hanging="284"/>
        <w:rPr>
          <w:b/>
          <w:bCs/>
          <w:sz w:val="18"/>
          <w:szCs w:val="18"/>
          <w:lang w:val="en-US"/>
        </w:rPr>
      </w:pPr>
      <w:r w:rsidRPr="00237AB1">
        <w:rPr>
          <w:rStyle w:val="Refdenotaalpie"/>
          <w:sz w:val="18"/>
          <w:szCs w:val="18"/>
        </w:rPr>
        <w:footnoteRef/>
      </w:r>
      <w:r w:rsidRPr="00237AB1">
        <w:rPr>
          <w:sz w:val="18"/>
          <w:szCs w:val="18"/>
        </w:rPr>
        <w:t xml:space="preserve"> </w:t>
      </w:r>
      <w:r w:rsidRPr="00237AB1">
        <w:rPr>
          <w:sz w:val="18"/>
          <w:szCs w:val="18"/>
        </w:rPr>
        <w:tab/>
      </w:r>
      <w:r w:rsidRPr="00237AB1">
        <w:rPr>
          <w:b/>
          <w:bCs/>
          <w:sz w:val="18"/>
          <w:szCs w:val="18"/>
        </w:rPr>
        <w:t>Ley del Contrato de Seguro</w:t>
      </w:r>
    </w:p>
    <w:p w:rsidRPr="00237AB1" w:rsidR="00F239F4" w:rsidP="00F239F4" w:rsidRDefault="00F239F4" w14:paraId="5862E2A0" w14:textId="77777777">
      <w:pPr>
        <w:pStyle w:val="Textonotapie"/>
        <w:tabs>
          <w:tab w:val="left" w:pos="284"/>
        </w:tabs>
        <w:spacing w:after="120"/>
        <w:ind w:left="284" w:hanging="284"/>
        <w:rPr>
          <w:b/>
          <w:bCs/>
          <w:sz w:val="18"/>
          <w:szCs w:val="18"/>
          <w:lang w:val="es-MX"/>
        </w:rPr>
      </w:pPr>
      <w:r w:rsidRPr="00237AB1">
        <w:rPr>
          <w:b/>
          <w:bCs/>
          <w:sz w:val="18"/>
          <w:szCs w:val="18"/>
          <w:lang w:val="es-MX"/>
        </w:rPr>
        <w:tab/>
      </w:r>
      <w:r w:rsidRPr="00237AB1">
        <w:rPr>
          <w:b/>
          <w:bCs/>
          <w:sz w:val="18"/>
          <w:szCs w:val="18"/>
          <w:lang w:val="es-MX"/>
        </w:rPr>
        <w:t>Artículo 77o.- Cargas de las partes</w:t>
      </w:r>
    </w:p>
    <w:p w:rsidRPr="00237AB1" w:rsidR="00F239F4" w:rsidP="00F239F4" w:rsidRDefault="00F239F4" w14:paraId="649D00FE" w14:textId="77777777">
      <w:pPr>
        <w:pStyle w:val="Textonotapie"/>
        <w:tabs>
          <w:tab w:val="left" w:pos="284"/>
        </w:tabs>
        <w:spacing w:after="120"/>
        <w:ind w:left="284" w:hanging="284"/>
        <w:rPr>
          <w:sz w:val="18"/>
          <w:szCs w:val="18"/>
          <w:lang w:val="es-MX"/>
        </w:rPr>
      </w:pPr>
      <w:r w:rsidRPr="00237AB1">
        <w:rPr>
          <w:sz w:val="18"/>
          <w:szCs w:val="18"/>
          <w:lang w:val="es-MX"/>
        </w:rPr>
        <w:tab/>
      </w:r>
      <w:r w:rsidRPr="00237AB1">
        <w:rPr>
          <w:sz w:val="18"/>
          <w:szCs w:val="18"/>
          <w:lang w:val="es-MX"/>
        </w:rPr>
        <w:t>Corresponde al asegurado demostrar la ocurrencia del siniestro, así como la cuantía de la pérdida si fuera el caso, y al asegurador la carga de demostrar las causas que lo liberan de su prestación indemnizatoria.</w:t>
      </w:r>
    </w:p>
  </w:footnote>
  <w:footnote w:id="10">
    <w:p w:rsidRPr="00237AB1" w:rsidR="00F239F4" w:rsidP="00F239F4" w:rsidRDefault="00F239F4" w14:paraId="763C0D8D" w14:textId="77777777">
      <w:pPr>
        <w:pStyle w:val="Textonotapie"/>
        <w:tabs>
          <w:tab w:val="left" w:pos="284"/>
        </w:tabs>
        <w:spacing w:after="120"/>
        <w:ind w:left="284" w:hanging="284"/>
        <w:rPr>
          <w:sz w:val="18"/>
          <w:szCs w:val="18"/>
          <w:lang w:val="es-MX"/>
        </w:rPr>
      </w:pPr>
      <w:r w:rsidRPr="00237AB1">
        <w:rPr>
          <w:rStyle w:val="Refdenotaalpie"/>
          <w:sz w:val="18"/>
          <w:szCs w:val="18"/>
        </w:rPr>
        <w:footnoteRef/>
      </w:r>
      <w:r w:rsidRPr="00237AB1">
        <w:rPr>
          <w:sz w:val="18"/>
          <w:szCs w:val="18"/>
        </w:rPr>
        <w:t xml:space="preserve"> </w:t>
      </w:r>
      <w:r w:rsidRPr="00237AB1">
        <w:rPr>
          <w:sz w:val="18"/>
          <w:szCs w:val="18"/>
        </w:rPr>
        <w:tab/>
      </w:r>
      <w:r w:rsidRPr="00237AB1">
        <w:rPr>
          <w:b/>
          <w:bCs/>
          <w:sz w:val="18"/>
          <w:szCs w:val="18"/>
        </w:rPr>
        <w:t>Ley del Contrato de Seguro</w:t>
      </w:r>
    </w:p>
    <w:p w:rsidRPr="00237AB1" w:rsidR="00F239F4" w:rsidP="00F239F4" w:rsidRDefault="00F239F4" w14:paraId="78E0CF08" w14:textId="77777777">
      <w:pPr>
        <w:pStyle w:val="Textonotapie"/>
        <w:tabs>
          <w:tab w:val="left" w:pos="284"/>
        </w:tabs>
        <w:spacing w:after="120"/>
        <w:ind w:left="284" w:hanging="284"/>
        <w:rPr>
          <w:sz w:val="18"/>
          <w:szCs w:val="18"/>
          <w:lang w:val="en-US"/>
        </w:rPr>
      </w:pPr>
      <w:r w:rsidRPr="00237AB1">
        <w:rPr>
          <w:b/>
          <w:bCs/>
          <w:sz w:val="18"/>
          <w:szCs w:val="18"/>
        </w:rPr>
        <w:tab/>
      </w:r>
      <w:r w:rsidRPr="00237AB1">
        <w:rPr>
          <w:b/>
          <w:bCs/>
          <w:sz w:val="18"/>
          <w:szCs w:val="18"/>
        </w:rPr>
        <w:t>Artículo IV. </w:t>
      </w:r>
      <w:r w:rsidRPr="00237AB1">
        <w:rPr>
          <w:sz w:val="18"/>
          <w:szCs w:val="18"/>
        </w:rPr>
        <w:t>En la interpretación del contrato de seguro se aplican las reglas siguientes:</w:t>
      </w:r>
    </w:p>
    <w:p w:rsidRPr="00237AB1" w:rsidR="00F239F4" w:rsidP="00F239F4" w:rsidRDefault="00F239F4" w14:paraId="63736D00" w14:textId="77777777">
      <w:pPr>
        <w:pStyle w:val="Textonotapie"/>
        <w:tabs>
          <w:tab w:val="left" w:pos="284"/>
        </w:tabs>
        <w:spacing w:after="120"/>
        <w:ind w:left="284" w:hanging="284"/>
        <w:rPr>
          <w:sz w:val="18"/>
          <w:szCs w:val="18"/>
        </w:rPr>
      </w:pPr>
      <w:r w:rsidRPr="00237AB1">
        <w:rPr>
          <w:b/>
          <w:bCs/>
          <w:sz w:val="18"/>
          <w:szCs w:val="18"/>
        </w:rPr>
        <w:tab/>
      </w:r>
      <w:r w:rsidRPr="00237AB1">
        <w:rPr>
          <w:sz w:val="18"/>
          <w:szCs w:val="18"/>
        </w:rPr>
        <w:t>(…)</w:t>
      </w:r>
    </w:p>
    <w:p w:rsidRPr="00237AB1" w:rsidR="00F239F4" w:rsidP="00F239F4" w:rsidRDefault="00F239F4" w14:paraId="5E298605" w14:textId="77777777">
      <w:pPr>
        <w:pStyle w:val="Textonotapie"/>
        <w:tabs>
          <w:tab w:val="left" w:pos="284"/>
        </w:tabs>
        <w:spacing w:after="120"/>
        <w:ind w:left="284" w:hanging="284"/>
        <w:rPr>
          <w:b/>
          <w:bCs/>
          <w:sz w:val="18"/>
          <w:szCs w:val="18"/>
        </w:rPr>
      </w:pPr>
      <w:r w:rsidRPr="00237AB1">
        <w:rPr>
          <w:sz w:val="18"/>
          <w:szCs w:val="18"/>
        </w:rPr>
        <w:tab/>
      </w:r>
      <w:r w:rsidRPr="00237AB1">
        <w:rPr>
          <w:b/>
          <w:bCs/>
          <w:sz w:val="18"/>
          <w:szCs w:val="18"/>
        </w:rPr>
        <w:t>Séptima</w:t>
      </w:r>
      <w:r w:rsidRPr="00237AB1">
        <w:rPr>
          <w:sz w:val="18"/>
          <w:szCs w:val="18"/>
        </w:rPr>
        <w:t xml:space="preserve">. La cobertura, exclusiones y, en general, la extensión del </w:t>
      </w:r>
      <w:r w:rsidRPr="00237AB1">
        <w:rPr>
          <w:sz w:val="18"/>
          <w:szCs w:val="18"/>
        </w:rPr>
        <w:t>riesgo así como los derechos de los beneficiarios, previstos en el contrato de seguro, deben interpretarse literalmente.</w:t>
      </w:r>
    </w:p>
  </w:footnote>
  <w:footnote w:id="11">
    <w:p w:rsidRPr="00237AB1" w:rsidR="00F239F4" w:rsidP="00F239F4" w:rsidRDefault="00F239F4" w14:paraId="7A0752AB" w14:textId="77777777">
      <w:pPr>
        <w:pStyle w:val="Textonotapie"/>
        <w:tabs>
          <w:tab w:val="left" w:pos="284"/>
        </w:tabs>
        <w:spacing w:after="120"/>
        <w:ind w:left="284" w:hanging="284"/>
        <w:rPr>
          <w:b/>
          <w:bCs/>
          <w:sz w:val="18"/>
          <w:szCs w:val="18"/>
        </w:rPr>
      </w:pPr>
      <w:r w:rsidRPr="00237AB1">
        <w:rPr>
          <w:rStyle w:val="Refdenotaalpie"/>
          <w:sz w:val="18"/>
          <w:szCs w:val="18"/>
        </w:rPr>
        <w:footnoteRef/>
      </w:r>
      <w:r w:rsidRPr="00237AB1">
        <w:rPr>
          <w:sz w:val="18"/>
          <w:szCs w:val="18"/>
        </w:rPr>
        <w:t xml:space="preserve"> </w:t>
      </w:r>
      <w:r w:rsidRPr="00237AB1">
        <w:rPr>
          <w:sz w:val="18"/>
          <w:szCs w:val="18"/>
        </w:rPr>
        <w:tab/>
      </w:r>
      <w:r w:rsidRPr="00237AB1">
        <w:rPr>
          <w:b/>
          <w:bCs/>
          <w:sz w:val="18"/>
          <w:szCs w:val="18"/>
        </w:rPr>
        <w:t>Cláusulas Generales</w:t>
      </w:r>
    </w:p>
    <w:p w:rsidRPr="00237AB1" w:rsidR="00F239F4" w:rsidP="00F239F4" w:rsidRDefault="00F239F4" w14:paraId="05FB56B2" w14:textId="77777777">
      <w:pPr>
        <w:pStyle w:val="Textonotapie"/>
        <w:tabs>
          <w:tab w:val="left" w:pos="284"/>
        </w:tabs>
        <w:spacing w:after="120"/>
        <w:ind w:left="284" w:hanging="284"/>
        <w:rPr>
          <w:b/>
          <w:bCs/>
          <w:sz w:val="18"/>
          <w:szCs w:val="18"/>
        </w:rPr>
      </w:pPr>
      <w:r w:rsidRPr="00237AB1">
        <w:rPr>
          <w:sz w:val="18"/>
          <w:szCs w:val="18"/>
        </w:rPr>
        <w:tab/>
      </w:r>
      <w:r w:rsidRPr="00237AB1">
        <w:rPr>
          <w:b/>
          <w:bCs/>
          <w:sz w:val="18"/>
          <w:szCs w:val="18"/>
        </w:rPr>
        <w:t>9.- ¿CUÁLES SON LAS BASES QUE UTILIZA LA COMPAÑÍA PARA EL CÁLCULO DE LA INDEMNIZACIÓN?</w:t>
      </w:r>
    </w:p>
    <w:p w:rsidRPr="00237AB1" w:rsidR="00F239F4" w:rsidP="00F239F4" w:rsidRDefault="00F239F4" w14:paraId="1639A5C9" w14:textId="77777777">
      <w:pPr>
        <w:pStyle w:val="Textonotapie"/>
        <w:tabs>
          <w:tab w:val="left" w:pos="284"/>
        </w:tabs>
        <w:spacing w:after="120"/>
        <w:ind w:left="284" w:hanging="284"/>
        <w:rPr>
          <w:sz w:val="18"/>
          <w:szCs w:val="18"/>
        </w:rPr>
      </w:pPr>
      <w:r w:rsidRPr="00237AB1">
        <w:rPr>
          <w:sz w:val="18"/>
          <w:szCs w:val="18"/>
        </w:rPr>
        <w:tab/>
      </w:r>
      <w:r w:rsidRPr="00237AB1">
        <w:rPr>
          <w:sz w:val="18"/>
          <w:szCs w:val="18"/>
        </w:rPr>
        <w:t xml:space="preserve">Sujeto a los demás términos y condiciones de la Póliza, el importe base de la indemnización para cada una de las coberturas otorgadas por esta Póliza será establecido </w:t>
      </w:r>
      <w:r w:rsidRPr="00237AB1">
        <w:rPr>
          <w:sz w:val="18"/>
          <w:szCs w:val="18"/>
        </w:rPr>
        <w:t>de acuerdo a lo siguiente:</w:t>
      </w:r>
    </w:p>
    <w:p w:rsidRPr="00237AB1" w:rsidR="00F239F4" w:rsidP="00F239F4" w:rsidRDefault="00F239F4" w14:paraId="3C99CF8F" w14:textId="77777777">
      <w:pPr>
        <w:pStyle w:val="Textonotapie"/>
        <w:tabs>
          <w:tab w:val="left" w:pos="284"/>
        </w:tabs>
        <w:spacing w:after="120"/>
        <w:ind w:left="284" w:hanging="284"/>
        <w:rPr>
          <w:sz w:val="18"/>
          <w:szCs w:val="18"/>
        </w:rPr>
      </w:pPr>
      <w:r w:rsidRPr="00237AB1">
        <w:rPr>
          <w:sz w:val="18"/>
          <w:szCs w:val="18"/>
        </w:rPr>
        <w:tab/>
      </w:r>
      <w:r w:rsidRPr="00237AB1">
        <w:rPr>
          <w:sz w:val="18"/>
          <w:szCs w:val="18"/>
        </w:rPr>
        <w:t>(…)</w:t>
      </w:r>
    </w:p>
    <w:p w:rsidRPr="00237AB1" w:rsidR="00F239F4" w:rsidP="00F239F4" w:rsidRDefault="00F239F4" w14:paraId="73BC7BFC" w14:textId="77777777">
      <w:pPr>
        <w:pStyle w:val="Textonotapie"/>
        <w:tabs>
          <w:tab w:val="left" w:pos="284"/>
        </w:tabs>
        <w:spacing w:after="120"/>
        <w:ind w:left="284" w:hanging="284"/>
        <w:rPr>
          <w:b/>
          <w:bCs/>
          <w:sz w:val="18"/>
          <w:szCs w:val="18"/>
        </w:rPr>
      </w:pPr>
      <w:r w:rsidRPr="00237AB1">
        <w:rPr>
          <w:b/>
          <w:bCs/>
          <w:sz w:val="18"/>
          <w:szCs w:val="18"/>
        </w:rPr>
        <w:tab/>
      </w:r>
      <w:r w:rsidRPr="00237AB1">
        <w:rPr>
          <w:b/>
          <w:bCs/>
          <w:sz w:val="18"/>
          <w:szCs w:val="18"/>
        </w:rPr>
        <w:t>B. Cobertura de Daño Propio</w:t>
      </w:r>
    </w:p>
    <w:p w:rsidRPr="00237AB1" w:rsidR="00F239F4" w:rsidP="00F239F4" w:rsidRDefault="00F239F4" w14:paraId="20ED66FD" w14:textId="77777777">
      <w:pPr>
        <w:pStyle w:val="Textonotapie"/>
        <w:tabs>
          <w:tab w:val="left" w:pos="284"/>
        </w:tabs>
        <w:spacing w:after="120"/>
        <w:ind w:left="284" w:hanging="284"/>
        <w:rPr>
          <w:sz w:val="18"/>
          <w:szCs w:val="18"/>
        </w:rPr>
      </w:pPr>
      <w:r w:rsidRPr="00237AB1">
        <w:rPr>
          <w:sz w:val="18"/>
          <w:szCs w:val="18"/>
        </w:rPr>
        <w:tab/>
      </w:r>
      <w:r w:rsidRPr="00237AB1">
        <w:rPr>
          <w:sz w:val="18"/>
          <w:szCs w:val="18"/>
        </w:rPr>
        <w:t>Sujeto a los demás términos y condiciones de la Póliza, el importe base de la indemnización para cada uno de los vehículos asegurados dañados o destruidos o perdidos total o parcialmente, corresponderá a:</w:t>
      </w:r>
    </w:p>
    <w:p w:rsidRPr="00237AB1" w:rsidR="00F239F4" w:rsidP="00F239F4" w:rsidRDefault="00F239F4" w14:paraId="4E94B5E0" w14:textId="77777777">
      <w:pPr>
        <w:pStyle w:val="Textonotapie"/>
        <w:tabs>
          <w:tab w:val="left" w:pos="284"/>
        </w:tabs>
        <w:spacing w:after="120"/>
        <w:ind w:left="284" w:hanging="284"/>
        <w:rPr>
          <w:sz w:val="18"/>
          <w:szCs w:val="18"/>
        </w:rPr>
      </w:pPr>
      <w:r w:rsidRPr="00237AB1">
        <w:rPr>
          <w:sz w:val="18"/>
          <w:szCs w:val="18"/>
        </w:rPr>
        <w:tab/>
      </w:r>
      <w:r w:rsidRPr="00237AB1">
        <w:rPr>
          <w:sz w:val="18"/>
          <w:szCs w:val="18"/>
        </w:rPr>
        <w:t>1) Pérdida Parcial:</w:t>
      </w:r>
    </w:p>
    <w:p w:rsidRPr="00237AB1" w:rsidR="00F239F4" w:rsidP="00F239F4" w:rsidRDefault="00F239F4" w14:paraId="3A123488" w14:textId="77777777">
      <w:pPr>
        <w:pStyle w:val="Textonotapie"/>
        <w:tabs>
          <w:tab w:val="left" w:pos="284"/>
        </w:tabs>
        <w:spacing w:after="120"/>
        <w:ind w:left="284" w:hanging="284"/>
        <w:rPr>
          <w:sz w:val="18"/>
          <w:szCs w:val="18"/>
        </w:rPr>
      </w:pPr>
      <w:r w:rsidRPr="00237AB1">
        <w:rPr>
          <w:sz w:val="18"/>
          <w:szCs w:val="18"/>
        </w:rPr>
        <w:tab/>
      </w:r>
      <w:r w:rsidRPr="00237AB1">
        <w:rPr>
          <w:sz w:val="18"/>
          <w:szCs w:val="18"/>
        </w:rPr>
        <w:t xml:space="preserve">Si los daños o pérdidas físicas en el vehículo asegurado pueden ser </w:t>
      </w:r>
      <w:r w:rsidRPr="00237AB1">
        <w:rPr>
          <w:b/>
          <w:bCs/>
          <w:sz w:val="18"/>
          <w:szCs w:val="18"/>
          <w:u w:val="single"/>
        </w:rPr>
        <w:t>reparados o remediados</w:t>
      </w:r>
      <w:r w:rsidRPr="00237AB1">
        <w:rPr>
          <w:sz w:val="18"/>
          <w:szCs w:val="18"/>
        </w:rPr>
        <w:t xml:space="preserve">, el siniestro será considerado como Pérdida Parcial. En ese caso, el importe base de la indemnización comprenderá todos los gastos necesaria, razonable, y efectivamente incurridos para </w:t>
      </w:r>
      <w:r w:rsidRPr="00237AB1">
        <w:rPr>
          <w:b/>
          <w:bCs/>
          <w:sz w:val="18"/>
          <w:szCs w:val="18"/>
          <w:u w:val="single"/>
        </w:rPr>
        <w:t>reparar o remediar los daños o pérdidas físicas</w:t>
      </w:r>
      <w:r w:rsidRPr="00237AB1">
        <w:rPr>
          <w:sz w:val="18"/>
          <w:szCs w:val="18"/>
        </w:rPr>
        <w:t xml:space="preserve">, y dejar el vehículo dañado en condiciones de funcionamiento similares a las que tenía inmediatamente antes de ocurrir el siniestro.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9687A61"/>
    <w:multiLevelType w:val="hybridMultilevel"/>
    <w:tmpl w:val="7CCE8F78"/>
    <w:lvl w:ilvl="0" w:tplc="B5CA8FF6">
      <w:numFmt w:val="bullet"/>
      <w:lvlText w:val=""/>
      <w:lvlJc w:val="left"/>
      <w:pPr>
        <w:ind w:left="648" w:hanging="360"/>
      </w:pPr>
      <w:rPr>
        <w:rFonts w:hint="default" w:ascii="Symbol" w:hAnsi="Symbol" w:eastAsiaTheme="minorHAnsi" w:cstheme="minorBidi"/>
      </w:rPr>
    </w:lvl>
    <w:lvl w:ilvl="1" w:tplc="280A0003">
      <w:start w:val="1"/>
      <w:numFmt w:val="bullet"/>
      <w:lvlText w:val="o"/>
      <w:lvlJc w:val="left"/>
      <w:pPr>
        <w:ind w:left="1368" w:hanging="360"/>
      </w:pPr>
      <w:rPr>
        <w:rFonts w:hint="default" w:ascii="Courier New" w:hAnsi="Courier New" w:cs="Courier New"/>
      </w:rPr>
    </w:lvl>
    <w:lvl w:ilvl="2" w:tplc="280A0005">
      <w:start w:val="1"/>
      <w:numFmt w:val="bullet"/>
      <w:lvlText w:val=""/>
      <w:lvlJc w:val="left"/>
      <w:pPr>
        <w:ind w:left="2088" w:hanging="360"/>
      </w:pPr>
      <w:rPr>
        <w:rFonts w:hint="default" w:ascii="Wingdings" w:hAnsi="Wingdings"/>
      </w:rPr>
    </w:lvl>
    <w:lvl w:ilvl="3" w:tplc="280A0001">
      <w:start w:val="1"/>
      <w:numFmt w:val="bullet"/>
      <w:lvlText w:val=""/>
      <w:lvlJc w:val="left"/>
      <w:pPr>
        <w:ind w:left="2808" w:hanging="360"/>
      </w:pPr>
      <w:rPr>
        <w:rFonts w:hint="default" w:ascii="Symbol" w:hAnsi="Symbol"/>
      </w:rPr>
    </w:lvl>
    <w:lvl w:ilvl="4" w:tplc="280A0003">
      <w:start w:val="1"/>
      <w:numFmt w:val="bullet"/>
      <w:lvlText w:val="o"/>
      <w:lvlJc w:val="left"/>
      <w:pPr>
        <w:ind w:left="3528" w:hanging="360"/>
      </w:pPr>
      <w:rPr>
        <w:rFonts w:hint="default" w:ascii="Courier New" w:hAnsi="Courier New" w:cs="Courier New"/>
      </w:rPr>
    </w:lvl>
    <w:lvl w:ilvl="5" w:tplc="280A0005">
      <w:start w:val="1"/>
      <w:numFmt w:val="bullet"/>
      <w:lvlText w:val=""/>
      <w:lvlJc w:val="left"/>
      <w:pPr>
        <w:ind w:left="4248" w:hanging="360"/>
      </w:pPr>
      <w:rPr>
        <w:rFonts w:hint="default" w:ascii="Wingdings" w:hAnsi="Wingdings"/>
      </w:rPr>
    </w:lvl>
    <w:lvl w:ilvl="6" w:tplc="280A0001">
      <w:start w:val="1"/>
      <w:numFmt w:val="bullet"/>
      <w:lvlText w:val=""/>
      <w:lvlJc w:val="left"/>
      <w:pPr>
        <w:ind w:left="4968" w:hanging="360"/>
      </w:pPr>
      <w:rPr>
        <w:rFonts w:hint="default" w:ascii="Symbol" w:hAnsi="Symbol"/>
      </w:rPr>
    </w:lvl>
    <w:lvl w:ilvl="7" w:tplc="280A0003">
      <w:start w:val="1"/>
      <w:numFmt w:val="bullet"/>
      <w:lvlText w:val="o"/>
      <w:lvlJc w:val="left"/>
      <w:pPr>
        <w:ind w:left="5688" w:hanging="360"/>
      </w:pPr>
      <w:rPr>
        <w:rFonts w:hint="default" w:ascii="Courier New" w:hAnsi="Courier New" w:cs="Courier New"/>
      </w:rPr>
    </w:lvl>
    <w:lvl w:ilvl="8" w:tplc="280A0005">
      <w:start w:val="1"/>
      <w:numFmt w:val="bullet"/>
      <w:lvlText w:val=""/>
      <w:lvlJc w:val="left"/>
      <w:pPr>
        <w:ind w:left="6408" w:hanging="360"/>
      </w:pPr>
      <w:rPr>
        <w:rFonts w:hint="default" w:ascii="Wingdings" w:hAnsi="Wingdings"/>
      </w:rPr>
    </w:lvl>
  </w:abstractNum>
  <w:abstractNum w:abstractNumId="32"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0"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4"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7"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1"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4"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5"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6"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8"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59"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1"/>
  </w:num>
  <w:num w:numId="7" w16cid:durableId="1402695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6"/>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4"/>
  </w:num>
  <w:num w:numId="25" w16cid:durableId="206340418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58"/>
  </w:num>
  <w:num w:numId="35" w16cid:durableId="12596762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9"/>
  </w:num>
  <w:num w:numId="37" w16cid:durableId="210384206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3"/>
  </w:num>
  <w:num w:numId="39" w16cid:durableId="375400375">
    <w:abstractNumId w:val="3"/>
  </w:num>
  <w:num w:numId="40" w16cid:durableId="15364629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50"/>
  </w:num>
  <w:num w:numId="42" w16cid:durableId="1367632935">
    <w:abstractNumId w:val="54"/>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3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40"/>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8"/>
  </w:num>
  <w:num w:numId="48" w16cid:durableId="1820147613">
    <w:abstractNumId w:val="1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37"/>
  </w:num>
  <w:num w:numId="50" w16cid:durableId="1221936204">
    <w:abstractNumId w:val="30"/>
  </w:num>
  <w:num w:numId="51" w16cid:durableId="1578200737">
    <w:abstractNumId w:val="20"/>
  </w:num>
  <w:num w:numId="52" w16cid:durableId="2045446585">
    <w:abstractNumId w:val="25"/>
  </w:num>
  <w:num w:numId="53" w16cid:durableId="236061337">
    <w:abstractNumId w:val="5"/>
  </w:num>
  <w:num w:numId="54" w16cid:durableId="908076149">
    <w:abstractNumId w:val="2"/>
  </w:num>
  <w:num w:numId="55" w16cid:durableId="1301306779">
    <w:abstractNumId w:val="12"/>
  </w:num>
  <w:num w:numId="56" w16cid:durableId="1375540179">
    <w:abstractNumId w:val="52"/>
  </w:num>
  <w:num w:numId="57" w16cid:durableId="605236648">
    <w:abstractNumId w:val="0"/>
  </w:num>
  <w:num w:numId="58" w16cid:durableId="1927105074">
    <w:abstractNumId w:val="1"/>
  </w:num>
  <w:num w:numId="59" w16cid:durableId="1205754912">
    <w:abstractNumId w:val="8"/>
  </w:num>
  <w:num w:numId="60" w16cid:durableId="616185200">
    <w:abstractNumId w:val="31"/>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3D0"/>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37AB1"/>
    <w:rsid w:val="0024261D"/>
    <w:rsid w:val="0024444A"/>
    <w:rsid w:val="00247BE2"/>
    <w:rsid w:val="00251125"/>
    <w:rsid w:val="00251C91"/>
    <w:rsid w:val="002605BB"/>
    <w:rsid w:val="002608DC"/>
    <w:rsid w:val="00266CCD"/>
    <w:rsid w:val="002671AE"/>
    <w:rsid w:val="00267932"/>
    <w:rsid w:val="002713C2"/>
    <w:rsid w:val="00272948"/>
    <w:rsid w:val="00274941"/>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1605"/>
    <w:rsid w:val="00425565"/>
    <w:rsid w:val="00425CB7"/>
    <w:rsid w:val="0042673B"/>
    <w:rsid w:val="00427108"/>
    <w:rsid w:val="00427FB7"/>
    <w:rsid w:val="00431A3A"/>
    <w:rsid w:val="0043236E"/>
    <w:rsid w:val="00435416"/>
    <w:rsid w:val="004357E3"/>
    <w:rsid w:val="00435F11"/>
    <w:rsid w:val="004369D2"/>
    <w:rsid w:val="00437C27"/>
    <w:rsid w:val="00440C04"/>
    <w:rsid w:val="00442F39"/>
    <w:rsid w:val="0044391E"/>
    <w:rsid w:val="00443E62"/>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6C00"/>
    <w:rsid w:val="00517150"/>
    <w:rsid w:val="005204C2"/>
    <w:rsid w:val="005229CE"/>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76E5"/>
    <w:rsid w:val="005A778E"/>
    <w:rsid w:val="005B54BB"/>
    <w:rsid w:val="005B5BB2"/>
    <w:rsid w:val="005B63C1"/>
    <w:rsid w:val="005C5922"/>
    <w:rsid w:val="005C65E8"/>
    <w:rsid w:val="005C7583"/>
    <w:rsid w:val="005D1456"/>
    <w:rsid w:val="005D1638"/>
    <w:rsid w:val="005D2A9F"/>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06DCB"/>
    <w:rsid w:val="006115B5"/>
    <w:rsid w:val="00615431"/>
    <w:rsid w:val="0062037B"/>
    <w:rsid w:val="00621435"/>
    <w:rsid w:val="00621ACC"/>
    <w:rsid w:val="00630726"/>
    <w:rsid w:val="00637273"/>
    <w:rsid w:val="00641B74"/>
    <w:rsid w:val="006453C0"/>
    <w:rsid w:val="00647AEE"/>
    <w:rsid w:val="00650033"/>
    <w:rsid w:val="00651449"/>
    <w:rsid w:val="00652ED5"/>
    <w:rsid w:val="006603F9"/>
    <w:rsid w:val="00660E60"/>
    <w:rsid w:val="006616F6"/>
    <w:rsid w:val="0066418F"/>
    <w:rsid w:val="00665EBA"/>
    <w:rsid w:val="00666E5D"/>
    <w:rsid w:val="006704E4"/>
    <w:rsid w:val="0067060D"/>
    <w:rsid w:val="0067663E"/>
    <w:rsid w:val="00680A82"/>
    <w:rsid w:val="006859F9"/>
    <w:rsid w:val="006925DF"/>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440"/>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21E7"/>
    <w:rsid w:val="007E4D23"/>
    <w:rsid w:val="007E585F"/>
    <w:rsid w:val="007F0728"/>
    <w:rsid w:val="007F4240"/>
    <w:rsid w:val="007F76A7"/>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0099"/>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6A3D"/>
    <w:rsid w:val="009507AE"/>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2B48"/>
    <w:rsid w:val="009B3934"/>
    <w:rsid w:val="009C28AE"/>
    <w:rsid w:val="009C3F83"/>
    <w:rsid w:val="009C4A1C"/>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4C0C"/>
    <w:rsid w:val="00AC55A3"/>
    <w:rsid w:val="00AC68FA"/>
    <w:rsid w:val="00AC75E9"/>
    <w:rsid w:val="00AC7D5A"/>
    <w:rsid w:val="00AD20C0"/>
    <w:rsid w:val="00AD77C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34F7"/>
    <w:rsid w:val="00B83882"/>
    <w:rsid w:val="00B84F66"/>
    <w:rsid w:val="00B8602A"/>
    <w:rsid w:val="00B86626"/>
    <w:rsid w:val="00B920E6"/>
    <w:rsid w:val="00B95BA6"/>
    <w:rsid w:val="00B96DD8"/>
    <w:rsid w:val="00BA2001"/>
    <w:rsid w:val="00BA23BD"/>
    <w:rsid w:val="00BA2665"/>
    <w:rsid w:val="00BA2C8E"/>
    <w:rsid w:val="00BA6133"/>
    <w:rsid w:val="00BB4CEC"/>
    <w:rsid w:val="00BB6919"/>
    <w:rsid w:val="00BB7248"/>
    <w:rsid w:val="00BC34CE"/>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2CCA"/>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2281E"/>
    <w:rsid w:val="00D23607"/>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67F74"/>
    <w:rsid w:val="00D74B2C"/>
    <w:rsid w:val="00D77A2E"/>
    <w:rsid w:val="00D823F3"/>
    <w:rsid w:val="00D867D1"/>
    <w:rsid w:val="00D86E87"/>
    <w:rsid w:val="00D9006E"/>
    <w:rsid w:val="00D90CD8"/>
    <w:rsid w:val="00D90E75"/>
    <w:rsid w:val="00D91B7B"/>
    <w:rsid w:val="00D91CBB"/>
    <w:rsid w:val="00D942A8"/>
    <w:rsid w:val="00D9769D"/>
    <w:rsid w:val="00DA2BF5"/>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7CE6"/>
    <w:rsid w:val="00E015A0"/>
    <w:rsid w:val="00E024B9"/>
    <w:rsid w:val="00E05338"/>
    <w:rsid w:val="00E06FC0"/>
    <w:rsid w:val="00E10B1F"/>
    <w:rsid w:val="00E11277"/>
    <w:rsid w:val="00E124A4"/>
    <w:rsid w:val="00E16535"/>
    <w:rsid w:val="00E16AB6"/>
    <w:rsid w:val="00E23F75"/>
    <w:rsid w:val="00E2525A"/>
    <w:rsid w:val="00E25357"/>
    <w:rsid w:val="00E30D1B"/>
    <w:rsid w:val="00E33E30"/>
    <w:rsid w:val="00E40C79"/>
    <w:rsid w:val="00E4274A"/>
    <w:rsid w:val="00E4456F"/>
    <w:rsid w:val="00E51E1F"/>
    <w:rsid w:val="00E541ED"/>
    <w:rsid w:val="00E55F0F"/>
    <w:rsid w:val="00E55FC2"/>
    <w:rsid w:val="00E635A2"/>
    <w:rsid w:val="00E63FEA"/>
    <w:rsid w:val="00E64711"/>
    <w:rsid w:val="00E66CE2"/>
    <w:rsid w:val="00E73041"/>
    <w:rsid w:val="00E74FEE"/>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39F4"/>
    <w:rsid w:val="00F2678E"/>
    <w:rsid w:val="00F3453C"/>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55B8"/>
    <w:rsid w:val="00F97A17"/>
    <w:rsid w:val="00FA1403"/>
    <w:rsid w:val="00FA1A28"/>
    <w:rsid w:val="00FA1EA2"/>
    <w:rsid w:val="00FA3CBA"/>
    <w:rsid w:val="00FA5D1D"/>
    <w:rsid w:val="00FA6F2A"/>
    <w:rsid w:val="00FB255F"/>
    <w:rsid w:val="00FB2B0A"/>
    <w:rsid w:val="00FB3BEB"/>
    <w:rsid w:val="00FB519E"/>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0FF2E0B"/>
    <w:rsid w:val="1AA77B48"/>
    <w:rsid w:val="21A52B3E"/>
    <w:rsid w:val="28C87AA0"/>
    <w:rsid w:val="2A4841BA"/>
    <w:rsid w:val="372BEFF0"/>
    <w:rsid w:val="3794C6C7"/>
    <w:rsid w:val="3CB3EFB6"/>
    <w:rsid w:val="4893333C"/>
    <w:rsid w:val="4FAF2335"/>
    <w:rsid w:val="52899CC3"/>
    <w:rsid w:val="69A1E491"/>
    <w:rsid w:val="707060F7"/>
    <w:rsid w:val="7A9E8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2208411">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291442">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0543880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3792466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s://dle.rae.es/oculto?m=form" TargetMode="External"/><Relationship Id="rId2" Type="http://schemas.openxmlformats.org/officeDocument/2006/relationships/hyperlink" Target="https://catalogo.ucsm.edu.pe/cgi-bin/koha/opac-search.pl?q=au:%22GUTI%C3%89RREZ%20CAMACHO%2C%20WALTER.%20DIR.%20GEN.%22" TargetMode="External"/><Relationship Id="rId1" Type="http://schemas.openxmlformats.org/officeDocument/2006/relationships/hyperlink" Target="http://www.defaseg.com.pe/reglamento" TargetMode="External"/><Relationship Id="rId4" Type="http://schemas.openxmlformats.org/officeDocument/2006/relationships/hyperlink" Target="https://doi.org/10.18601/16923960.v24n1.0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F06F189-0A1A-4218-9B99-742AC3C79BCD}"/>
</file>

<file path=customXml/itemProps3.xml><?xml version="1.0" encoding="utf-8"?>
<ds:datastoreItem xmlns:ds="http://schemas.openxmlformats.org/officeDocument/2006/customXml" ds:itemID="{12F855EF-2A26-40BC-B7FE-58020157D7A3}"/>
</file>

<file path=customXml/itemProps4.xml><?xml version="1.0" encoding="utf-8"?>
<ds:datastoreItem xmlns:ds="http://schemas.openxmlformats.org/officeDocument/2006/customXml" ds:itemID="{C16C639B-27FD-43A9-B2D6-43FF9A3A8E8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598</cp:revision>
  <cp:lastPrinted>2025-07-01T15:24:00Z</cp:lastPrinted>
  <dcterms:created xsi:type="dcterms:W3CDTF">2023-06-22T13:57:00Z</dcterms:created>
  <dcterms:modified xsi:type="dcterms:W3CDTF">2026-03-30T17:18:41Z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