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C0D25" w:rsidR="00ED76D4" w:rsidP="00655452" w:rsidRDefault="00F15FBA" w14:paraId="75C117BA" w14:textId="7619F020">
      <w:pPr>
        <w:pStyle w:val="Ttulo"/>
        <w:outlineLvl w:val="0"/>
        <w:rPr>
          <w:lang w:val="es-PE"/>
        </w:rPr>
      </w:pPr>
      <w:r w:rsidRPr="00CC0D25">
        <w:rPr>
          <w:lang w:val="es-PE"/>
        </w:rPr>
        <w:t>RESOLUCIÓN N</w:t>
      </w:r>
      <w:r w:rsidRPr="00CC0D25" w:rsidR="001631D6">
        <w:rPr>
          <w:lang w:val="es-PE"/>
        </w:rPr>
        <w:t xml:space="preserve">° </w:t>
      </w:r>
      <w:r w:rsidRPr="00CC0D25" w:rsidR="00E4274A">
        <w:rPr>
          <w:lang w:val="es-PE"/>
        </w:rPr>
        <w:t>10</w:t>
      </w:r>
      <w:r w:rsidRPr="00CC0D25" w:rsidR="00661195">
        <w:rPr>
          <w:lang w:val="es-PE"/>
        </w:rPr>
        <w:t>5</w:t>
      </w:r>
      <w:r w:rsidRPr="00CC0D25" w:rsidR="001272A9">
        <w:rPr>
          <w:lang w:val="es-PE"/>
        </w:rPr>
        <w:t>/</w:t>
      </w:r>
      <w:r w:rsidRPr="00CC0D25" w:rsidR="001631D6">
        <w:rPr>
          <w:lang w:val="es-PE"/>
        </w:rPr>
        <w:t>2</w:t>
      </w:r>
      <w:r w:rsidRPr="00CC0D25" w:rsidR="0073373B">
        <w:rPr>
          <w:lang w:val="es-PE"/>
        </w:rPr>
        <w:t>5</w:t>
      </w:r>
    </w:p>
    <w:p w:rsidRPr="00CC0D25" w:rsidR="00F955B8" w:rsidP="00F239F4" w:rsidRDefault="00F955B8" w14:paraId="305D8459" w14:textId="77777777">
      <w:pPr>
        <w:jc w:val="both"/>
        <w:outlineLvl w:val="0"/>
        <w:rPr>
          <w:b/>
          <w:bCs/>
          <w:lang w:val="es-PE"/>
        </w:rPr>
      </w:pPr>
    </w:p>
    <w:p w:rsidRPr="00CC0D25" w:rsidR="00CC0D25" w:rsidP="00CC0D25" w:rsidRDefault="00CC0D25" w14:paraId="513F86E3" w14:textId="77777777">
      <w:pPr>
        <w:jc w:val="both"/>
        <w:outlineLvl w:val="0"/>
        <w:rPr>
          <w:b/>
          <w:bCs/>
          <w:lang w:val="es-PE"/>
        </w:rPr>
      </w:pPr>
      <w:r w:rsidRPr="00CC0D25">
        <w:rPr>
          <w:b/>
          <w:bCs/>
          <w:lang w:val="es-PE"/>
        </w:rPr>
        <w:t>Vistos:</w:t>
      </w:r>
    </w:p>
    <w:p w:rsidRPr="00CC0D25" w:rsidR="00CC0D25" w:rsidP="00CC0D25" w:rsidRDefault="00CC0D25" w14:paraId="0D26A4F5" w14:textId="77777777">
      <w:pPr>
        <w:jc w:val="both"/>
        <w:outlineLvl w:val="0"/>
        <w:rPr>
          <w:b/>
          <w:bCs/>
          <w:lang w:val="es-PE"/>
        </w:rPr>
      </w:pPr>
    </w:p>
    <w:p w:rsidRPr="00CC0D25" w:rsidR="00CC0D25" w:rsidP="00CC0D25" w:rsidRDefault="00CC0D25" w14:paraId="1E931376" w14:textId="0665D60B">
      <w:pPr>
        <w:jc w:val="both"/>
        <w:outlineLvl w:val="0"/>
        <w:rPr>
          <w:lang w:val="es-PE"/>
        </w:rPr>
      </w:pPr>
      <w:r w:rsidRPr="4489975A" w:rsidR="00CC0D25">
        <w:rPr>
          <w:lang w:val="es-PE"/>
        </w:rPr>
        <w:t xml:space="preserve">Que, con fecha 13 de marzo de 2025 se recibió el reclamo de doña </w:t>
      </w:r>
      <w:r w:rsidRPr="4489975A" w:rsidR="6193DD23">
        <w:rPr>
          <w:lang w:val="es-PE"/>
        </w:rPr>
        <w:t>......................................................</w:t>
      </w:r>
      <w:r w:rsidRPr="4489975A" w:rsidR="00CC0D25">
        <w:rPr>
          <w:lang w:val="es-PE"/>
        </w:rPr>
        <w:t xml:space="preserve"> contra </w:t>
      </w:r>
      <w:r w:rsidRPr="4489975A" w:rsidR="15D3B87F">
        <w:rPr>
          <w:lang w:val="es-PE"/>
        </w:rPr>
        <w:t>.....................................................................</w:t>
      </w:r>
      <w:r w:rsidRPr="4489975A" w:rsidR="00CC0D25">
        <w:rPr>
          <w:lang w:val="es-PE"/>
        </w:rPr>
        <w:t xml:space="preserve"> (en adelante, </w:t>
      </w:r>
      <w:r w:rsidRPr="4489975A" w:rsidR="6DC49B65">
        <w:rPr>
          <w:lang w:val="es-PE"/>
        </w:rPr>
        <w:t>.................</w:t>
      </w:r>
      <w:r w:rsidRPr="4489975A" w:rsidR="00CC0D25">
        <w:rPr>
          <w:lang w:val="es-PE"/>
        </w:rPr>
        <w:t xml:space="preserve">), a través del cual solicita se otorgue la cobertura completa de sepelio conforme a la póliza de seguro de sepelio </w:t>
      </w:r>
      <w:r w:rsidRPr="4489975A" w:rsidR="00CC0D25">
        <w:rPr>
          <w:lang w:val="es-PE"/>
        </w:rPr>
        <w:t>N°</w:t>
      </w:r>
      <w:r w:rsidRPr="4489975A" w:rsidR="00CC0D25">
        <w:rPr>
          <w:lang w:val="es-PE"/>
        </w:rPr>
        <w:t xml:space="preserve"> </w:t>
      </w:r>
      <w:r w:rsidRPr="4489975A" w:rsidR="4B2310F1">
        <w:rPr>
          <w:lang w:val="es-PE"/>
        </w:rPr>
        <w:t>.........................................</w:t>
      </w:r>
      <w:r w:rsidRPr="4489975A" w:rsidR="00CC0D25">
        <w:rPr>
          <w:lang w:val="es-PE"/>
        </w:rPr>
        <w:t xml:space="preserve">. </w:t>
      </w:r>
      <w:bookmarkStart w:name="OLE_LINK2" w:id="0"/>
    </w:p>
    <w:bookmarkEnd w:id="0"/>
    <w:p w:rsidRPr="00CC0D25" w:rsidR="00CC0D25" w:rsidP="00CC0D25" w:rsidRDefault="00CC0D25" w14:paraId="0B5E6226" w14:textId="77777777">
      <w:pPr>
        <w:jc w:val="both"/>
        <w:outlineLvl w:val="0"/>
        <w:rPr>
          <w:lang w:val="es-PE"/>
        </w:rPr>
      </w:pPr>
    </w:p>
    <w:p w:rsidRPr="00CC0D25" w:rsidR="00CC0D25" w:rsidP="00CC0D25" w:rsidRDefault="00CC0D25" w14:paraId="3EE7FBD6" w14:textId="77777777">
      <w:pPr>
        <w:jc w:val="both"/>
        <w:outlineLvl w:val="0"/>
        <w:rPr>
          <w:lang w:val="es-PE"/>
        </w:rPr>
      </w:pPr>
      <w:r w:rsidRPr="00CC0D25">
        <w:rPr>
          <w:lang w:val="es-PE"/>
        </w:rPr>
        <w:t>Que, la señalada reclamación cumple con los requisitos de materia, cuantía y oportunidad establecidos en el Reglamento de la DEFASEG (http://www.defaseg.com.pe/reglamento);</w:t>
      </w:r>
    </w:p>
    <w:p w:rsidRPr="00CC0D25" w:rsidR="00CC0D25" w:rsidP="00CC0D25" w:rsidRDefault="00CC0D25" w14:paraId="64B504C6" w14:textId="77777777">
      <w:pPr>
        <w:jc w:val="both"/>
        <w:outlineLvl w:val="0"/>
        <w:rPr>
          <w:lang w:val="es-PE"/>
        </w:rPr>
      </w:pPr>
    </w:p>
    <w:p w:rsidRPr="00CC0D25" w:rsidR="00CC0D25" w:rsidP="00CC0D25" w:rsidRDefault="00CC0D25" w14:paraId="0F851D70" w14:textId="77777777">
      <w:pPr>
        <w:jc w:val="both"/>
        <w:outlineLvl w:val="0"/>
        <w:rPr>
          <w:lang w:val="es-PE"/>
        </w:rPr>
      </w:pPr>
      <w:r w:rsidRPr="00CC0D25">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 la vocal que suscribe;</w:t>
      </w:r>
    </w:p>
    <w:p w:rsidRPr="00CC0D25" w:rsidR="00CC0D25" w:rsidP="00CC0D25" w:rsidRDefault="00CC0D25" w14:paraId="00C70EAF" w14:textId="77777777">
      <w:pPr>
        <w:jc w:val="both"/>
        <w:outlineLvl w:val="0"/>
        <w:rPr>
          <w:lang w:val="es-PE"/>
        </w:rPr>
      </w:pPr>
    </w:p>
    <w:p w:rsidRPr="00CC0D25" w:rsidR="00CC0D25" w:rsidP="00CC0D25" w:rsidRDefault="00CC0D25" w14:paraId="6F8AFD81" w14:textId="77777777">
      <w:pPr>
        <w:jc w:val="both"/>
        <w:outlineLvl w:val="0"/>
        <w:rPr>
          <w:lang w:val="es-PE"/>
        </w:rPr>
      </w:pPr>
      <w:r w:rsidRPr="00CC0D25">
        <w:rPr>
          <w:lang w:val="es-PE"/>
        </w:rPr>
        <w:t>Que, habiéndosele corrido traslado de la respectiva reclamación, la aseguradora solicitó un plazo adicional para presentar sus descargos, los cuales presenta el 15 de mayo de 2025;</w:t>
      </w:r>
    </w:p>
    <w:p w:rsidRPr="00CC0D25" w:rsidR="00CC0D25" w:rsidP="00CC0D25" w:rsidRDefault="00CC0D25" w14:paraId="422C24F7" w14:textId="77777777">
      <w:pPr>
        <w:jc w:val="both"/>
        <w:outlineLvl w:val="0"/>
        <w:rPr>
          <w:lang w:val="es-PE"/>
        </w:rPr>
      </w:pPr>
    </w:p>
    <w:p w:rsidRPr="00CC0D25" w:rsidR="00CC0D25" w:rsidP="00CC0D25" w:rsidRDefault="00CC0D25" w14:paraId="3292FAB6" w14:textId="77777777">
      <w:pPr>
        <w:jc w:val="both"/>
        <w:outlineLvl w:val="0"/>
        <w:rPr>
          <w:lang w:val="es-PE"/>
        </w:rPr>
      </w:pPr>
      <w:r w:rsidRPr="00CC0D25">
        <w:rPr>
          <w:lang w:val="es-PE"/>
        </w:rPr>
        <w:t xml:space="preserve">Que, el 23 de junio de 2025 se realizó la audiencia virtual de vista con la participación de ambas partes, oportunidad en la cual cada parte expuso su posición procediendo luego a absolver las preguntas formuladas por la </w:t>
      </w:r>
      <w:proofErr w:type="gramStart"/>
      <w:r w:rsidRPr="00CC0D25">
        <w:rPr>
          <w:lang w:val="es-PE"/>
        </w:rPr>
        <w:t>DEFASEG,  y</w:t>
      </w:r>
      <w:proofErr w:type="gramEnd"/>
      <w:r w:rsidRPr="00CC0D25">
        <w:rPr>
          <w:lang w:val="es-PE"/>
        </w:rPr>
        <w:t xml:space="preserve"> dejándose constancia en acta del requerimiento adicional formulado a ambas partes. </w:t>
      </w:r>
    </w:p>
    <w:p w:rsidRPr="00CC0D25" w:rsidR="00CC0D25" w:rsidP="00CC0D25" w:rsidRDefault="00CC0D25" w14:paraId="4BA8EFEF" w14:textId="77777777">
      <w:pPr>
        <w:jc w:val="both"/>
        <w:outlineLvl w:val="0"/>
        <w:rPr>
          <w:lang w:val="es-PE"/>
        </w:rPr>
      </w:pPr>
    </w:p>
    <w:p w:rsidRPr="00CC0D25" w:rsidR="00CC0D25" w:rsidP="00CC0D25" w:rsidRDefault="00CC0D25" w14:paraId="2B09792B" w14:textId="08110407">
      <w:pPr>
        <w:jc w:val="both"/>
        <w:outlineLvl w:val="0"/>
        <w:rPr>
          <w:lang w:val="es-PE"/>
        </w:rPr>
      </w:pPr>
      <w:r w:rsidRPr="4489975A" w:rsidR="00CC0D25">
        <w:rPr>
          <w:lang w:val="es-PE"/>
        </w:rPr>
        <w:t xml:space="preserve">Que en resumen la posición de la reclamante es la siguiente: a) Se encuentra disconforme con el monto pagado por concepto de reembolso de gastos de sepelio de su difunto conviviente </w:t>
      </w:r>
      <w:r w:rsidRPr="4489975A" w:rsidR="7CC0EE6C">
        <w:rPr>
          <w:lang w:val="es-PE"/>
        </w:rPr>
        <w:t>.........................................</w:t>
      </w:r>
      <w:r w:rsidRPr="4489975A" w:rsidR="00CC0D25">
        <w:rPr>
          <w:lang w:val="es-PE"/>
        </w:rPr>
        <w:t xml:space="preserve">, quien falleciera el 17 de noviembre de 2024; b) con fecha 01 de octubre de 2019 su conviviente adquirió el seguro de Sepelio, en el Plan Plus 2 S30, designándola como beneficiaria; c) la póliza contempla, entre otras coberturas, la de gastos de sepelio y beneficio de luto; siendo la suma asegurada por gastos de sepelio  de S/5,500 y por beneficio de luto de S/7,500, conforme se indica en la póliza; d) con fecha 04 de diciembre se presentó la solicitud para el cobro de las coberturas y la aseguradora solo le abonó el beneficio de luto; sin informarle o preguntarle si tenía alguna documentación adicional para hacer posible el pago de ambas coberturas; e) gracias a que la asesoraron tuvo conocimiento que podía reclamar el reembolso de sepelio, si no, solo hubiera cobrado el beneficio de luto; añade que la aseguradora omite dar alcance al usuario haciendo que pierda beneficios que le corresponden; f) con fecha 02 de enero de 2025 le realizaron el depósito por beneficio de luto, y el 22 de enero de 2025 presentó la solicitud para el reembolso de los gastos de sepelio; g) el 22 de febrero le realizan el depósito por dicho reembolso; si bien el contrato establece que la cobertura es hasta S/5,500, el gasto que realizó es hasta S/4,300, lo que acreditó con documentación contable, por lo que ese fue el monto que debieron reembolsarle; no obstante, solo le han abonado S/2,500; h) reclamó a </w:t>
      </w:r>
      <w:r w:rsidRPr="4489975A" w:rsidR="6DC49B65">
        <w:rPr>
          <w:lang w:val="es-PE"/>
        </w:rPr>
        <w:t>.................</w:t>
      </w:r>
      <w:r w:rsidRPr="4489975A" w:rsidR="00CC0D25">
        <w:rPr>
          <w:lang w:val="es-PE"/>
        </w:rPr>
        <w:t xml:space="preserve"> por la diferencia y han declarado infundado su reclamo; sin brindarle las razones por las cuales lo declaran infundado; por lo que solicita se requiera a la aseguradora el pago de la </w:t>
      </w:r>
      <w:r w:rsidRPr="4489975A" w:rsidR="00CC0D25">
        <w:rPr>
          <w:lang w:val="es-PE"/>
        </w:rPr>
        <w:t>diferencia,  más</w:t>
      </w:r>
      <w:r w:rsidRPr="4489975A" w:rsidR="00CC0D25">
        <w:rPr>
          <w:lang w:val="es-PE"/>
        </w:rPr>
        <w:t xml:space="preserve"> intereses legales, pues no existe razón que justifique la reducción de S/1,800. Adicionalmente en la audiencia de vista, la parte reclamante señaló </w:t>
      </w:r>
      <w:r w:rsidRPr="4489975A" w:rsidR="00CC0D25">
        <w:rPr>
          <w:lang w:val="es-PE"/>
        </w:rPr>
        <w:t>que</w:t>
      </w:r>
      <w:r w:rsidRPr="4489975A" w:rsidR="00CC0D25">
        <w:rPr>
          <w:lang w:val="es-PE"/>
        </w:rPr>
        <w:t xml:space="preserve"> si bien la póliza contempla un sublímite para servicios de sepelio no reportados, este </w:t>
      </w:r>
      <w:r w:rsidRPr="4489975A" w:rsidR="00CC0D25">
        <w:rPr>
          <w:lang w:val="es-PE"/>
        </w:rPr>
        <w:t>no se aplica al caso que nos ocupa, pues el servicio fue reportado adjuntando el comprobante de pago correspondiente.</w:t>
      </w:r>
    </w:p>
    <w:p w:rsidRPr="00CC0D25" w:rsidR="00CC0D25" w:rsidP="00CC0D25" w:rsidRDefault="00CC0D25" w14:paraId="257A3C31" w14:textId="77777777">
      <w:pPr>
        <w:jc w:val="both"/>
        <w:outlineLvl w:val="0"/>
        <w:rPr>
          <w:lang w:val="es-PE"/>
        </w:rPr>
      </w:pPr>
    </w:p>
    <w:p w:rsidRPr="00CC0D25" w:rsidR="00CC0D25" w:rsidP="00CC0D25" w:rsidRDefault="00CC0D25" w14:paraId="5D63E7E9" w14:textId="77777777">
      <w:pPr>
        <w:jc w:val="both"/>
        <w:outlineLvl w:val="0"/>
        <w:rPr>
          <w:lang w:val="es-PE"/>
        </w:rPr>
      </w:pPr>
      <w:r w:rsidRPr="00CC0D25">
        <w:rPr>
          <w:lang w:val="es-PE"/>
        </w:rPr>
        <w:t>Que, conforme se desprende de los descargos presentados por la aseguradora y de lo expuesto en la audiencia de vista, sustenta el rechazo del pago adicional solicitado por la reclamante siniestro en lo siguiente:  a) a) tal como se le informó a la reclamante en la carta de rechazo enviada el 11 de marzo de 2025, la compañía procedió con el pago correspondiente al beneficio de luto por la suma de S/7,500, y con el pago de los gastos de sepelio por la suma de S/2,500; ello en virtud a los montos máximos permitidos para dicho concepto en el contrato de seguro contratado; b) teniendo en cuenta las condiciones del seguro, no es posible que se pueda brindar coberturas mayores a los montos establecidos en la póliza de seguros, no siendo posible así que se abone un monto adicional; c) el contrato es obligatorio para las partes en cuanto se haya expresado en ellos, por lo que no existe justificación alguna para que se aparten de lo convenido; por lo que solicitan que el reclamo sea declarado infundado; d) en este caso la póliza contempla un límite adicional para el servicio de sepelio no reportado, el cual aplicaron al liquidar el siniestro.</w:t>
      </w:r>
    </w:p>
    <w:p w:rsidRPr="00CC0D25" w:rsidR="00CC0D25" w:rsidP="00CC0D25" w:rsidRDefault="00CC0D25" w14:paraId="5CC4B3C1" w14:textId="77777777">
      <w:pPr>
        <w:jc w:val="both"/>
        <w:outlineLvl w:val="0"/>
        <w:rPr>
          <w:lang w:val="es-PE"/>
        </w:rPr>
      </w:pPr>
    </w:p>
    <w:p w:rsidRPr="00CC0D25" w:rsidR="00CC0D25" w:rsidP="00CC0D25" w:rsidRDefault="00CC0D25" w14:paraId="0130D25A" w14:textId="77777777">
      <w:pPr>
        <w:jc w:val="both"/>
        <w:outlineLvl w:val="0"/>
        <w:rPr>
          <w:lang w:val="es-PE"/>
        </w:rPr>
      </w:pPr>
      <w:r w:rsidRPr="00CC0D25">
        <w:rPr>
          <w:lang w:val="es-PE"/>
        </w:rPr>
        <w:t>Que, con fecha 30 de junio el reclamante, expresó las razones por las cuales considera que estamos ante un servicio de sepelio reportando y por tanto no es aplicable el sublímite de S/2,500.</w:t>
      </w:r>
    </w:p>
    <w:p w:rsidRPr="00CC0D25" w:rsidR="00CC0D25" w:rsidP="00CC0D25" w:rsidRDefault="00CC0D25" w14:paraId="49027500" w14:textId="77777777">
      <w:pPr>
        <w:jc w:val="both"/>
        <w:outlineLvl w:val="0"/>
        <w:rPr>
          <w:lang w:val="es-PE"/>
        </w:rPr>
      </w:pPr>
    </w:p>
    <w:p w:rsidRPr="00CC0D25" w:rsidR="00CC0D25" w:rsidP="00CC0D25" w:rsidRDefault="00CC0D25" w14:paraId="7E4F6494" w14:textId="77777777">
      <w:pPr>
        <w:jc w:val="both"/>
        <w:outlineLvl w:val="0"/>
        <w:rPr>
          <w:lang w:val="es-PE"/>
        </w:rPr>
      </w:pPr>
      <w:r w:rsidRPr="00CC0D25">
        <w:rPr>
          <w:lang w:val="es-PE"/>
        </w:rPr>
        <w:t>Que, por su parte, la aseguradora no sustentó las razones por las cuales considera que estamos ante un servicio no reportado y por tanto aplican el límite de S/2,500; habiendo vencido el plazo otorgado para dicho efecto.</w:t>
      </w:r>
    </w:p>
    <w:p w:rsidRPr="00CC0D25" w:rsidR="00CC0D25" w:rsidP="00CC0D25" w:rsidRDefault="00CC0D25" w14:paraId="46D2766E" w14:textId="77777777">
      <w:pPr>
        <w:jc w:val="both"/>
        <w:outlineLvl w:val="0"/>
        <w:rPr>
          <w:lang w:val="es-PE"/>
        </w:rPr>
      </w:pPr>
    </w:p>
    <w:p w:rsidRPr="00CC0D25" w:rsidR="00CC0D25" w:rsidP="00CC0D25" w:rsidRDefault="00CC0D25" w14:paraId="13162CC3" w14:textId="77777777">
      <w:pPr>
        <w:jc w:val="both"/>
        <w:outlineLvl w:val="0"/>
        <w:rPr>
          <w:lang w:val="es-PE"/>
        </w:rPr>
      </w:pPr>
      <w:r w:rsidRPr="00CC0D25">
        <w:rPr>
          <w:lang w:val="es-PE"/>
        </w:rPr>
        <w:t>Que, el expediente se encuentra en condiciones para que este colegiado expida su pronunciamiento.</w:t>
      </w:r>
    </w:p>
    <w:p w:rsidRPr="00CC0D25" w:rsidR="00CC0D25" w:rsidP="00CC0D25" w:rsidRDefault="00CC0D25" w14:paraId="54BFDD4D" w14:textId="77777777">
      <w:pPr>
        <w:jc w:val="both"/>
        <w:outlineLvl w:val="0"/>
        <w:rPr>
          <w:lang w:val="es-PE"/>
        </w:rPr>
      </w:pPr>
    </w:p>
    <w:p w:rsidRPr="00CC0D25" w:rsidR="00CC0D25" w:rsidP="00CC0D25" w:rsidRDefault="00CC0D25" w14:paraId="5F99B01B" w14:textId="77777777">
      <w:pPr>
        <w:jc w:val="both"/>
        <w:outlineLvl w:val="0"/>
        <w:rPr>
          <w:lang w:val="es-PE"/>
        </w:rPr>
      </w:pPr>
      <w:r w:rsidRPr="00CC0D25">
        <w:rPr>
          <w:b/>
          <w:bCs/>
          <w:lang w:val="es-PE"/>
        </w:rPr>
        <w:t>Considerando:</w:t>
      </w:r>
    </w:p>
    <w:p w:rsidRPr="00CC0D25" w:rsidR="00CC0D25" w:rsidP="00CC0D25" w:rsidRDefault="00CC0D25" w14:paraId="2605F38C" w14:textId="77777777">
      <w:pPr>
        <w:jc w:val="both"/>
        <w:outlineLvl w:val="0"/>
        <w:rPr>
          <w:lang w:val="es-PE"/>
        </w:rPr>
      </w:pPr>
    </w:p>
    <w:p w:rsidRPr="00CC0D25" w:rsidR="00CC0D25" w:rsidP="00CC0D25" w:rsidRDefault="00CC0D25" w14:paraId="4D5CFF60" w14:textId="77777777">
      <w:pPr>
        <w:jc w:val="both"/>
        <w:outlineLvl w:val="0"/>
        <w:rPr>
          <w:lang w:val="es-PE"/>
        </w:rPr>
      </w:pPr>
      <w:r w:rsidRPr="00CC0D25">
        <w:rPr>
          <w:b/>
          <w:u w:val="single"/>
          <w:lang w:val="es-PE"/>
        </w:rPr>
        <w:t>Primero</w:t>
      </w:r>
      <w:r w:rsidRPr="00CC0D25">
        <w:rPr>
          <w:b/>
          <w:lang w:val="es-PE"/>
        </w:rPr>
        <w:t xml:space="preserve">: </w:t>
      </w:r>
      <w:r w:rsidRPr="00CC0D25">
        <w:rPr>
          <w:lang w:val="es-PE"/>
        </w:rPr>
        <w:t>Conforme a su Reglamento, la</w:t>
      </w:r>
      <w:r w:rsidRPr="00CC0D25">
        <w:rPr>
          <w:b/>
          <w:bCs/>
          <w:lang w:val="es-PE"/>
        </w:rPr>
        <w:t xml:space="preserve"> </w:t>
      </w:r>
      <w:r w:rsidRPr="00CC0D2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C0D25" w:rsidR="00CC0D25" w:rsidP="00CC0D25" w:rsidRDefault="00CC0D25" w14:paraId="03BDE497" w14:textId="77777777">
      <w:pPr>
        <w:jc w:val="both"/>
        <w:outlineLvl w:val="0"/>
        <w:rPr>
          <w:bCs/>
        </w:rPr>
      </w:pPr>
    </w:p>
    <w:p w:rsidRPr="00CC0D25" w:rsidR="00CC0D25" w:rsidP="00CC0D25" w:rsidRDefault="00CC0D25" w14:paraId="26F718BF" w14:textId="77777777">
      <w:pPr>
        <w:jc w:val="both"/>
        <w:outlineLvl w:val="0"/>
        <w:rPr>
          <w:bCs/>
          <w:lang w:val="es-PE"/>
        </w:rPr>
      </w:pPr>
      <w:r w:rsidRPr="00CC0D25">
        <w:rPr>
          <w:b/>
          <w:bCs/>
          <w:u w:val="single"/>
          <w:lang w:val="es-PE"/>
        </w:rPr>
        <w:t>Segundo</w:t>
      </w:r>
      <w:r w:rsidRPr="00CC0D25">
        <w:rPr>
          <w:b/>
          <w:bCs/>
          <w:lang w:val="es-PE"/>
        </w:rPr>
        <w:t>:</w:t>
      </w:r>
      <w:r w:rsidRPr="00CC0D25">
        <w:rPr>
          <w:bCs/>
          <w:lang w:val="es-PE"/>
        </w:rPr>
        <w:t xml:space="preserve"> </w:t>
      </w:r>
      <w:r w:rsidRPr="00CC0D25">
        <w:rPr>
          <w:lang w:val="es-PE"/>
        </w:rPr>
        <w:t xml:space="preserve">Asimismo, de acuerdo a </w:t>
      </w:r>
      <w:r w:rsidRPr="00CC0D2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C0D25" w:rsidR="00CC0D25" w:rsidP="00CC0D25" w:rsidRDefault="00CC0D25" w14:paraId="707D3173" w14:textId="77777777">
      <w:pPr>
        <w:jc w:val="both"/>
        <w:outlineLvl w:val="0"/>
        <w:rPr>
          <w:lang w:val="es-PE"/>
        </w:rPr>
      </w:pPr>
    </w:p>
    <w:p w:rsidRPr="00CC0D25" w:rsidR="00CC0D25" w:rsidP="00CC0D25" w:rsidRDefault="00CC0D25" w14:paraId="0DDEEF5C" w14:textId="77777777">
      <w:pPr>
        <w:jc w:val="both"/>
        <w:outlineLvl w:val="0"/>
      </w:pPr>
      <w:r w:rsidRPr="00CC0D25">
        <w:rPr>
          <w:b/>
          <w:bCs/>
          <w:u w:val="single"/>
          <w:lang w:val="es-PE"/>
        </w:rPr>
        <w:t>Tercero</w:t>
      </w:r>
      <w:r w:rsidRPr="00CC0D25">
        <w:rPr>
          <w:b/>
          <w:bCs/>
          <w:lang w:val="es-PE"/>
        </w:rPr>
        <w:t>:</w:t>
      </w:r>
      <w:r w:rsidRPr="00CC0D25">
        <w:rPr>
          <w:lang w:val="es-PE"/>
        </w:rPr>
        <w:t xml:space="preserve"> Que, de acuerdo a la Ley Nro. </w:t>
      </w:r>
      <w:r w:rsidRPr="00CC0D25">
        <w:t xml:space="preserve">29946 – Ley del Contrato de Seguro, norma legal vigente con ocasión de la celebración del contrato al cual se contrae el presente caso, </w:t>
      </w:r>
      <w:r w:rsidRPr="00CC0D25">
        <w:rPr>
          <w:lang w:val="es-PE"/>
        </w:rPr>
        <w:t xml:space="preserve">todas </w:t>
      </w:r>
      <w:r w:rsidRPr="00CC0D25">
        <w:rPr>
          <w:lang w:val="es-PE"/>
        </w:rPr>
        <w:lastRenderedPageBreak/>
        <w:t>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C0D25" w:rsidR="00CC0D25" w:rsidP="00CC0D25" w:rsidRDefault="00CC0D25" w14:paraId="3C914329" w14:textId="77777777">
      <w:pPr>
        <w:jc w:val="both"/>
        <w:outlineLvl w:val="0"/>
        <w:rPr>
          <w:b/>
          <w:u w:val="single"/>
          <w:lang w:val="es-PE"/>
        </w:rPr>
      </w:pPr>
    </w:p>
    <w:p w:rsidRPr="00CC0D25" w:rsidR="00CC0D25" w:rsidP="00CC0D25" w:rsidRDefault="00CC0D25" w14:paraId="2BCA5237" w14:textId="77777777">
      <w:pPr>
        <w:jc w:val="both"/>
        <w:outlineLvl w:val="0"/>
        <w:rPr>
          <w:lang w:val="es-PE"/>
        </w:rPr>
      </w:pPr>
      <w:r w:rsidRPr="00CC0D25">
        <w:rPr>
          <w:b/>
          <w:u w:val="single"/>
          <w:lang w:val="es-PE"/>
        </w:rPr>
        <w:t>Cuarto</w:t>
      </w:r>
      <w:r w:rsidRPr="00CC0D25">
        <w:rPr>
          <w:b/>
          <w:lang w:val="es-PE"/>
        </w:rPr>
        <w:t>:</w:t>
      </w:r>
      <w:r w:rsidRPr="00CC0D2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C0D25" w:rsidR="00CC0D25" w:rsidP="00CC0D25" w:rsidRDefault="00CC0D25" w14:paraId="0BC0C50D" w14:textId="77777777">
      <w:pPr>
        <w:jc w:val="both"/>
        <w:outlineLvl w:val="0"/>
        <w:rPr>
          <w:bCs/>
        </w:rPr>
      </w:pPr>
    </w:p>
    <w:p w:rsidRPr="00CC0D25" w:rsidR="00CC0D25" w:rsidP="00CC0D25" w:rsidRDefault="00CC0D25" w14:paraId="7D54389E" w14:textId="77777777">
      <w:pPr>
        <w:jc w:val="both"/>
        <w:outlineLvl w:val="0"/>
        <w:rPr>
          <w:lang w:val="en-US"/>
        </w:rPr>
      </w:pPr>
      <w:r w:rsidRPr="00CC0D25">
        <w:rPr>
          <w:b/>
          <w:bCs/>
          <w:u w:val="single"/>
          <w:lang w:val="es-PE"/>
        </w:rPr>
        <w:t>Quinto</w:t>
      </w:r>
      <w:r w:rsidRPr="00CC0D25">
        <w:rPr>
          <w:b/>
          <w:bCs/>
          <w:lang w:val="es-PE"/>
        </w:rPr>
        <w:t xml:space="preserve">: </w:t>
      </w:r>
      <w:r w:rsidRPr="00CC0D25">
        <w:rPr>
          <w:lang w:val="es-PE"/>
        </w:rPr>
        <w:t>Que, conforme al</w:t>
      </w:r>
      <w:r w:rsidRPr="00CC0D25">
        <w:rPr>
          <w:b/>
          <w:bCs/>
          <w:lang w:val="es-PE"/>
        </w:rPr>
        <w:t xml:space="preserve"> </w:t>
      </w:r>
      <w:r w:rsidRPr="00CC0D2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C0D25" w:rsidR="00CC0D25" w:rsidP="00CC0D25" w:rsidRDefault="00CC0D25" w14:paraId="230D0EBE" w14:textId="77777777">
      <w:pPr>
        <w:jc w:val="both"/>
        <w:outlineLvl w:val="0"/>
      </w:pPr>
    </w:p>
    <w:p w:rsidRPr="00CC0D25" w:rsidR="00CC0D25" w:rsidP="00CC0D25" w:rsidRDefault="00CC0D25" w14:paraId="46FB66EA" w14:textId="77777777">
      <w:pPr>
        <w:jc w:val="both"/>
        <w:outlineLvl w:val="0"/>
        <w:rPr>
          <w:lang w:val="es-PE"/>
        </w:rPr>
      </w:pPr>
      <w:r w:rsidRPr="00CC0D25">
        <w:rPr>
          <w:b/>
          <w:u w:val="single"/>
        </w:rPr>
        <w:t>Sexto</w:t>
      </w:r>
      <w:r w:rsidRPr="00CC0D25">
        <w:rPr>
          <w:b/>
        </w:rPr>
        <w:t>:</w:t>
      </w:r>
      <w:r w:rsidRPr="00CC0D25">
        <w:rPr>
          <w:b/>
          <w:lang w:val="es-PE"/>
        </w:rPr>
        <w:t xml:space="preserve"> </w:t>
      </w:r>
      <w:r w:rsidRPr="00CC0D25">
        <w:rPr>
          <w:lang w:val="es-PE"/>
        </w:rPr>
        <w:t xml:space="preserve">Sobre la base de los términos contenidos en la reclamación y en la absolución de </w:t>
      </w:r>
      <w:proofErr w:type="gramStart"/>
      <w:r w:rsidRPr="00CC0D25">
        <w:rPr>
          <w:lang w:val="es-PE"/>
        </w:rPr>
        <w:t>la misma</w:t>
      </w:r>
      <w:proofErr w:type="gramEnd"/>
      <w:r w:rsidRPr="00CC0D25">
        <w:rPr>
          <w:lang w:val="es-PE"/>
        </w:rPr>
        <w:t xml:space="preserve">, y a lo tratado en la audiencia de vista, la cuestión controvertida radica en determinar si corresponde que la aseguradora reembolse el total de los gastos de sepelio incurridos por la reclamante. </w:t>
      </w:r>
    </w:p>
    <w:p w:rsidRPr="00CC0D25" w:rsidR="00CC0D25" w:rsidP="00CC0D25" w:rsidRDefault="00CC0D25" w14:paraId="35A7FB52" w14:textId="77777777">
      <w:pPr>
        <w:jc w:val="both"/>
        <w:outlineLvl w:val="0"/>
        <w:rPr>
          <w:lang w:val="es-PE"/>
        </w:rPr>
      </w:pPr>
    </w:p>
    <w:p w:rsidRPr="00CC0D25" w:rsidR="00CC0D25" w:rsidP="00CC0D25" w:rsidRDefault="00CC0D25" w14:paraId="08614A3D" w14:textId="77777777">
      <w:pPr>
        <w:jc w:val="both"/>
        <w:outlineLvl w:val="0"/>
        <w:rPr>
          <w:lang w:val="es-PE"/>
        </w:rPr>
      </w:pPr>
      <w:r w:rsidRPr="00CC0D25">
        <w:rPr>
          <w:lang w:val="es-PE"/>
        </w:rPr>
        <w:t>Teniendo en cuenta que el monto reclamado es de S/4,300 y que la aseguradora ha pagado S/2,500 por dicho concepto, el reclamo versa sobre el pago de la diferencia, esto es, la suma de S/1,800.</w:t>
      </w:r>
    </w:p>
    <w:p w:rsidRPr="00CC0D25" w:rsidR="00CC0D25" w:rsidP="00CC0D25" w:rsidRDefault="00CC0D25" w14:paraId="1769CAA6" w14:textId="77777777">
      <w:pPr>
        <w:jc w:val="both"/>
        <w:outlineLvl w:val="0"/>
        <w:rPr>
          <w:lang w:val="es-PE"/>
        </w:rPr>
      </w:pPr>
    </w:p>
    <w:p w:rsidRPr="00CC0D25" w:rsidR="00CC0D25" w:rsidP="00CC0D25" w:rsidRDefault="00CC0D25" w14:paraId="508FF687" w14:textId="77777777">
      <w:pPr>
        <w:jc w:val="both"/>
        <w:outlineLvl w:val="0"/>
        <w:rPr>
          <w:lang w:val="es-PE"/>
        </w:rPr>
      </w:pPr>
      <w:r w:rsidRPr="00CC0D25">
        <w:rPr>
          <w:lang w:val="es-PE"/>
        </w:rPr>
        <w:t>Se deja constancia que no estamos ante un rechazo de siniestro, por cuanto la aseguradora reconoce que el mismo está cubierto por el seguro. Lo que se discute es la liquidación de siniestro, es decir, si la aseguradora cumplió con otorgar la cobertura de gastos de sepelio conforme a lo establecido en la póliza.</w:t>
      </w:r>
    </w:p>
    <w:p w:rsidRPr="00CC0D25" w:rsidR="00CC0D25" w:rsidP="00CC0D25" w:rsidRDefault="00CC0D25" w14:paraId="3DF18A09" w14:textId="77777777">
      <w:pPr>
        <w:jc w:val="both"/>
        <w:outlineLvl w:val="0"/>
        <w:rPr>
          <w:lang w:val="es-PE"/>
        </w:rPr>
      </w:pPr>
    </w:p>
    <w:p w:rsidRPr="00CC0D25" w:rsidR="00CC0D25" w:rsidP="00CC0D25" w:rsidRDefault="00CC0D25" w14:paraId="764951CF" w14:textId="77777777">
      <w:pPr>
        <w:jc w:val="both"/>
        <w:outlineLvl w:val="0"/>
        <w:rPr>
          <w:lang w:val="es-PE"/>
        </w:rPr>
      </w:pPr>
      <w:r w:rsidRPr="00CC0D25">
        <w:rPr>
          <w:b/>
          <w:u w:val="single"/>
        </w:rPr>
        <w:t>Sétimo</w:t>
      </w:r>
      <w:r w:rsidRPr="00CC0D25">
        <w:rPr>
          <w:b/>
        </w:rPr>
        <w:t>:</w:t>
      </w:r>
      <w:r w:rsidRPr="00CC0D25">
        <w:rPr>
          <w:b/>
          <w:lang w:val="es-PE"/>
        </w:rPr>
        <w:t xml:space="preserve"> </w:t>
      </w:r>
      <w:r w:rsidRPr="00CC0D25">
        <w:rPr>
          <w:lang w:val="es-PE"/>
        </w:rPr>
        <w:t xml:space="preserve">La aseguradora señala que ha otorgado la suma de S/2,500 por cuanto es el límite que establece la póliza. No </w:t>
      </w:r>
      <w:proofErr w:type="gramStart"/>
      <w:r w:rsidRPr="00CC0D25">
        <w:rPr>
          <w:lang w:val="es-PE"/>
        </w:rPr>
        <w:t>obstante</w:t>
      </w:r>
      <w:proofErr w:type="gramEnd"/>
      <w:r w:rsidRPr="00CC0D25">
        <w:rPr>
          <w:lang w:val="es-PE"/>
        </w:rPr>
        <w:t xml:space="preserve"> no señaló ni en su carta de rechazo, ni en sus descargos ante la DEFASEG, </w:t>
      </w:r>
      <w:proofErr w:type="gramStart"/>
      <w:r w:rsidRPr="00CC0D25">
        <w:rPr>
          <w:lang w:val="es-PE"/>
        </w:rPr>
        <w:t>dónde es que</w:t>
      </w:r>
      <w:proofErr w:type="gramEnd"/>
      <w:r w:rsidRPr="00CC0D25">
        <w:rPr>
          <w:lang w:val="es-PE"/>
        </w:rPr>
        <w:t xml:space="preserve"> figura dicho monto límite; siendo que tampoco ha adjuntado la póliza de seguro; por lo que este ORU invoca a la aseguradora a ser más específica en sus comunicaciones al asegurado y/o beneficiario, así como ante la Defensoría respecto del sustento de sus afirmaciones.</w:t>
      </w:r>
    </w:p>
    <w:p w:rsidRPr="00CC0D25" w:rsidR="00CC0D25" w:rsidP="00CC0D25" w:rsidRDefault="00CC0D25" w14:paraId="75D46A88" w14:textId="77777777">
      <w:pPr>
        <w:jc w:val="both"/>
        <w:outlineLvl w:val="0"/>
        <w:rPr>
          <w:lang w:val="es-PE"/>
        </w:rPr>
      </w:pPr>
    </w:p>
    <w:p w:rsidRPr="00CC0D25" w:rsidR="00CC0D25" w:rsidP="00CC0D25" w:rsidRDefault="00CC0D25" w14:paraId="7107D8D1" w14:textId="77777777">
      <w:pPr>
        <w:jc w:val="both"/>
        <w:outlineLvl w:val="0"/>
        <w:rPr>
          <w:lang w:val="es-PE"/>
        </w:rPr>
      </w:pPr>
      <w:r w:rsidRPr="00CC0D25">
        <w:rPr>
          <w:lang w:val="es-PE"/>
        </w:rPr>
        <w:t>Ahora bien, este colegiado, ha revisado el contrato de seguro de sepelio, presentada por la reclamante</w:t>
      </w:r>
      <w:r w:rsidRPr="00CC0D25">
        <w:rPr>
          <w:vertAlign w:val="superscript"/>
          <w:lang w:val="es-PE"/>
        </w:rPr>
        <w:footnoteReference w:id="1"/>
      </w:r>
      <w:r w:rsidRPr="00CC0D25">
        <w:rPr>
          <w:lang w:val="es-PE"/>
        </w:rPr>
        <w:t xml:space="preserve">; y advierte que el asegurado contrató el </w:t>
      </w:r>
      <w:r w:rsidRPr="00CC0D25">
        <w:rPr>
          <w:b/>
          <w:bCs/>
          <w:u w:val="single"/>
          <w:lang w:val="es-PE"/>
        </w:rPr>
        <w:t>Plan Plus 2 S 30</w:t>
      </w:r>
      <w:r w:rsidRPr="00CC0D25">
        <w:rPr>
          <w:lang w:val="es-PE"/>
        </w:rPr>
        <w:t xml:space="preserve">, siendo que en las </w:t>
      </w:r>
      <w:r w:rsidRPr="00CC0D25">
        <w:rPr>
          <w:lang w:val="es-PE"/>
        </w:rPr>
        <w:lastRenderedPageBreak/>
        <w:t>condiciones particulares figura un cuadro sobre el servicio de sepelio, el cual varía según los distintos planes existentes, conforme al siguiente detalle:</w:t>
      </w:r>
    </w:p>
    <w:p w:rsidRPr="00CC0D25" w:rsidR="00CC0D25" w:rsidP="00CC0D25" w:rsidRDefault="00CC0D25" w14:paraId="5515BC0A" w14:textId="77777777">
      <w:pPr>
        <w:jc w:val="both"/>
        <w:outlineLvl w:val="0"/>
        <w:rPr>
          <w:lang w:val="es-PE"/>
        </w:rPr>
      </w:pPr>
    </w:p>
    <w:p w:rsidRPr="00CC0D25" w:rsidR="00CC0D25" w:rsidP="4489975A" w:rsidRDefault="00CC0D25" w14:paraId="3216BA36" w14:textId="64A05ADF">
      <w:pPr>
        <w:pStyle w:val="Normal"/>
        <w:jc w:val="center"/>
        <w:outlineLvl w:val="0"/>
      </w:pPr>
      <w:r w:rsidR="1505B460">
        <w:rPr/>
        <w:t>...................................................................................................</w:t>
      </w:r>
    </w:p>
    <w:p w:rsidRPr="00CC0D25" w:rsidR="00CC0D25" w:rsidP="00CC0D25" w:rsidRDefault="00CC0D25" w14:paraId="2CF27A04" w14:textId="67D4B5BD">
      <w:pPr>
        <w:jc w:val="center"/>
        <w:outlineLvl w:val="0"/>
      </w:pPr>
      <w:r w:rsidR="1505B460">
        <w:rPr/>
        <w:t>......................................................................................................</w:t>
      </w:r>
    </w:p>
    <w:p w:rsidRPr="00CC0D25" w:rsidR="00CC0D25" w:rsidP="00CC0D25" w:rsidRDefault="00CC0D25" w14:paraId="6D3FC178" w14:textId="77777777">
      <w:pPr>
        <w:jc w:val="both"/>
        <w:outlineLvl w:val="0"/>
        <w:rPr>
          <w:lang w:val="es-PE"/>
        </w:rPr>
      </w:pPr>
    </w:p>
    <w:p w:rsidRPr="00CC0D25" w:rsidR="00CC0D25" w:rsidP="00CC0D25" w:rsidRDefault="00CC0D25" w14:paraId="41EE0684" w14:textId="77777777">
      <w:pPr>
        <w:jc w:val="both"/>
        <w:outlineLvl w:val="0"/>
        <w:rPr>
          <w:lang w:val="es-PE"/>
        </w:rPr>
      </w:pPr>
      <w:proofErr w:type="gramStart"/>
      <w:r w:rsidRPr="00CC0D25">
        <w:rPr>
          <w:lang w:val="es-PE"/>
        </w:rPr>
        <w:t>De acuerdo a</w:t>
      </w:r>
      <w:proofErr w:type="gramEnd"/>
      <w:r w:rsidRPr="00CC0D25">
        <w:rPr>
          <w:lang w:val="es-PE"/>
        </w:rPr>
        <w:t xml:space="preserve"> ello, el servicio de sepelio, bajo el plan Plus 2 contratado, tenía una cobertura límite de S/5,500; siendo que líneas abajo se indicaba que el reembolso por servicio “no reportado” es hasta S/2,500 (el resaltado es nuestro), monto pagado por la aseguradora.</w:t>
      </w:r>
    </w:p>
    <w:p w:rsidRPr="00CC0D25" w:rsidR="00CC0D25" w:rsidP="00CC0D25" w:rsidRDefault="00CC0D25" w14:paraId="637CBB69" w14:textId="77777777">
      <w:pPr>
        <w:jc w:val="both"/>
        <w:outlineLvl w:val="0"/>
        <w:rPr>
          <w:lang w:val="es-PE"/>
        </w:rPr>
      </w:pPr>
    </w:p>
    <w:p w:rsidRPr="00CC0D25" w:rsidR="00CC0D25" w:rsidP="00CC0D25" w:rsidRDefault="00CC0D25" w14:paraId="432E9398" w14:textId="77777777">
      <w:pPr>
        <w:jc w:val="both"/>
        <w:outlineLvl w:val="0"/>
        <w:rPr>
          <w:lang w:val="es-PE"/>
        </w:rPr>
      </w:pPr>
      <w:r w:rsidRPr="00CC0D25">
        <w:rPr>
          <w:lang w:val="es-PE"/>
        </w:rPr>
        <w:t>Adicionalmente, se aprecia que las condiciones particulares se detallaban las coberturas por titular y dependientes, señalando en el caso del titular, lo siguiente:</w:t>
      </w:r>
    </w:p>
    <w:p w:rsidRPr="00CC0D25" w:rsidR="00CC0D25" w:rsidP="00CC0D25" w:rsidRDefault="00CC0D25" w14:paraId="6CE10FFF" w14:textId="77777777">
      <w:pPr>
        <w:jc w:val="both"/>
        <w:outlineLvl w:val="0"/>
        <w:rPr>
          <w:lang w:val="es-PE"/>
        </w:rPr>
      </w:pPr>
    </w:p>
    <w:p w:rsidRPr="00CC0D25" w:rsidR="00CC0D25" w:rsidP="00CC0D25" w:rsidRDefault="00CC0D25" w14:paraId="112FAB6A" w14:textId="45808FED">
      <w:pPr>
        <w:jc w:val="center"/>
        <w:outlineLvl w:val="0"/>
      </w:pPr>
      <w:r w:rsidR="77849D83">
        <w:rPr/>
        <w:t>................................................................................</w:t>
      </w:r>
    </w:p>
    <w:p w:rsidRPr="00CC0D25" w:rsidR="00CC0D25" w:rsidP="00CC0D25" w:rsidRDefault="00CC0D25" w14:paraId="7AD45162" w14:textId="77777777">
      <w:pPr>
        <w:jc w:val="both"/>
        <w:outlineLvl w:val="0"/>
        <w:rPr>
          <w:lang w:val="es-PE"/>
        </w:rPr>
      </w:pPr>
    </w:p>
    <w:p w:rsidRPr="00CC0D25" w:rsidR="00CC0D25" w:rsidP="00CC0D25" w:rsidRDefault="00CC0D25" w14:paraId="3E431935" w14:textId="77777777">
      <w:pPr>
        <w:jc w:val="both"/>
        <w:outlineLvl w:val="0"/>
        <w:rPr>
          <w:lang w:val="es-PE"/>
        </w:rPr>
      </w:pPr>
      <w:r w:rsidRPr="00CC0D25">
        <w:rPr>
          <w:lang w:val="es-PE"/>
        </w:rPr>
        <w:t xml:space="preserve">A diferencia del cuadro anterior, donde se hacía referencia a la suma de S/5,500 y S/2,500 para reembolso, como límite máximo; en el cuadro anterior, no se incluyó la precisión que dicha suma de S/2,500 era un sublímite, es decir, era menor en caso de reembolso. No obstante, debe analizarse la póliza en su integridad para entender los alcances de </w:t>
      </w:r>
      <w:proofErr w:type="gramStart"/>
      <w:r w:rsidRPr="00CC0D25">
        <w:rPr>
          <w:lang w:val="es-PE"/>
        </w:rPr>
        <w:t>la misma</w:t>
      </w:r>
      <w:proofErr w:type="gramEnd"/>
      <w:r w:rsidRPr="00CC0D25">
        <w:rPr>
          <w:lang w:val="es-PE"/>
        </w:rPr>
        <w:t>.</w:t>
      </w:r>
    </w:p>
    <w:p w:rsidRPr="00CC0D25" w:rsidR="00CC0D25" w:rsidP="00CC0D25" w:rsidRDefault="00CC0D25" w14:paraId="2F2AE2CB" w14:textId="77777777">
      <w:pPr>
        <w:jc w:val="both"/>
        <w:outlineLvl w:val="0"/>
        <w:rPr>
          <w:lang w:val="es-PE"/>
        </w:rPr>
      </w:pPr>
    </w:p>
    <w:p w:rsidRPr="00CC0D25" w:rsidR="00CC0D25" w:rsidP="00CC0D25" w:rsidRDefault="00CC0D25" w14:paraId="1B4B45BD" w14:textId="77777777">
      <w:pPr>
        <w:jc w:val="both"/>
        <w:outlineLvl w:val="0"/>
        <w:rPr>
          <w:lang w:val="es-PE"/>
        </w:rPr>
      </w:pPr>
      <w:r w:rsidRPr="00CC0D25">
        <w:rPr>
          <w:lang w:val="es-PE"/>
        </w:rPr>
        <w:t>A continuación, se aprecian las Condiciones Especiales de la póliza, destacando que estas señalan lo siguiente (el resaltado es nuestro):</w:t>
      </w:r>
    </w:p>
    <w:p w:rsidRPr="00CC0D25" w:rsidR="00CC0D25" w:rsidP="00CC0D25" w:rsidRDefault="00CC0D25" w14:paraId="31BF1BC8" w14:textId="77777777">
      <w:pPr>
        <w:jc w:val="both"/>
        <w:outlineLvl w:val="0"/>
        <w:rPr>
          <w:lang w:val="es-PE"/>
        </w:rPr>
      </w:pPr>
    </w:p>
    <w:p w:rsidRPr="00CC0D25" w:rsidR="00CC0D25" w:rsidP="00CC0D25" w:rsidRDefault="00CC0D25" w14:paraId="3A0D1FE7" w14:textId="431150EE">
      <w:pPr>
        <w:jc w:val="center"/>
        <w:outlineLvl w:val="0"/>
      </w:pPr>
      <w:r w:rsidR="26627D1E">
        <w:rPr/>
        <w:t>.....................................................................................................................................</w:t>
      </w:r>
    </w:p>
    <w:p w:rsidRPr="00CC0D25" w:rsidR="00CC0D25" w:rsidP="00CC0D25" w:rsidRDefault="00CC0D25" w14:paraId="0B99A35F" w14:textId="646D9C3E">
      <w:pPr>
        <w:jc w:val="center"/>
        <w:outlineLvl w:val="0"/>
      </w:pPr>
    </w:p>
    <w:p w:rsidRPr="00CC0D25" w:rsidR="00CC0D25" w:rsidP="00CC0D25" w:rsidRDefault="00CC0D25" w14:paraId="201D3394" w14:textId="2F9FDB30">
      <w:pPr>
        <w:jc w:val="center"/>
        <w:outlineLvl w:val="0"/>
      </w:pPr>
      <w:r w:rsidR="26627D1E">
        <w:rPr/>
        <w:t>.....................................................................................................................................</w:t>
      </w:r>
    </w:p>
    <w:p w:rsidRPr="00CC0D25" w:rsidR="00CC0D25" w:rsidP="00CC0D25" w:rsidRDefault="00CC0D25" w14:paraId="1B5073DC" w14:textId="77777777">
      <w:pPr>
        <w:jc w:val="both"/>
        <w:outlineLvl w:val="0"/>
        <w:rPr>
          <w:lang w:val="es-PE"/>
        </w:rPr>
      </w:pPr>
    </w:p>
    <w:p w:rsidRPr="00CC0D25" w:rsidR="00CC0D25" w:rsidP="00CC0D25" w:rsidRDefault="00CC0D25" w14:paraId="78797026" w14:textId="77777777">
      <w:pPr>
        <w:jc w:val="both"/>
        <w:outlineLvl w:val="0"/>
        <w:rPr>
          <w:lang w:val="es-PE"/>
        </w:rPr>
      </w:pPr>
      <w:r w:rsidRPr="00CC0D25">
        <w:rPr>
          <w:lang w:val="es-PE"/>
        </w:rPr>
        <w:t xml:space="preserve">El numeral 23.1 del artículo 23 del condicionado general a que se refiere la condición especial, describe la cobertura de sepelio y las formas en que se activará, siendo que el numeral 23.1.1. señala que el servicio es otorgado a través de la funeraria afiliada, bajo un plan especial o un plan tradicional según lo elegido (sin embargo, de acuerdo con la primera condición especial, solo se da a través del plan tradicional, ya que el especial no está vigente). </w:t>
      </w:r>
    </w:p>
    <w:p w:rsidRPr="00CC0D25" w:rsidR="00CC0D25" w:rsidP="00CC0D25" w:rsidRDefault="00CC0D25" w14:paraId="65D0489B" w14:textId="77777777">
      <w:pPr>
        <w:jc w:val="both"/>
        <w:outlineLvl w:val="0"/>
        <w:rPr>
          <w:lang w:val="es-PE"/>
        </w:rPr>
      </w:pPr>
    </w:p>
    <w:p w:rsidRPr="00CC0D25" w:rsidR="00CC0D25" w:rsidP="00CC0D25" w:rsidRDefault="00CC0D25" w14:paraId="027E443E" w14:textId="77777777">
      <w:pPr>
        <w:jc w:val="both"/>
        <w:outlineLvl w:val="0"/>
        <w:rPr>
          <w:lang w:val="es-PE"/>
        </w:rPr>
      </w:pPr>
      <w:r w:rsidRPr="00CC0D25">
        <w:rPr>
          <w:lang w:val="es-PE"/>
        </w:rPr>
        <w:t>Dicho numeral 23.1.1. añade, que, en caso el fallecimiento se produzca en el extranjero, el servicio de sepelio será pagado bajo la modalidad de pago por indemnización. No obstante, también se señala que en las ciudades donde no pueda brindarse el servicio de sepelio, se reclamará la suma asegurada bajo las modalidades de reembolso o indemnización</w:t>
      </w:r>
      <w:r w:rsidRPr="00CC0D25">
        <w:rPr>
          <w:vertAlign w:val="superscript"/>
          <w:lang w:val="es-PE"/>
        </w:rPr>
        <w:footnoteReference w:id="2"/>
      </w:r>
    </w:p>
    <w:p w:rsidRPr="00CC0D25" w:rsidR="00CC0D25" w:rsidP="00CC0D25" w:rsidRDefault="00CC0D25" w14:paraId="410CC182" w14:textId="77777777">
      <w:pPr>
        <w:jc w:val="both"/>
        <w:outlineLvl w:val="0"/>
        <w:rPr>
          <w:lang w:val="es-PE"/>
        </w:rPr>
      </w:pPr>
    </w:p>
    <w:p w:rsidRPr="00CC0D25" w:rsidR="00CC0D25" w:rsidP="00CC0D25" w:rsidRDefault="00CC0D25" w14:paraId="216880E8" w14:textId="77777777">
      <w:pPr>
        <w:jc w:val="both"/>
        <w:outlineLvl w:val="0"/>
        <w:rPr>
          <w:lang w:val="es-PE"/>
        </w:rPr>
      </w:pPr>
      <w:r w:rsidRPr="00CC0D25">
        <w:rPr>
          <w:lang w:val="es-PE"/>
        </w:rPr>
        <w:t>La tercera condición especial (resaltada) establece que las formas de acceder a las coberturas descritas en los numerales 23.1.2 (reembolso) y 23.1.3 (indemnización) no serán aplicables, es decir, no habría pago por reembolso; sin embargo, la quinta condición especial (también resaltada) señala que para los planes Tradicional o Especial Plus 2 (el que nos ocupa), sí aplicará el reembolso en caso el siniestro sea reportado máximo 30 días posteriores de ocurrido, añadiendo que el monto del reembolso será de acuerdo al plan elegido.</w:t>
      </w:r>
    </w:p>
    <w:p w:rsidRPr="00CC0D25" w:rsidR="00CC0D25" w:rsidP="00CC0D25" w:rsidRDefault="00CC0D25" w14:paraId="4126053F" w14:textId="77777777">
      <w:pPr>
        <w:jc w:val="both"/>
        <w:outlineLvl w:val="0"/>
        <w:rPr>
          <w:lang w:val="es-PE"/>
        </w:rPr>
      </w:pPr>
    </w:p>
    <w:p w:rsidRPr="00CC0D25" w:rsidR="00CC0D25" w:rsidP="00CC0D25" w:rsidRDefault="00CC0D25" w14:paraId="6AA407DE" w14:textId="77777777">
      <w:pPr>
        <w:jc w:val="both"/>
        <w:outlineLvl w:val="0"/>
        <w:rPr>
          <w:lang w:val="es-PE"/>
        </w:rPr>
      </w:pPr>
      <w:r w:rsidRPr="00CC0D25">
        <w:rPr>
          <w:lang w:val="es-PE"/>
        </w:rPr>
        <w:t>A continuación, presentamos lo dispuesto en el numeral 23.1.2:</w:t>
      </w:r>
    </w:p>
    <w:p w:rsidRPr="00CC0D25" w:rsidR="00CC0D25" w:rsidP="00CC0D25" w:rsidRDefault="00CC0D25" w14:paraId="31CEC284" w14:textId="77777777">
      <w:pPr>
        <w:jc w:val="both"/>
        <w:outlineLvl w:val="0"/>
        <w:rPr>
          <w:lang w:val="es-PE"/>
        </w:rPr>
      </w:pPr>
    </w:p>
    <w:p w:rsidRPr="00CC0D25" w:rsidR="00CC0D25" w:rsidP="00CC0D25" w:rsidRDefault="00CC0D25" w14:paraId="640906E3" w14:textId="77777777">
      <w:pPr>
        <w:jc w:val="both"/>
        <w:outlineLvl w:val="0"/>
        <w:rPr>
          <w:lang w:val="es-PE"/>
        </w:rPr>
      </w:pPr>
    </w:p>
    <w:p w:rsidRPr="00CC0D25" w:rsidR="00CC0D25" w:rsidP="00CC0D25" w:rsidRDefault="00CC0D25" w14:paraId="495A1080" w14:textId="77777777">
      <w:pPr>
        <w:jc w:val="both"/>
        <w:outlineLvl w:val="0"/>
        <w:rPr>
          <w:i/>
          <w:iCs/>
          <w:lang w:val="es-PE"/>
        </w:rPr>
      </w:pPr>
      <w:r w:rsidRPr="00CC0D25">
        <w:rPr>
          <w:lang w:val="es-PE"/>
        </w:rPr>
        <w:t xml:space="preserve">Es importante señalar que, </w:t>
      </w:r>
      <w:proofErr w:type="gramStart"/>
      <w:r w:rsidRPr="00CC0D25">
        <w:rPr>
          <w:lang w:val="es-PE"/>
        </w:rPr>
        <w:t>de acuerdo a</w:t>
      </w:r>
      <w:proofErr w:type="gramEnd"/>
      <w:r w:rsidRPr="00CC0D25">
        <w:rPr>
          <w:lang w:val="es-PE"/>
        </w:rPr>
        <w:t xml:space="preserve"> lo establecido en la Sexta Regla de interpretación prevista en el artículo IV de la Ley del Contrato de Seguro, Ley 29946, </w:t>
      </w:r>
      <w:r w:rsidRPr="00CC0D25">
        <w:rPr>
          <w:i/>
          <w:iCs/>
          <w:lang w:val="es-PE"/>
        </w:rPr>
        <w:t>“Las condiciones especiales prevalecen sobre las condiciones particulares y estas prevalecen sobre las generales”.</w:t>
      </w:r>
    </w:p>
    <w:p w:rsidRPr="00CC0D25" w:rsidR="00CC0D25" w:rsidP="00CC0D25" w:rsidRDefault="00CC0D25" w14:paraId="1F37D6C5" w14:textId="77777777">
      <w:pPr>
        <w:jc w:val="both"/>
        <w:outlineLvl w:val="0"/>
        <w:rPr>
          <w:lang w:val="es-PE"/>
        </w:rPr>
      </w:pPr>
    </w:p>
    <w:p w:rsidRPr="00CC0D25" w:rsidR="00CC0D25" w:rsidP="00CC0D25" w:rsidRDefault="00CC0D25" w14:paraId="3C36F5FE" w14:textId="77777777">
      <w:pPr>
        <w:jc w:val="both"/>
        <w:outlineLvl w:val="0"/>
        <w:rPr>
          <w:lang w:val="es-PE"/>
        </w:rPr>
      </w:pPr>
      <w:r w:rsidRPr="00CC0D25">
        <w:rPr>
          <w:lang w:val="es-PE"/>
        </w:rPr>
        <w:t xml:space="preserve">Por lo tanto, si bien bajo el numeral 23.1.1. del condicionado general se establece que el reembolso solo opera en las ciudades donde la funeraria no pueda brindar el servicio. La quinta condición especial modifica dicha estipulación, y por lo tanto para los Planes Plus 2 o Premium (el asegurado contrató el Plan Plus 2) sí aplica el reembolso. Mientras que, para los otros planes, solo aplicaría el reembolso si el proveedor </w:t>
      </w:r>
      <w:proofErr w:type="gramStart"/>
      <w:r w:rsidRPr="00CC0D25">
        <w:rPr>
          <w:lang w:val="es-PE"/>
        </w:rPr>
        <w:t>Memorial  referido</w:t>
      </w:r>
      <w:proofErr w:type="gramEnd"/>
      <w:r w:rsidRPr="00CC0D25">
        <w:rPr>
          <w:lang w:val="es-PE"/>
        </w:rPr>
        <w:t xml:space="preserve"> en la condición especial, no contaba con cobertura y lo señaló expresamente. </w:t>
      </w:r>
    </w:p>
    <w:p w:rsidRPr="00CC0D25" w:rsidR="00CC0D25" w:rsidP="00CC0D25" w:rsidRDefault="00CC0D25" w14:paraId="2387F47B" w14:textId="77777777">
      <w:pPr>
        <w:jc w:val="both"/>
        <w:outlineLvl w:val="0"/>
        <w:rPr>
          <w:lang w:val="es-PE"/>
        </w:rPr>
      </w:pPr>
    </w:p>
    <w:p w:rsidRPr="00CC0D25" w:rsidR="00CC0D25" w:rsidP="00CC0D25" w:rsidRDefault="00CC0D25" w14:paraId="31BAD90B" w14:textId="77777777">
      <w:pPr>
        <w:jc w:val="both"/>
        <w:outlineLvl w:val="0"/>
        <w:rPr>
          <w:lang w:val="es-PE"/>
        </w:rPr>
      </w:pPr>
      <w:r w:rsidRPr="00CC0D25">
        <w:rPr>
          <w:lang w:val="es-PE"/>
        </w:rPr>
        <w:t xml:space="preserve">En lo que respecta al monto del reembolso, las condiciones particulares establecen el reembolso por servicio NO reportado, el cual no aplica para los Planes Nuevo y Plus 1, y </w:t>
      </w:r>
      <w:r w:rsidRPr="00CC0D25">
        <w:rPr>
          <w:lang w:val="es-PE"/>
        </w:rPr>
        <w:lastRenderedPageBreak/>
        <w:t>en los Planes Plus 2 y Premium. aplica hasta S/2,500 y S/6,000, respectivamente (ver cuadro completo en la página 4 de la presente resolución).</w:t>
      </w:r>
    </w:p>
    <w:p w:rsidRPr="00CC0D25" w:rsidR="00CC0D25" w:rsidP="00CC0D25" w:rsidRDefault="00CC0D25" w14:paraId="682543F9" w14:textId="77777777">
      <w:pPr>
        <w:jc w:val="both"/>
        <w:outlineLvl w:val="0"/>
        <w:rPr>
          <w:lang w:val="es-PE"/>
        </w:rPr>
      </w:pPr>
    </w:p>
    <w:p w:rsidRPr="00CC0D25" w:rsidR="00CC0D25" w:rsidP="00CC0D25" w:rsidRDefault="00CC0D25" w14:paraId="78ADA482" w14:textId="1061E65F">
      <w:pPr>
        <w:jc w:val="both"/>
        <w:outlineLvl w:val="0"/>
        <w:rPr>
          <w:lang w:val="es-PE"/>
        </w:rPr>
      </w:pPr>
      <w:r w:rsidRPr="00CC0D25">
        <w:rPr>
          <w:lang w:val="es-PE"/>
        </w:rPr>
        <w:drawing>
          <wp:inline distT="0" distB="0" distL="0" distR="0" wp14:anchorId="499062F5" wp14:editId="3B539402">
            <wp:extent cx="5580380" cy="365760"/>
            <wp:effectExtent l="0" t="0" r="0" b="0"/>
            <wp:docPr id="176305727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365760"/>
                    </a:xfrm>
                    <a:prstGeom prst="rect">
                      <a:avLst/>
                    </a:prstGeom>
                    <a:noFill/>
                    <a:ln>
                      <a:noFill/>
                    </a:ln>
                  </pic:spPr>
                </pic:pic>
              </a:graphicData>
            </a:graphic>
          </wp:inline>
        </w:drawing>
      </w:r>
    </w:p>
    <w:p w:rsidRPr="00CC0D25" w:rsidR="00CC0D25" w:rsidP="00CC0D25" w:rsidRDefault="00CC0D25" w14:paraId="388D1580" w14:textId="77777777">
      <w:pPr>
        <w:jc w:val="both"/>
        <w:outlineLvl w:val="0"/>
        <w:rPr>
          <w:lang w:val="es-PE"/>
        </w:rPr>
      </w:pPr>
    </w:p>
    <w:p w:rsidR="00CC0D25" w:rsidP="00CC0D25" w:rsidRDefault="00CC0D25" w14:paraId="6A1BFBBC" w14:textId="4C1A57AF">
      <w:pPr>
        <w:jc w:val="both"/>
        <w:outlineLvl w:val="0"/>
        <w:rPr>
          <w:lang w:val="es-PE"/>
        </w:rPr>
      </w:pPr>
      <w:r w:rsidRPr="00CC0D25">
        <w:rPr>
          <w:lang w:val="es-PE"/>
        </w:rPr>
        <w:t>De la lectura integral de la póliza se desprende que la cobertura de servicio de sepelio es brindada por un proveedor afiliado y excepcionalmente, en las circunstancias descritas en la póliza, cubierta a reembolso o indemnización. En consecuencia:</w:t>
      </w:r>
    </w:p>
    <w:p w:rsidRPr="00CC0D25" w:rsidR="00CC0D25" w:rsidP="00CC0D25" w:rsidRDefault="00CC0D25" w14:paraId="62B916C7" w14:textId="77777777">
      <w:pPr>
        <w:jc w:val="both"/>
        <w:outlineLvl w:val="0"/>
        <w:rPr>
          <w:lang w:val="es-PE"/>
        </w:rPr>
      </w:pPr>
    </w:p>
    <w:p w:rsidRPr="00CC0D25" w:rsidR="00CC0D25" w:rsidP="00CC0D25" w:rsidRDefault="00CC0D25" w14:paraId="6E536162" w14:textId="77777777">
      <w:pPr>
        <w:numPr>
          <w:ilvl w:val="0"/>
          <w:numId w:val="62"/>
        </w:numPr>
        <w:jc w:val="both"/>
        <w:outlineLvl w:val="0"/>
        <w:rPr>
          <w:lang w:val="es-PE"/>
        </w:rPr>
      </w:pPr>
      <w:r w:rsidRPr="00CC0D25">
        <w:rPr>
          <w:lang w:val="es-PE"/>
        </w:rPr>
        <w:t>En el Plan básico o Plus 1: no se puede acceder al reembolso si no reportó el servicio (si no se comunicó previamente con la funeraria afiliada).</w:t>
      </w:r>
    </w:p>
    <w:p w:rsidRPr="00CC0D25" w:rsidR="00CC0D25" w:rsidP="00CC0D25" w:rsidRDefault="00CC0D25" w14:paraId="0FCBD92D" w14:textId="77777777">
      <w:pPr>
        <w:numPr>
          <w:ilvl w:val="0"/>
          <w:numId w:val="62"/>
        </w:numPr>
        <w:jc w:val="both"/>
        <w:outlineLvl w:val="0"/>
        <w:rPr>
          <w:lang w:val="es-PE"/>
        </w:rPr>
      </w:pPr>
      <w:r w:rsidRPr="00CC0D25">
        <w:rPr>
          <w:lang w:val="es-PE"/>
        </w:rPr>
        <w:t>En el Plan básico o Plus 1: sí se puede acceder al reembolso, si se reportó el siniestro y el proveedor afiliado (se entiende, la funeraria) no pudo brindarlo conforme se indica en la quinta condición especial que prima sobre la condición particular.</w:t>
      </w:r>
    </w:p>
    <w:p w:rsidRPr="00CC0D25" w:rsidR="00CC0D25" w:rsidP="00CC0D25" w:rsidRDefault="00CC0D25" w14:paraId="1A574E78" w14:textId="77777777">
      <w:pPr>
        <w:numPr>
          <w:ilvl w:val="0"/>
          <w:numId w:val="62"/>
        </w:numPr>
        <w:jc w:val="both"/>
        <w:outlineLvl w:val="0"/>
        <w:rPr>
          <w:lang w:val="es-PE"/>
        </w:rPr>
      </w:pPr>
      <w:r w:rsidRPr="00CC0D25">
        <w:rPr>
          <w:lang w:val="es-PE"/>
        </w:rPr>
        <w:t>En el plan Plus 2 (que es el contratado por el asegurado): en aplicación de la quinta condición especial, no se requiere haber coordinado previamente con la funeraria afiliada para solicitar el reembolso, pero si el servicio no fue reportado el reembolso se dará hasta el monto indicado en las condiciones particulares, esto es, hasta la suma de S/2,500.</w:t>
      </w:r>
    </w:p>
    <w:p w:rsidRPr="00CC0D25" w:rsidR="00CC0D25" w:rsidP="00CC0D25" w:rsidRDefault="00CC0D25" w14:paraId="226A1123" w14:textId="77777777">
      <w:pPr>
        <w:numPr>
          <w:ilvl w:val="0"/>
          <w:numId w:val="62"/>
        </w:numPr>
        <w:jc w:val="both"/>
        <w:outlineLvl w:val="0"/>
        <w:rPr>
          <w:lang w:val="es-PE"/>
        </w:rPr>
      </w:pPr>
      <w:r w:rsidRPr="00CC0D25">
        <w:rPr>
          <w:lang w:val="es-PE"/>
        </w:rPr>
        <w:t>En el Plan Premium (no aplicable a este caso), si el servicio no fue reportado, el reembolso se da hasta la suma de S/6,000.</w:t>
      </w:r>
    </w:p>
    <w:p w:rsidRPr="00CC0D25" w:rsidR="00CC0D25" w:rsidP="00CC0D25" w:rsidRDefault="00CC0D25" w14:paraId="5A202063" w14:textId="77777777">
      <w:pPr>
        <w:jc w:val="both"/>
        <w:outlineLvl w:val="0"/>
        <w:rPr>
          <w:lang w:val="es-PE"/>
        </w:rPr>
      </w:pPr>
    </w:p>
    <w:p w:rsidRPr="00CC0D25" w:rsidR="00CC0D25" w:rsidP="00CC0D25" w:rsidRDefault="00CC0D25" w14:paraId="1D876A68" w14:textId="77777777">
      <w:pPr>
        <w:jc w:val="both"/>
        <w:outlineLvl w:val="0"/>
        <w:rPr>
          <w:lang w:val="es-PE"/>
        </w:rPr>
      </w:pPr>
      <w:r w:rsidRPr="00CC0D25">
        <w:rPr>
          <w:lang w:val="es-PE"/>
        </w:rPr>
        <w:t>En otras palabras, el sublímite aplica si estamos ante un servicio “no reportado”. Distinto hubiera sido el caso, si el sublimite hubiera sido establecido tanto por servicio no reportado como reportado (bastaba con indicar solo reembolso por servicio de sepelio)</w:t>
      </w:r>
    </w:p>
    <w:p w:rsidRPr="00CC0D25" w:rsidR="00CC0D25" w:rsidP="00CC0D25" w:rsidRDefault="00CC0D25" w14:paraId="6F09D598" w14:textId="77777777">
      <w:pPr>
        <w:jc w:val="both"/>
        <w:outlineLvl w:val="0"/>
        <w:rPr>
          <w:lang w:val="es-PE"/>
        </w:rPr>
      </w:pPr>
    </w:p>
    <w:p w:rsidRPr="00CC0D25" w:rsidR="00CC0D25" w:rsidP="00CC0D25" w:rsidRDefault="00CC0D25" w14:paraId="675422CD" w14:textId="77777777">
      <w:pPr>
        <w:jc w:val="both"/>
        <w:outlineLvl w:val="0"/>
        <w:rPr>
          <w:i/>
          <w:iCs/>
          <w:lang w:val="es-PE"/>
        </w:rPr>
      </w:pPr>
      <w:r w:rsidRPr="00CC0D25">
        <w:rPr>
          <w:lang w:val="es-PE"/>
        </w:rPr>
        <w:t xml:space="preserve">Ahora bien, la póliza no incluye una definición de lo que debe entenderse por servicio reportado. La aseguradora no ha sustentado las razones por las cuales considera que estamos ante un servicio no reportado. Para la reclamante un servicio no reportado es un “no aviso del siniestro a la aseguradora”. Al no haber ninguna definición en la póliza sobre lo que debe entenderse por “servicio reportado”, este colegiado entiendo que el reporte está dirigido a informar del siniestro ya sea al proveedor afiliado o a la compañía de seguros, dentro del plazo de 30 días, como se indica en la condición especial aplicable al Plan Plus 2 que señala: </w:t>
      </w:r>
      <w:r w:rsidRPr="00CC0D25">
        <w:rPr>
          <w:i/>
          <w:iCs/>
          <w:lang w:val="es-PE"/>
        </w:rPr>
        <w:t xml:space="preserve">“aplicará el reembolso en caso el siniestro sea </w:t>
      </w:r>
      <w:r w:rsidRPr="00CC0D25">
        <w:rPr>
          <w:b/>
          <w:bCs/>
          <w:i/>
          <w:iCs/>
          <w:lang w:val="es-PE"/>
        </w:rPr>
        <w:t xml:space="preserve">reportado </w:t>
      </w:r>
      <w:r w:rsidRPr="00CC0D25">
        <w:rPr>
          <w:i/>
          <w:iCs/>
          <w:lang w:val="es-PE"/>
        </w:rPr>
        <w:t xml:space="preserve">máximo 30 días posteriores de ocurrido” </w:t>
      </w:r>
      <w:r w:rsidRPr="00CC0D25">
        <w:rPr>
          <w:lang w:val="es-PE"/>
        </w:rPr>
        <w:t>(el resaltado es nuestro).</w:t>
      </w:r>
    </w:p>
    <w:p w:rsidRPr="00CC0D25" w:rsidR="00CC0D25" w:rsidP="00CC0D25" w:rsidRDefault="00CC0D25" w14:paraId="21C7F29C" w14:textId="77777777">
      <w:pPr>
        <w:jc w:val="both"/>
        <w:outlineLvl w:val="0"/>
        <w:rPr>
          <w:lang w:val="es-PE"/>
        </w:rPr>
      </w:pPr>
    </w:p>
    <w:p w:rsidRPr="00CC0D25" w:rsidR="00CC0D25" w:rsidP="00CC0D25" w:rsidRDefault="00CC0D25" w14:paraId="0EB2FFE0" w14:textId="14676794">
      <w:pPr>
        <w:jc w:val="both"/>
        <w:outlineLvl w:val="0"/>
        <w:rPr>
          <w:lang w:val="es-PE"/>
        </w:rPr>
      </w:pPr>
      <w:r w:rsidRPr="4489975A" w:rsidR="00CC0D25">
        <w:rPr>
          <w:lang w:val="es-PE"/>
        </w:rPr>
        <w:t xml:space="preserve">En este caso, se aprecia de la comunicación de fecha 11 de marzo de 2025 enviada por </w:t>
      </w:r>
      <w:r w:rsidRPr="4489975A" w:rsidR="6DC49B65">
        <w:rPr>
          <w:lang w:val="es-PE"/>
        </w:rPr>
        <w:t>.................</w:t>
      </w:r>
      <w:r w:rsidRPr="4489975A" w:rsidR="00CC0D25">
        <w:rPr>
          <w:lang w:val="es-PE"/>
        </w:rPr>
        <w:t xml:space="preserve"> a la reclamante, que la aseguradora reconoce que el fallecimiento sí fue reportado el mismo día de ocurrencia a su proveedor, </w:t>
      </w:r>
      <w:r w:rsidRPr="4489975A" w:rsidR="00CC0D25">
        <w:rPr>
          <w:lang w:val="es-PE"/>
        </w:rPr>
        <w:t>aún</w:t>
      </w:r>
      <w:r w:rsidRPr="4489975A" w:rsidR="00CC0D25">
        <w:rPr>
          <w:lang w:val="es-PE"/>
        </w:rPr>
        <w:t xml:space="preserve"> cuando indicaron que estaban realizando el trámite particular (lo que sí era permitido bajo el plan Plus 2 que permite el reembolso, e incluye un sublímite para servicios no reportados). </w:t>
      </w:r>
    </w:p>
    <w:p w:rsidRPr="00CC0D25" w:rsidR="00CC0D25" w:rsidP="00CC0D25" w:rsidRDefault="00CC0D25" w14:paraId="040EE682" w14:textId="77777777">
      <w:pPr>
        <w:jc w:val="both"/>
        <w:outlineLvl w:val="0"/>
        <w:rPr>
          <w:lang w:val="es-PE"/>
        </w:rPr>
      </w:pPr>
    </w:p>
    <w:p w:rsidRPr="00CC0D25" w:rsidR="00CC0D25" w:rsidP="00CC0D25" w:rsidRDefault="00CC0D25" w14:paraId="4AADAA32" w14:textId="051AD2EB">
      <w:pPr>
        <w:jc w:val="both"/>
        <w:outlineLvl w:val="0"/>
        <w:rPr>
          <w:lang w:val="es-PE"/>
        </w:rPr>
      </w:pPr>
      <w:r w:rsidRPr="4489975A" w:rsidR="00CC0D25">
        <w:rPr>
          <w:lang w:val="es-PE"/>
        </w:rPr>
        <w:t xml:space="preserve">A continuación, copiamos parte pertinente de la carta de </w:t>
      </w:r>
      <w:r w:rsidRPr="4489975A" w:rsidR="6DC49B65">
        <w:rPr>
          <w:lang w:val="es-PE"/>
        </w:rPr>
        <w:t>.................</w:t>
      </w:r>
      <w:r w:rsidRPr="4489975A" w:rsidR="00CC0D25">
        <w:rPr>
          <w:lang w:val="es-PE"/>
        </w:rPr>
        <w:t xml:space="preserve"> donde se reconoce dicho reporte: </w:t>
      </w:r>
    </w:p>
    <w:p w:rsidRPr="00CC0D25" w:rsidR="00CC0D25" w:rsidP="00CC0D25" w:rsidRDefault="00CC0D25" w14:paraId="03671703" w14:textId="77777777">
      <w:pPr>
        <w:jc w:val="both"/>
        <w:outlineLvl w:val="0"/>
        <w:rPr>
          <w:lang w:val="es-PE"/>
        </w:rPr>
      </w:pPr>
    </w:p>
    <w:p w:rsidRPr="00CC0D25" w:rsidR="00CC0D25" w:rsidP="00CC0D25" w:rsidRDefault="00CC0D25" w14:paraId="24EA6F36" w14:textId="6E562236">
      <w:pPr>
        <w:jc w:val="both"/>
        <w:outlineLvl w:val="0"/>
        <w:rPr>
          <w:lang w:val="es-PE"/>
        </w:rPr>
      </w:pPr>
      <w:r w:rsidRPr="00CC0D25">
        <w:rPr>
          <w:lang w:val="es-PE"/>
        </w:rPr>
        <w:lastRenderedPageBreak/>
        <w:drawing>
          <wp:inline distT="0" distB="0" distL="0" distR="0" wp14:anchorId="4331315D" wp14:editId="14B7E844">
            <wp:extent cx="5580380" cy="572770"/>
            <wp:effectExtent l="0" t="0" r="0" b="0"/>
            <wp:docPr id="100298076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572770"/>
                    </a:xfrm>
                    <a:prstGeom prst="rect">
                      <a:avLst/>
                    </a:prstGeom>
                    <a:noFill/>
                    <a:ln>
                      <a:noFill/>
                    </a:ln>
                  </pic:spPr>
                </pic:pic>
              </a:graphicData>
            </a:graphic>
          </wp:inline>
        </w:drawing>
      </w:r>
    </w:p>
    <w:p w:rsidRPr="00CC0D25" w:rsidR="00CC0D25" w:rsidP="00CC0D25" w:rsidRDefault="00CC0D25" w14:paraId="50B92908" w14:textId="77777777">
      <w:pPr>
        <w:jc w:val="both"/>
        <w:outlineLvl w:val="0"/>
        <w:rPr>
          <w:lang w:val="es-PE"/>
        </w:rPr>
      </w:pPr>
    </w:p>
    <w:p w:rsidRPr="00CC0D25" w:rsidR="00CC0D25" w:rsidP="00CC0D25" w:rsidRDefault="00CC0D25" w14:paraId="6A67FD82" w14:textId="77777777">
      <w:pPr>
        <w:jc w:val="both"/>
        <w:outlineLvl w:val="0"/>
        <w:rPr>
          <w:lang w:val="es-PE"/>
        </w:rPr>
      </w:pPr>
      <w:r w:rsidRPr="00CC0D25">
        <w:rPr>
          <w:lang w:val="es-PE"/>
        </w:rPr>
        <w:t xml:space="preserve">Por lo que al sí haber sido reportado el servicio, procede otorgar el reembolso de lo efectivamente gastado, con el límite establecido en las condiciones particulares para el Plan 2 Plus. </w:t>
      </w:r>
    </w:p>
    <w:p w:rsidRPr="00CC0D25" w:rsidR="00CC0D25" w:rsidP="00CC0D25" w:rsidRDefault="00CC0D25" w14:paraId="327549C1" w14:textId="77777777">
      <w:pPr>
        <w:jc w:val="both"/>
        <w:outlineLvl w:val="0"/>
        <w:rPr>
          <w:lang w:val="es-PE"/>
        </w:rPr>
      </w:pPr>
    </w:p>
    <w:p w:rsidRPr="00CC0D25" w:rsidR="00CC0D25" w:rsidP="00CC0D25" w:rsidRDefault="00CC0D25" w14:paraId="589B4FAC" w14:textId="77777777">
      <w:pPr>
        <w:jc w:val="both"/>
        <w:outlineLvl w:val="0"/>
        <w:rPr>
          <w:b/>
        </w:rPr>
      </w:pPr>
      <w:r w:rsidRPr="00CC0D25">
        <w:rPr>
          <w:b/>
        </w:rPr>
        <w:t>Atendiendo a lo expresado, este Órgano Resolutivo Unipersonal, al amparo de lo establecido en su Reglamento, resuelve:</w:t>
      </w:r>
    </w:p>
    <w:p w:rsidRPr="00CC0D25" w:rsidR="00CC0D25" w:rsidP="00CC0D25" w:rsidRDefault="00CC0D25" w14:paraId="594C5C2A" w14:textId="77777777">
      <w:pPr>
        <w:jc w:val="both"/>
        <w:outlineLvl w:val="0"/>
      </w:pPr>
    </w:p>
    <w:p w:rsidRPr="00CC0D25" w:rsidR="00CC0D25" w:rsidP="4489975A" w:rsidRDefault="00CC0D25" w14:paraId="61789990" w14:textId="3FB0AD9F">
      <w:pPr>
        <w:jc w:val="both"/>
        <w:outlineLvl w:val="0"/>
        <w:rPr>
          <w:lang w:val="es-PE"/>
        </w:rPr>
      </w:pPr>
      <w:r w:rsidR="00CC0D25">
        <w:rPr/>
        <w:t xml:space="preserve">Declarar FUNDADA la reclamación interpuesta por doña </w:t>
      </w:r>
      <w:r w:rsidRPr="4489975A" w:rsidR="6193DD23">
        <w:rPr>
          <w:lang w:val="es-PE"/>
        </w:rPr>
        <w:t>......................................................</w:t>
      </w:r>
      <w:r w:rsidRPr="4489975A" w:rsidR="00CC0D25">
        <w:rPr>
          <w:lang w:val="es-PE"/>
        </w:rPr>
        <w:t xml:space="preserve">, contra </w:t>
      </w:r>
      <w:r w:rsidRPr="4489975A" w:rsidR="6DC49B65">
        <w:rPr>
          <w:lang w:val="es-PE"/>
        </w:rPr>
        <w:t>.................</w:t>
      </w:r>
      <w:r w:rsidRPr="4489975A" w:rsidR="00CC0D25">
        <w:rPr>
          <w:lang w:val="es-PE"/>
        </w:rPr>
        <w:t xml:space="preserve"> </w:t>
      </w:r>
      <w:r w:rsidRPr="4489975A" w:rsidR="2583942C">
        <w:rPr>
          <w:lang w:val="es-PE"/>
        </w:rPr>
        <w:t>..................</w:t>
      </w:r>
      <w:r w:rsidRPr="4489975A" w:rsidR="00CC0D25">
        <w:rPr>
          <w:lang w:val="es-PE"/>
        </w:rPr>
        <w:t xml:space="preserve">, por lo que la aseguradora deberá otorgar la diferencia no reembolsada por concepto de gastos de sepelio, </w:t>
      </w:r>
      <w:r w:rsidRPr="4489975A" w:rsidR="00CC0D25">
        <w:rPr>
          <w:lang w:val="es-PE"/>
        </w:rPr>
        <w:t>de acuerdo a</w:t>
      </w:r>
      <w:r w:rsidRPr="4489975A" w:rsidR="00CC0D25">
        <w:rPr>
          <w:lang w:val="es-PE"/>
        </w:rPr>
        <w:t xml:space="preserve"> lo establecido en la póliza de seguros que obra en el expediente. </w:t>
      </w:r>
    </w:p>
    <w:p w:rsidRPr="00CC0D25" w:rsidR="00717B93" w:rsidP="00F239F4" w:rsidRDefault="00717B93" w14:paraId="17EF2C72" w14:textId="77777777">
      <w:pPr>
        <w:jc w:val="both"/>
        <w:outlineLvl w:val="0"/>
        <w:rPr>
          <w:lang w:val="es-PE"/>
        </w:rPr>
      </w:pPr>
    </w:p>
    <w:p w:rsidR="00804FBA" w:rsidP="00425565" w:rsidRDefault="00F15FBA" w14:paraId="0B8F9BB3" w14:textId="46267BBA">
      <w:pPr>
        <w:jc w:val="right"/>
        <w:outlineLvl w:val="0"/>
        <w:rPr>
          <w:lang w:val="es-PE"/>
        </w:rPr>
      </w:pPr>
      <w:r w:rsidRPr="00CC0D25">
        <w:rPr>
          <w:lang w:val="es-PE"/>
        </w:rPr>
        <w:t>Lima,</w:t>
      </w:r>
      <w:r w:rsidRPr="00CC0D25" w:rsidR="009D4785">
        <w:rPr>
          <w:lang w:val="es-PE"/>
        </w:rPr>
        <w:t xml:space="preserve"> </w:t>
      </w:r>
      <w:r w:rsidRPr="00CC0D25" w:rsidR="0090565E">
        <w:rPr>
          <w:lang w:val="es-PE"/>
        </w:rPr>
        <w:t>0</w:t>
      </w:r>
      <w:r w:rsidRPr="00CC0D25" w:rsidR="00F67F29">
        <w:rPr>
          <w:lang w:val="es-PE"/>
        </w:rPr>
        <w:t>8</w:t>
      </w:r>
      <w:r w:rsidRPr="00CC0D25" w:rsidR="00C70C36">
        <w:rPr>
          <w:lang w:val="es-PE"/>
        </w:rPr>
        <w:t xml:space="preserve"> </w:t>
      </w:r>
      <w:r w:rsidRPr="00CC0D25">
        <w:rPr>
          <w:lang w:val="es-PE"/>
        </w:rPr>
        <w:t>de</w:t>
      </w:r>
      <w:r w:rsidRPr="00CC0D25" w:rsidR="001631D6">
        <w:rPr>
          <w:lang w:val="es-PE"/>
        </w:rPr>
        <w:t xml:space="preserve"> </w:t>
      </w:r>
      <w:r w:rsidRPr="00CC0D25" w:rsidR="005018BF">
        <w:rPr>
          <w:lang w:val="es-PE"/>
        </w:rPr>
        <w:t>ju</w:t>
      </w:r>
      <w:r w:rsidRPr="00CC0D25" w:rsidR="0090565E">
        <w:rPr>
          <w:lang w:val="es-PE"/>
        </w:rPr>
        <w:t>l</w:t>
      </w:r>
      <w:r w:rsidRPr="00CC0D25" w:rsidR="005018BF">
        <w:rPr>
          <w:lang w:val="es-PE"/>
        </w:rPr>
        <w:t>io</w:t>
      </w:r>
      <w:r w:rsidRPr="00CC0D25" w:rsidR="001631D6">
        <w:rPr>
          <w:lang w:val="es-PE"/>
        </w:rPr>
        <w:t xml:space="preserve"> </w:t>
      </w:r>
      <w:r w:rsidRPr="00CC0D25">
        <w:rPr>
          <w:lang w:val="es-PE"/>
        </w:rPr>
        <w:t>de 20</w:t>
      </w:r>
      <w:r w:rsidRPr="00CC0D25" w:rsidR="001631D6">
        <w:rPr>
          <w:lang w:val="es-PE"/>
        </w:rPr>
        <w:t>2</w:t>
      </w:r>
      <w:r w:rsidRPr="00CC0D25" w:rsidR="0073373B">
        <w:rPr>
          <w:lang w:val="es-PE"/>
        </w:rPr>
        <w:t>5</w:t>
      </w:r>
    </w:p>
    <w:p w:rsidRPr="00CC0D25" w:rsidR="000A05FF" w:rsidP="00425565" w:rsidRDefault="000A05FF" w14:paraId="267FBAF3" w14:textId="77777777">
      <w:pPr>
        <w:jc w:val="right"/>
        <w:outlineLvl w:val="0"/>
        <w:rPr>
          <w:lang w:val="es-PE"/>
        </w:rPr>
      </w:pPr>
    </w:p>
    <w:p w:rsidRPr="008E2507" w:rsidR="000A05FF" w:rsidP="000A05FF" w:rsidRDefault="000A05FF" w14:paraId="689175B1" w14:textId="77777777">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Pr>
          <w:b/>
          <w:bCs/>
          <w:i/>
          <w:iCs/>
          <w:lang w:val="es-ES_tradnl"/>
        </w:rPr>
        <w:t>.</w:t>
      </w:r>
    </w:p>
    <w:p w:rsidRPr="007F562B" w:rsidR="00707C3F" w:rsidP="00247BE2" w:rsidRDefault="00707C3F" w14:paraId="52D37E4A" w14:textId="77777777">
      <w:pPr>
        <w:spacing w:line="360" w:lineRule="auto"/>
        <w:jc w:val="both"/>
        <w:rPr>
          <w:b/>
          <w:bCs/>
          <w:i/>
          <w:iCs/>
          <w:sz w:val="23"/>
          <w:szCs w:val="23"/>
          <w:lang w:val="es-ES_tradnl"/>
        </w:rPr>
      </w:pPr>
    </w:p>
    <w:p w:rsidRPr="007F562B" w:rsidR="00BB4CEC" w:rsidP="00247BE2" w:rsidRDefault="00BB4CEC" w14:paraId="01720D6D" w14:textId="7AD41673">
      <w:pPr>
        <w:spacing w:line="360" w:lineRule="auto"/>
        <w:jc w:val="center"/>
        <w:rPr>
          <w:b/>
          <w:bCs/>
          <w:sz w:val="23"/>
          <w:szCs w:val="23"/>
        </w:rPr>
      </w:pPr>
      <w:r w:rsidRPr="007F562B">
        <w:rPr>
          <w:b/>
          <w:bCs/>
          <w:sz w:val="23"/>
          <w:szCs w:val="23"/>
        </w:rPr>
        <w:t>María Eugenia Valdez Fernández Baca –</w:t>
      </w:r>
      <w:r w:rsidRPr="007F562B" w:rsidR="00E4456F">
        <w:rPr>
          <w:b/>
          <w:bCs/>
          <w:sz w:val="23"/>
          <w:szCs w:val="23"/>
        </w:rPr>
        <w:t xml:space="preserve"> Vocal</w:t>
      </w:r>
      <w:r w:rsidRPr="007F562B">
        <w:rPr>
          <w:b/>
          <w:bCs/>
          <w:sz w:val="23"/>
          <w:szCs w:val="23"/>
        </w:rPr>
        <w:t xml:space="preserve"> </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761F" w:rsidP="005F148C" w:rsidRDefault="0057761F" w14:paraId="3D06F0C5" w14:textId="77777777">
      <w:r>
        <w:separator/>
      </w:r>
    </w:p>
  </w:endnote>
  <w:endnote w:type="continuationSeparator" w:id="0">
    <w:p w:rsidR="0057761F" w:rsidP="005F148C" w:rsidRDefault="0057761F" w14:paraId="5F2BC43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footnote w:type="separator" w:id="-1">
    <w:p w:rsidR="0057761F" w:rsidP="005F148C" w:rsidRDefault="0057761F" w14:paraId="4AE3878E" w14:textId="77777777">
      <w:r>
        <w:separator/>
      </w:r>
    </w:p>
  </w:footnote>
  <w:footnote w:type="continuationSeparator" w:id="0">
    <w:p w:rsidR="0057761F" w:rsidP="005F148C" w:rsidRDefault="0057761F" w14:paraId="0A540545" w14:textId="77777777">
      <w:r>
        <w:continuationSeparator/>
      </w:r>
    </w:p>
  </w:footnote>
  <w:footnote w:id="1">
    <w:p w:rsidRPr="00CC0D25" w:rsidR="00CC0D25" w:rsidP="00CC0D25" w:rsidRDefault="00CC0D25" w14:paraId="4C59AC26" w14:textId="77777777">
      <w:pPr>
        <w:tabs>
          <w:tab w:val="left" w:pos="2160"/>
        </w:tabs>
        <w:jc w:val="both"/>
        <w:rPr>
          <w:sz w:val="18"/>
          <w:szCs w:val="18"/>
          <w:lang w:val="es-PE"/>
        </w:rPr>
      </w:pPr>
      <w:r w:rsidRPr="00CC0D25">
        <w:rPr>
          <w:rStyle w:val="Refdenotaalpie"/>
          <w:sz w:val="18"/>
          <w:szCs w:val="18"/>
        </w:rPr>
        <w:footnoteRef/>
      </w:r>
      <w:r w:rsidRPr="00CC0D25">
        <w:rPr>
          <w:sz w:val="18"/>
          <w:szCs w:val="18"/>
          <w:lang w:val="es-PE"/>
        </w:rPr>
        <w:t xml:space="preserve"> La póliza que obra en el expediente es la presentada por la reclamante, con vigencia desde el 2024, siendo que refiere una renovación automática, se asume que las condiciones estuvieron vigentes al 17.11.2024 (fecha de fallecimiento del asegurado).</w:t>
      </w:r>
    </w:p>
    <w:p w:rsidR="00CC0D25" w:rsidP="00CC0D25" w:rsidRDefault="00CC0D25" w14:paraId="272E0001" w14:textId="32B252DD">
      <w:pPr>
        <w:tabs>
          <w:tab w:val="left" w:pos="2160"/>
        </w:tabs>
        <w:jc w:val="center"/>
        <w:rPr>
          <w:rFonts w:ascii="Arial" w:hAnsi="Arial" w:cs="Arial"/>
          <w:sz w:val="20"/>
          <w:szCs w:val="20"/>
          <w:lang w:val="es-PE"/>
        </w:rPr>
      </w:pPr>
      <w:r>
        <w:rPr>
          <w:noProof/>
        </w:rPr>
        <w:drawing>
          <wp:inline distT="0" distB="0" distL="0" distR="0" wp14:anchorId="6AA80F23" wp14:editId="3F581C6E">
            <wp:extent cx="3244215" cy="1137285"/>
            <wp:effectExtent l="0" t="0" r="0" b="0"/>
            <wp:docPr id="2131485836" name="Imagen 16" descr="A close-up of a computer scree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 close-up of a computer screen&#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4215" cy="1137285"/>
                    </a:xfrm>
                    <a:prstGeom prst="rect">
                      <a:avLst/>
                    </a:prstGeom>
                    <a:noFill/>
                    <a:ln>
                      <a:noFill/>
                    </a:ln>
                  </pic:spPr>
                </pic:pic>
              </a:graphicData>
            </a:graphic>
          </wp:inline>
        </w:drawing>
      </w:r>
    </w:p>
    <w:p w:rsidR="00CC0D25" w:rsidP="00CC0D25" w:rsidRDefault="00CC0D25" w14:paraId="2AC2E3CE" w14:textId="77777777">
      <w:pPr>
        <w:pStyle w:val="Textonotapie"/>
        <w:rPr>
          <w:rFonts w:asciiTheme="minorHAnsi" w:hAnsiTheme="minorHAnsi" w:cstheme="minorBidi"/>
          <w:lang w:val="es-PE"/>
        </w:rPr>
      </w:pPr>
    </w:p>
  </w:footnote>
  <w:footnote w:id="2">
    <w:p w:rsidR="00CC0D25" w:rsidP="00CC0D25" w:rsidRDefault="00CC0D25" w14:paraId="11AA2D95" w14:textId="77777777">
      <w:pPr>
        <w:tabs>
          <w:tab w:val="left" w:pos="2160"/>
        </w:tabs>
        <w:jc w:val="both"/>
        <w:rPr>
          <w:rFonts w:ascii="Arial" w:hAnsi="Arial" w:cs="Arial"/>
          <w:i/>
          <w:iCs/>
          <w:sz w:val="20"/>
          <w:szCs w:val="20"/>
          <w:lang w:val="es-PE"/>
        </w:rPr>
      </w:pPr>
      <w:r>
        <w:rPr>
          <w:rStyle w:val="Refdenotaalpie"/>
          <w:i/>
          <w:iCs/>
        </w:rPr>
        <w:footnoteRef/>
      </w:r>
      <w:r>
        <w:rPr>
          <w:i/>
          <w:iCs/>
          <w:lang w:val="es-PE"/>
        </w:rPr>
        <w:t xml:space="preserve"> </w:t>
      </w:r>
      <w:r>
        <w:rPr>
          <w:rFonts w:ascii="Arial" w:hAnsi="Arial" w:cs="Arial"/>
          <w:i/>
          <w:iCs/>
          <w:sz w:val="20"/>
          <w:szCs w:val="20"/>
          <w:lang w:val="es-PE"/>
        </w:rPr>
        <w:t>23.1.1 Servicio de Sepelio: El servicio de sepelio es otorgado por La ASEGURADORA a través de la funeraria afiliada ofreciendo lo detallado en las condiciones particulares. Este servicio a través de la funeraria afiliada sólo se hará efectivo a nivel nacional. En caso de fallecimiento en el extranjero serán pagados por La ASEGURADORA mediante la modalidad de Pago por Indemnización al presentar todos los documentos en caso de siniestro y de encontrarlos La ASEGURADORA conformes. Las alternativas de sepultura y ataúdes varían según el plan escogido por el Asegurado Titular e indicado en las Condiciones Particulares.</w:t>
      </w:r>
    </w:p>
    <w:p w:rsidR="00CC0D25" w:rsidP="00CC0D25" w:rsidRDefault="00CC0D25" w14:paraId="48A35524" w14:textId="77777777">
      <w:pPr>
        <w:tabs>
          <w:tab w:val="left" w:pos="2160"/>
        </w:tabs>
        <w:jc w:val="both"/>
        <w:rPr>
          <w:rFonts w:ascii="Arial" w:hAnsi="Arial" w:cs="Arial"/>
          <w:i/>
          <w:iCs/>
          <w:sz w:val="20"/>
          <w:szCs w:val="20"/>
          <w:lang w:val="es-PE"/>
        </w:rPr>
      </w:pPr>
      <w:r>
        <w:rPr>
          <w:rFonts w:ascii="Arial" w:hAnsi="Arial" w:cs="Arial"/>
          <w:i/>
          <w:iCs/>
          <w:sz w:val="20"/>
          <w:szCs w:val="20"/>
          <w:lang w:val="es-PE"/>
        </w:rPr>
        <w:t xml:space="preserve">Importante: </w:t>
      </w:r>
    </w:p>
    <w:p w:rsidR="00CC0D25" w:rsidP="00CC0D25" w:rsidRDefault="00CC0D25" w14:paraId="3D061FC5" w14:textId="77777777">
      <w:pPr>
        <w:pStyle w:val="Prrafodelista"/>
        <w:numPr>
          <w:ilvl w:val="0"/>
          <w:numId w:val="63"/>
        </w:numPr>
        <w:tabs>
          <w:tab w:val="left" w:pos="2160"/>
        </w:tabs>
        <w:jc w:val="both"/>
        <w:rPr>
          <w:rFonts w:ascii="Arial" w:hAnsi="Arial" w:cs="Arial"/>
          <w:i/>
          <w:iCs/>
          <w:sz w:val="20"/>
          <w:szCs w:val="20"/>
          <w:lang w:val="es-PE"/>
        </w:rPr>
      </w:pPr>
      <w:r>
        <w:rPr>
          <w:rFonts w:ascii="Arial" w:hAnsi="Arial" w:cs="Arial"/>
          <w:i/>
          <w:iCs/>
          <w:sz w:val="20"/>
          <w:szCs w:val="20"/>
        </w:rPr>
        <w:t xml:space="preserve">Se ofrece la opción de cremación para ambos planes en Lima. </w:t>
      </w:r>
    </w:p>
    <w:p w:rsidR="00CC0D25" w:rsidP="00CC0D25" w:rsidRDefault="00CC0D25" w14:paraId="2EFD8C4E" w14:textId="77777777">
      <w:pPr>
        <w:pStyle w:val="Prrafodelista"/>
        <w:numPr>
          <w:ilvl w:val="0"/>
          <w:numId w:val="63"/>
        </w:numPr>
        <w:tabs>
          <w:tab w:val="left" w:pos="2160"/>
        </w:tabs>
        <w:jc w:val="both"/>
        <w:rPr>
          <w:rFonts w:ascii="Arial" w:hAnsi="Arial" w:cs="Arial"/>
          <w:i/>
          <w:iCs/>
          <w:sz w:val="20"/>
          <w:szCs w:val="20"/>
        </w:rPr>
      </w:pPr>
      <w:r>
        <w:rPr>
          <w:rFonts w:ascii="Arial" w:hAnsi="Arial" w:cs="Arial"/>
          <w:i/>
          <w:iCs/>
          <w:sz w:val="20"/>
          <w:szCs w:val="20"/>
        </w:rPr>
        <w:t xml:space="preserve">Se ofrece el servicio de sepultura sólo en Lima. </w:t>
      </w:r>
    </w:p>
    <w:p w:rsidR="00CC0D25" w:rsidP="00CC0D25" w:rsidRDefault="00CC0D25" w14:paraId="4FFC479B" w14:textId="77777777">
      <w:pPr>
        <w:pStyle w:val="Prrafodelista"/>
        <w:numPr>
          <w:ilvl w:val="0"/>
          <w:numId w:val="63"/>
        </w:numPr>
        <w:tabs>
          <w:tab w:val="left" w:pos="2160"/>
        </w:tabs>
        <w:jc w:val="both"/>
        <w:rPr>
          <w:rFonts w:ascii="Arial" w:hAnsi="Arial" w:cs="Arial"/>
          <w:i/>
          <w:iCs/>
          <w:sz w:val="20"/>
          <w:szCs w:val="20"/>
        </w:rPr>
      </w:pPr>
      <w:r>
        <w:rPr>
          <w:rFonts w:ascii="Arial" w:hAnsi="Arial" w:cs="Arial"/>
          <w:i/>
          <w:iCs/>
          <w:sz w:val="20"/>
          <w:szCs w:val="20"/>
        </w:rPr>
        <w:t xml:space="preserve">El Servicio de Sepelio se brindará considerando la suma asegurada máxima del plan elegido y según disponibilidad y radio de acción de la Funeraria. En las ciudades en donde la Funeraria no pueda brindar el Servicio de Sepelio, el Asegurado deberá </w:t>
      </w:r>
      <w:proofErr w:type="gramStart"/>
      <w:r>
        <w:rPr>
          <w:rFonts w:ascii="Arial" w:hAnsi="Arial" w:cs="Arial"/>
          <w:i/>
          <w:iCs/>
          <w:sz w:val="20"/>
          <w:szCs w:val="20"/>
        </w:rPr>
        <w:t>proceder a reclamar</w:t>
      </w:r>
      <w:proofErr w:type="gramEnd"/>
      <w:r>
        <w:rPr>
          <w:rFonts w:ascii="Arial" w:hAnsi="Arial" w:cs="Arial"/>
          <w:i/>
          <w:iCs/>
          <w:sz w:val="20"/>
          <w:szCs w:val="20"/>
        </w:rPr>
        <w:t xml:space="preserve"> la suma asegurada mediante las modalidades de reembolso o indemnización.</w:t>
      </w:r>
    </w:p>
    <w:tbl>
      <w:tblPr>
        <w:tblStyle w:val="Tablaconcuadrcula"/>
        <w:tblW w:w="0" w:type="auto"/>
        <w:tblLook w:val="04A0" w:firstRow="1" w:lastRow="0" w:firstColumn="1" w:lastColumn="0" w:noHBand="0" w:noVBand="1"/>
      </w:tblPr>
      <w:tblGrid>
        <w:gridCol w:w="4389"/>
        <w:gridCol w:w="4389"/>
      </w:tblGrid>
      <w:tr w:rsidR="00CC0D25" w14:paraId="27658FC1" w14:textId="77777777">
        <w:tc>
          <w:tcPr>
            <w:tcW w:w="4389" w:type="dxa"/>
            <w:tcBorders>
              <w:top w:val="single" w:color="auto" w:sz="4" w:space="0"/>
              <w:left w:val="single" w:color="auto" w:sz="4" w:space="0"/>
              <w:bottom w:val="single" w:color="auto" w:sz="4" w:space="0"/>
              <w:right w:val="single" w:color="auto" w:sz="4" w:space="0"/>
            </w:tcBorders>
            <w:hideMark/>
          </w:tcPr>
          <w:p w:rsidR="00CC0D25" w:rsidRDefault="00CC0D25" w14:paraId="1C53D2C9" w14:textId="77777777">
            <w:pPr>
              <w:tabs>
                <w:tab w:val="left" w:pos="2160"/>
              </w:tabs>
              <w:jc w:val="center"/>
              <w:rPr>
                <w:rFonts w:ascii="Arial" w:hAnsi="Arial" w:cs="Arial"/>
                <w:i/>
                <w:iCs/>
                <w:sz w:val="20"/>
                <w:szCs w:val="20"/>
                <w:lang w:val="es-PE"/>
              </w:rPr>
            </w:pPr>
            <w:r>
              <w:rPr>
                <w:rFonts w:ascii="Arial" w:hAnsi="Arial" w:cs="Arial"/>
                <w:i/>
                <w:iCs/>
                <w:sz w:val="20"/>
                <w:szCs w:val="20"/>
                <w:lang w:val="es-PE"/>
              </w:rPr>
              <w:t>Plan Especial</w:t>
            </w:r>
          </w:p>
        </w:tc>
        <w:tc>
          <w:tcPr>
            <w:tcW w:w="4389" w:type="dxa"/>
            <w:tcBorders>
              <w:top w:val="single" w:color="auto" w:sz="4" w:space="0"/>
              <w:left w:val="single" w:color="auto" w:sz="4" w:space="0"/>
              <w:bottom w:val="single" w:color="auto" w:sz="4" w:space="0"/>
              <w:right w:val="single" w:color="auto" w:sz="4" w:space="0"/>
            </w:tcBorders>
            <w:hideMark/>
          </w:tcPr>
          <w:p w:rsidR="00CC0D25" w:rsidRDefault="00CC0D25" w14:paraId="56CA3BD0" w14:textId="77777777">
            <w:pPr>
              <w:tabs>
                <w:tab w:val="left" w:pos="2160"/>
              </w:tabs>
              <w:jc w:val="center"/>
              <w:rPr>
                <w:rFonts w:ascii="Arial" w:hAnsi="Arial" w:cs="Arial"/>
                <w:i/>
                <w:iCs/>
                <w:sz w:val="20"/>
                <w:szCs w:val="20"/>
                <w:lang w:val="es-PE"/>
              </w:rPr>
            </w:pPr>
            <w:r>
              <w:rPr>
                <w:rFonts w:ascii="Arial" w:hAnsi="Arial" w:cs="Arial"/>
                <w:i/>
                <w:iCs/>
                <w:sz w:val="20"/>
                <w:szCs w:val="20"/>
                <w:lang w:val="es-PE"/>
              </w:rPr>
              <w:t>Plan Tradicional</w:t>
            </w:r>
          </w:p>
        </w:tc>
      </w:tr>
      <w:tr w:rsidR="00CC0D25" w14:paraId="56CC53C5" w14:textId="77777777">
        <w:tc>
          <w:tcPr>
            <w:tcW w:w="4389" w:type="dxa"/>
            <w:tcBorders>
              <w:top w:val="single" w:color="auto" w:sz="4" w:space="0"/>
              <w:left w:val="single" w:color="auto" w:sz="4" w:space="0"/>
              <w:bottom w:val="single" w:color="auto" w:sz="4" w:space="0"/>
              <w:right w:val="single" w:color="auto" w:sz="4" w:space="0"/>
            </w:tcBorders>
            <w:hideMark/>
          </w:tcPr>
          <w:p w:rsidR="00CC0D25" w:rsidRDefault="00CC0D25" w14:paraId="7E4895E2" w14:textId="77777777">
            <w:pPr>
              <w:tabs>
                <w:tab w:val="left" w:pos="2160"/>
              </w:tabs>
              <w:jc w:val="both"/>
              <w:rPr>
                <w:rFonts w:ascii="Arial" w:hAnsi="Arial" w:cs="Arial"/>
                <w:i/>
                <w:iCs/>
                <w:sz w:val="20"/>
                <w:szCs w:val="20"/>
                <w:lang w:val="es-PE"/>
              </w:rPr>
            </w:pPr>
            <w:r>
              <w:rPr>
                <w:rFonts w:ascii="Arial" w:hAnsi="Arial" w:cs="Arial"/>
                <w:i/>
                <w:iCs/>
                <w:sz w:val="20"/>
                <w:szCs w:val="20"/>
                <w:lang w:val="es-PE"/>
              </w:rPr>
              <w:t>(…)</w:t>
            </w:r>
          </w:p>
        </w:tc>
        <w:tc>
          <w:tcPr>
            <w:tcW w:w="4389" w:type="dxa"/>
            <w:tcBorders>
              <w:top w:val="single" w:color="auto" w:sz="4" w:space="0"/>
              <w:left w:val="single" w:color="auto" w:sz="4" w:space="0"/>
              <w:bottom w:val="single" w:color="auto" w:sz="4" w:space="0"/>
              <w:right w:val="single" w:color="auto" w:sz="4" w:space="0"/>
            </w:tcBorders>
            <w:hideMark/>
          </w:tcPr>
          <w:p w:rsidR="00CC0D25" w:rsidRDefault="00CC0D25" w14:paraId="41AAF6D6" w14:textId="77777777">
            <w:pPr>
              <w:tabs>
                <w:tab w:val="left" w:pos="2160"/>
              </w:tabs>
              <w:jc w:val="both"/>
              <w:rPr>
                <w:rFonts w:ascii="Arial" w:hAnsi="Arial" w:cs="Arial"/>
                <w:i/>
                <w:iCs/>
                <w:sz w:val="20"/>
                <w:szCs w:val="20"/>
                <w:lang w:val="es-PE"/>
              </w:rPr>
            </w:pPr>
            <w:r>
              <w:rPr>
                <w:rFonts w:ascii="Arial" w:hAnsi="Arial" w:cs="Arial"/>
                <w:i/>
                <w:iCs/>
                <w:sz w:val="20"/>
                <w:szCs w:val="20"/>
                <w:lang w:val="es-PE"/>
              </w:rPr>
              <w:t>(…)</w:t>
            </w:r>
          </w:p>
        </w:tc>
      </w:tr>
    </w:tbl>
    <w:p w:rsidR="00CC0D25" w:rsidP="00CC0D25" w:rsidRDefault="00CC0D25" w14:paraId="77B69936" w14:textId="77777777">
      <w:pPr>
        <w:pStyle w:val="Textonotapie"/>
        <w:rPr>
          <w:rFonts w:asciiTheme="minorHAnsi" w:hAnsiTheme="minorHAnsi" w:cstheme="minorBidi"/>
          <w:lang w:val="es-PE" w:eastAsia="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5CB73E6"/>
    <w:multiLevelType w:val="hybridMultilevel"/>
    <w:tmpl w:val="FAE0172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3"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6"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BC00B0"/>
    <w:multiLevelType w:val="hybridMultilevel"/>
    <w:tmpl w:val="10226A52"/>
    <w:lvl w:ilvl="0" w:tplc="280A0001">
      <w:start w:val="1"/>
      <w:numFmt w:val="bullet"/>
      <w:lvlText w:val=""/>
      <w:lvlJc w:val="left"/>
      <w:pPr>
        <w:ind w:left="360" w:hanging="360"/>
      </w:pPr>
      <w:rPr>
        <w:rFonts w:hint="default" w:ascii="Symbol" w:hAnsi="Symbol"/>
      </w:rPr>
    </w:lvl>
    <w:lvl w:ilvl="1" w:tplc="280A0003">
      <w:start w:val="1"/>
      <w:numFmt w:val="bullet"/>
      <w:lvlText w:val="o"/>
      <w:lvlJc w:val="left"/>
      <w:pPr>
        <w:ind w:left="1080" w:hanging="360"/>
      </w:pPr>
      <w:rPr>
        <w:rFonts w:hint="default" w:ascii="Courier New" w:hAnsi="Courier New" w:cs="Courier New"/>
      </w:rPr>
    </w:lvl>
    <w:lvl w:ilvl="2" w:tplc="280A0005">
      <w:start w:val="1"/>
      <w:numFmt w:val="bullet"/>
      <w:lvlText w:val=""/>
      <w:lvlJc w:val="left"/>
      <w:pPr>
        <w:ind w:left="1800" w:hanging="360"/>
      </w:pPr>
      <w:rPr>
        <w:rFonts w:hint="default" w:ascii="Wingdings" w:hAnsi="Wingdings"/>
      </w:rPr>
    </w:lvl>
    <w:lvl w:ilvl="3" w:tplc="280A0001">
      <w:start w:val="1"/>
      <w:numFmt w:val="bullet"/>
      <w:lvlText w:val=""/>
      <w:lvlJc w:val="left"/>
      <w:pPr>
        <w:ind w:left="2520" w:hanging="360"/>
      </w:pPr>
      <w:rPr>
        <w:rFonts w:hint="default" w:ascii="Symbol" w:hAnsi="Symbol"/>
      </w:rPr>
    </w:lvl>
    <w:lvl w:ilvl="4" w:tplc="280A0003">
      <w:start w:val="1"/>
      <w:numFmt w:val="bullet"/>
      <w:lvlText w:val="o"/>
      <w:lvlJc w:val="left"/>
      <w:pPr>
        <w:ind w:left="3240" w:hanging="360"/>
      </w:pPr>
      <w:rPr>
        <w:rFonts w:hint="default" w:ascii="Courier New" w:hAnsi="Courier New" w:cs="Courier New"/>
      </w:rPr>
    </w:lvl>
    <w:lvl w:ilvl="5" w:tplc="280A0005">
      <w:start w:val="1"/>
      <w:numFmt w:val="bullet"/>
      <w:lvlText w:val=""/>
      <w:lvlJc w:val="left"/>
      <w:pPr>
        <w:ind w:left="3960" w:hanging="360"/>
      </w:pPr>
      <w:rPr>
        <w:rFonts w:hint="default" w:ascii="Wingdings" w:hAnsi="Wingdings"/>
      </w:rPr>
    </w:lvl>
    <w:lvl w:ilvl="6" w:tplc="280A0001">
      <w:start w:val="1"/>
      <w:numFmt w:val="bullet"/>
      <w:lvlText w:val=""/>
      <w:lvlJc w:val="left"/>
      <w:pPr>
        <w:ind w:left="4680" w:hanging="360"/>
      </w:pPr>
      <w:rPr>
        <w:rFonts w:hint="default" w:ascii="Symbol" w:hAnsi="Symbol"/>
      </w:rPr>
    </w:lvl>
    <w:lvl w:ilvl="7" w:tplc="280A0003">
      <w:start w:val="1"/>
      <w:numFmt w:val="bullet"/>
      <w:lvlText w:val="o"/>
      <w:lvlJc w:val="left"/>
      <w:pPr>
        <w:ind w:left="5400" w:hanging="360"/>
      </w:pPr>
      <w:rPr>
        <w:rFonts w:hint="default" w:ascii="Courier New" w:hAnsi="Courier New" w:cs="Courier New"/>
      </w:rPr>
    </w:lvl>
    <w:lvl w:ilvl="8" w:tplc="280A0005">
      <w:start w:val="1"/>
      <w:numFmt w:val="bullet"/>
      <w:lvlText w:val=""/>
      <w:lvlJc w:val="left"/>
      <w:pPr>
        <w:ind w:left="6120" w:hanging="360"/>
      </w:pPr>
      <w:rPr>
        <w:rFonts w:hint="default" w:ascii="Wingdings" w:hAnsi="Wingdings"/>
      </w:rPr>
    </w:lvl>
  </w:abstractNum>
  <w:abstractNum w:abstractNumId="5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8"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2"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8"/>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1"/>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6"/>
  </w:num>
  <w:num w:numId="39" w16cid:durableId="375400375">
    <w:abstractNumId w:val="3"/>
  </w:num>
  <w:num w:numId="40" w16cid:durableId="15364629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3"/>
  </w:num>
  <w:num w:numId="42" w16cid:durableId="1367632935">
    <w:abstractNumId w:val="5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9"/>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9"/>
  </w:num>
  <w:num w:numId="50" w16cid:durableId="1221936204">
    <w:abstractNumId w:val="31"/>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5"/>
  </w:num>
  <w:num w:numId="57" w16cid:durableId="605236648">
    <w:abstractNumId w:val="0"/>
  </w:num>
  <w:num w:numId="58" w16cid:durableId="1927105074">
    <w:abstractNumId w:val="1"/>
  </w:num>
  <w:num w:numId="59" w16cid:durableId="1205754912">
    <w:abstractNumId w:val="8"/>
  </w:num>
  <w:num w:numId="60" w16cid:durableId="616185200">
    <w:abstractNumId w:val="32"/>
  </w:num>
  <w:num w:numId="61" w16cid:durableId="1446466692">
    <w:abstractNumId w:val="35"/>
  </w:num>
  <w:num w:numId="62" w16cid:durableId="112098364">
    <w:abstractNumId w:val="28"/>
    <w:lvlOverride w:ilvl="0"/>
    <w:lvlOverride w:ilvl="1"/>
    <w:lvlOverride w:ilvl="2"/>
    <w:lvlOverride w:ilvl="3"/>
    <w:lvlOverride w:ilvl="4"/>
    <w:lvlOverride w:ilvl="5"/>
    <w:lvlOverride w:ilvl="6"/>
    <w:lvlOverride w:ilvl="7"/>
    <w:lvlOverride w:ilvl="8"/>
  </w:num>
  <w:num w:numId="63" w16cid:durableId="1267037568">
    <w:abstractNumId w:val="52"/>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05FF"/>
    <w:rsid w:val="000A1BF0"/>
    <w:rsid w:val="000A32D2"/>
    <w:rsid w:val="000A5F16"/>
    <w:rsid w:val="000B085C"/>
    <w:rsid w:val="000B201A"/>
    <w:rsid w:val="000B35F3"/>
    <w:rsid w:val="000C1BC7"/>
    <w:rsid w:val="000C23F0"/>
    <w:rsid w:val="000C3C3C"/>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25D47"/>
    <w:rsid w:val="00225DE7"/>
    <w:rsid w:val="0022786F"/>
    <w:rsid w:val="002334DF"/>
    <w:rsid w:val="00233ED8"/>
    <w:rsid w:val="0023521A"/>
    <w:rsid w:val="002359D5"/>
    <w:rsid w:val="002370F4"/>
    <w:rsid w:val="00237AB1"/>
    <w:rsid w:val="0024261D"/>
    <w:rsid w:val="0024444A"/>
    <w:rsid w:val="00247BE2"/>
    <w:rsid w:val="00251125"/>
    <w:rsid w:val="00251C91"/>
    <w:rsid w:val="002605BB"/>
    <w:rsid w:val="002608DC"/>
    <w:rsid w:val="00266CCD"/>
    <w:rsid w:val="002671AE"/>
    <w:rsid w:val="00267932"/>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465"/>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61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195"/>
    <w:rsid w:val="006616F6"/>
    <w:rsid w:val="0066418F"/>
    <w:rsid w:val="00665EBA"/>
    <w:rsid w:val="00666E5D"/>
    <w:rsid w:val="006704E4"/>
    <w:rsid w:val="0067060D"/>
    <w:rsid w:val="0067663E"/>
    <w:rsid w:val="00680A82"/>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17B93"/>
    <w:rsid w:val="0072118B"/>
    <w:rsid w:val="0072160B"/>
    <w:rsid w:val="007224F7"/>
    <w:rsid w:val="0072406C"/>
    <w:rsid w:val="00724770"/>
    <w:rsid w:val="00724EAD"/>
    <w:rsid w:val="007259DA"/>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562B"/>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889"/>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0D25"/>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2B42"/>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67F29"/>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0FF2E0B"/>
    <w:rsid w:val="087C79E0"/>
    <w:rsid w:val="1505B460"/>
    <w:rsid w:val="15D3B87F"/>
    <w:rsid w:val="2583942C"/>
    <w:rsid w:val="26627D1E"/>
    <w:rsid w:val="33A0AFA1"/>
    <w:rsid w:val="4489975A"/>
    <w:rsid w:val="4B2310F1"/>
    <w:rsid w:val="6193DD23"/>
    <w:rsid w:val="6705ED77"/>
    <w:rsid w:val="6A0F2CBB"/>
    <w:rsid w:val="6DC49B65"/>
    <w:rsid w:val="6FA6B663"/>
    <w:rsid w:val="77849D83"/>
    <w:rsid w:val="7CC0E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 w:type="table" w:styleId="Tablaconcuadrcula">
    <w:name w:val="Table Grid"/>
    <w:basedOn w:val="Tablanormal"/>
    <w:uiPriority w:val="39"/>
    <w:rsid w:val="00CC0D2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34736322">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51296794">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2814581">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693970">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17A080C-785E-47FA-BD5D-F5E8186F05C7}"/>
</file>

<file path=customXml/itemProps3.xml><?xml version="1.0" encoding="utf-8"?>
<ds:datastoreItem xmlns:ds="http://schemas.openxmlformats.org/officeDocument/2006/customXml" ds:itemID="{8DCB2BC9-23F1-4677-ABDF-8B84A5EC9599}"/>
</file>

<file path=customXml/itemProps4.xml><?xml version="1.0" encoding="utf-8"?>
<ds:datastoreItem xmlns:ds="http://schemas.openxmlformats.org/officeDocument/2006/customXml" ds:itemID="{9A4A2B17-D31B-48C6-BBE4-53E414C77B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611</cp:revision>
  <cp:lastPrinted>2025-07-01T15:24:00Z</cp:lastPrinted>
  <dcterms:created xsi:type="dcterms:W3CDTF">2023-06-22T13:57:00Z</dcterms:created>
  <dcterms:modified xsi:type="dcterms:W3CDTF">2026-03-31T17:09:16Z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