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452" w:rsidR="00ED76D4" w:rsidP="00655452" w:rsidRDefault="00F15FBA" w14:paraId="75C117BA" w14:textId="2F2B36BF">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00254F48">
        <w:rPr>
          <w:lang w:val="es-PE"/>
        </w:rPr>
        <w:t>6</w:t>
      </w:r>
      <w:r w:rsidRPr="00020D94" w:rsidR="001272A9">
        <w:rPr>
          <w:lang w:val="es-PE"/>
        </w:rPr>
        <w:t>/</w:t>
      </w:r>
      <w:r w:rsidRPr="00020D94" w:rsidR="001631D6">
        <w:rPr>
          <w:lang w:val="es-PE"/>
        </w:rPr>
        <w:t>2</w:t>
      </w:r>
      <w:r w:rsidRPr="00020D94" w:rsidR="0073373B">
        <w:rPr>
          <w:lang w:val="es-PE"/>
        </w:rPr>
        <w:t>5</w:t>
      </w:r>
    </w:p>
    <w:p w:rsidRPr="00680B20" w:rsidR="00680B20" w:rsidP="00680B20" w:rsidRDefault="00680B20" w14:paraId="63B9518B" w14:textId="77777777">
      <w:pPr>
        <w:jc w:val="both"/>
        <w:outlineLvl w:val="0"/>
        <w:rPr>
          <w:b/>
          <w:bCs/>
          <w:lang w:val="es-MX"/>
        </w:rPr>
      </w:pPr>
    </w:p>
    <w:p w:rsidR="00680B20" w:rsidP="00680B20" w:rsidRDefault="00680B20" w14:paraId="577A3CD4" w14:textId="77777777">
      <w:pPr>
        <w:jc w:val="both"/>
        <w:outlineLvl w:val="0"/>
        <w:rPr>
          <w:b/>
          <w:bCs/>
          <w:lang w:val="es-MX"/>
        </w:rPr>
      </w:pPr>
      <w:r w:rsidRPr="00680B20">
        <w:rPr>
          <w:b/>
          <w:bCs/>
          <w:lang w:val="es-MX"/>
        </w:rPr>
        <w:t>VISTOS:</w:t>
      </w:r>
    </w:p>
    <w:p w:rsidRPr="00680B20" w:rsidR="00865FCB" w:rsidP="00680B20" w:rsidRDefault="00865FCB" w14:paraId="768FC8F1" w14:textId="77777777">
      <w:pPr>
        <w:jc w:val="both"/>
        <w:outlineLvl w:val="0"/>
        <w:rPr>
          <w:b/>
          <w:bCs/>
          <w:lang w:val="es-MX"/>
        </w:rPr>
      </w:pPr>
    </w:p>
    <w:p w:rsidR="00680B20" w:rsidP="00680B20" w:rsidRDefault="00680B20" w14:paraId="077C6A1C" w14:textId="47362218">
      <w:pPr>
        <w:jc w:val="both"/>
        <w:outlineLvl w:val="0"/>
        <w:rPr>
          <w:lang w:val="es-PE"/>
        </w:rPr>
      </w:pPr>
      <w:r w:rsidRPr="6C9F82C9" w:rsidR="00680B20">
        <w:rPr>
          <w:lang w:val="es-PE"/>
        </w:rPr>
        <w:t>Que, con fecha 7 de febrero de 2025</w:t>
      </w:r>
      <w:bookmarkStart w:name="_Hlk107662905" w:id="0"/>
      <w:r w:rsidRPr="6C9F82C9" w:rsidR="00680B20">
        <w:rPr>
          <w:lang w:val="es-PE"/>
        </w:rPr>
        <w:t xml:space="preserve">, la señora </w:t>
      </w:r>
      <w:r w:rsidRPr="6C9F82C9" w:rsidR="5926FA7C">
        <w:rPr>
          <w:b w:val="1"/>
          <w:bCs w:val="1"/>
          <w:lang w:val="es-PE"/>
        </w:rPr>
        <w:t>.............................................................................</w:t>
      </w:r>
      <w:r w:rsidRPr="6C9F82C9" w:rsidR="00680B20">
        <w:rPr>
          <w:b w:val="1"/>
          <w:bCs w:val="1"/>
          <w:lang w:val="es-PE"/>
        </w:rPr>
        <w:t xml:space="preserve"> </w:t>
      </w:r>
      <w:r w:rsidRPr="6C9F82C9" w:rsidR="00680B20">
        <w:rPr>
          <w:lang w:val="es-PE"/>
        </w:rPr>
        <w:t xml:space="preserve">(la señora </w:t>
      </w:r>
      <w:r w:rsidRPr="6C9F82C9" w:rsidR="00680B20">
        <w:rPr>
          <w:b w:val="1"/>
          <w:bCs w:val="1"/>
          <w:lang w:val="es-PE"/>
        </w:rPr>
        <w:t>“</w:t>
      </w:r>
      <w:r w:rsidRPr="6C9F82C9" w:rsidR="2CBB7025">
        <w:rPr>
          <w:b w:val="1"/>
          <w:bCs w:val="1"/>
          <w:lang w:val="es-PE"/>
        </w:rPr>
        <w:t>..................................</w:t>
      </w:r>
      <w:r w:rsidRPr="6C9F82C9" w:rsidR="00680B20">
        <w:rPr>
          <w:b w:val="1"/>
          <w:bCs w:val="1"/>
          <w:lang w:val="es-PE"/>
        </w:rPr>
        <w:t>”)</w:t>
      </w:r>
      <w:bookmarkEnd w:id="0"/>
      <w:r w:rsidRPr="6C9F82C9" w:rsidR="00680B20">
        <w:rPr>
          <w:lang w:val="es-PE"/>
        </w:rPr>
        <w:t xml:space="preserve"> interpuso un reclamo ante la Defensoría del Asegurado </w:t>
      </w:r>
      <w:r w:rsidRPr="6C9F82C9" w:rsidR="00680B20">
        <w:rPr>
          <w:b w:val="1"/>
          <w:bCs w:val="1"/>
          <w:lang w:val="es-PE"/>
        </w:rPr>
        <w:t>(“DEFASEG”</w:t>
      </w:r>
      <w:r w:rsidRPr="6C9F82C9" w:rsidR="00680B20">
        <w:rPr>
          <w:lang w:val="es-PE"/>
        </w:rPr>
        <w:t xml:space="preserve">) contra </w:t>
      </w:r>
      <w:r w:rsidRPr="6C9F82C9" w:rsidR="2EA3ECED">
        <w:rPr>
          <w:b w:val="1"/>
          <w:bCs w:val="1"/>
          <w:lang w:val="es-PE"/>
        </w:rPr>
        <w:t>.....................................................................................</w:t>
      </w:r>
      <w:r w:rsidRPr="6C9F82C9" w:rsidR="00680B20">
        <w:rPr>
          <w:b w:val="1"/>
          <w:bCs w:val="1"/>
          <w:lang w:val="es-PE"/>
        </w:rPr>
        <w:t xml:space="preserve"> (“</w:t>
      </w:r>
      <w:r w:rsidRPr="6C9F82C9" w:rsidR="3FDFBAFD">
        <w:rPr>
          <w:b w:val="1"/>
          <w:bCs w:val="1"/>
          <w:lang w:val="es-PE"/>
        </w:rPr>
        <w:t>.............</w:t>
      </w:r>
      <w:r w:rsidRPr="6C9F82C9" w:rsidR="00680B20">
        <w:rPr>
          <w:b w:val="1"/>
          <w:bCs w:val="1"/>
          <w:lang w:val="es-PE"/>
        </w:rPr>
        <w:t>”</w:t>
      </w:r>
      <w:r w:rsidRPr="6C9F82C9" w:rsidR="00680B20">
        <w:rPr>
          <w:b w:val="1"/>
          <w:bCs w:val="1"/>
          <w:lang w:val="es-MX"/>
        </w:rPr>
        <w:t xml:space="preserve">) </w:t>
      </w:r>
      <w:r w:rsidRPr="6C9F82C9" w:rsidR="00680B20">
        <w:rPr>
          <w:lang w:val="es-PE"/>
        </w:rPr>
        <w:t xml:space="preserve">para que se le otorgue cobertura producto del siniestro ocurrido el 13 de enero de 2025, conforme a la Póliza de Seguro Obligatorio de Accidentes de Tránsito </w:t>
      </w:r>
      <w:r w:rsidRPr="6C9F82C9" w:rsidR="00680B20">
        <w:rPr>
          <w:lang w:val="es-PE"/>
        </w:rPr>
        <w:t>n.°</w:t>
      </w:r>
      <w:r w:rsidRPr="6C9F82C9" w:rsidR="00680B20">
        <w:rPr>
          <w:lang w:val="es-PE"/>
        </w:rPr>
        <w:t xml:space="preserve"> </w:t>
      </w:r>
      <w:r w:rsidRPr="6C9F82C9" w:rsidR="3A1E4C8A">
        <w:rPr>
          <w:lang w:val="es-PE"/>
        </w:rPr>
        <w:t>........................................................</w:t>
      </w:r>
      <w:r w:rsidRPr="6C9F82C9" w:rsidR="00680B20">
        <w:rPr>
          <w:lang w:val="es-PE"/>
        </w:rPr>
        <w:t xml:space="preserve"> (en adelante, el SOAT).</w:t>
      </w:r>
    </w:p>
    <w:p w:rsidRPr="00680B20" w:rsidR="00865FCB" w:rsidP="00680B20" w:rsidRDefault="00865FCB" w14:paraId="3C89DCFD" w14:textId="77777777">
      <w:pPr>
        <w:jc w:val="both"/>
        <w:outlineLvl w:val="0"/>
        <w:rPr>
          <w:lang w:val="es-PE"/>
        </w:rPr>
      </w:pPr>
    </w:p>
    <w:p w:rsidR="00680B20" w:rsidP="00680B20" w:rsidRDefault="00680B20" w14:paraId="4AFF6686" w14:textId="682D9C01">
      <w:pPr>
        <w:jc w:val="both"/>
        <w:outlineLvl w:val="0"/>
        <w:rPr>
          <w:lang w:val="es-PE"/>
        </w:rPr>
      </w:pPr>
      <w:r w:rsidRPr="354ADB8C" w:rsidR="00680B20">
        <w:rPr>
          <w:lang w:val="es-PE"/>
        </w:rPr>
        <w:t xml:space="preserve">Que, la reclamación interpuesta por la señora </w:t>
      </w:r>
      <w:r w:rsidRPr="354ADB8C" w:rsidR="2CBB7025">
        <w:rPr>
          <w:lang w:val="es-PE"/>
        </w:rPr>
        <w:t>..................................</w:t>
      </w:r>
      <w:r w:rsidRPr="354ADB8C" w:rsidR="00680B20">
        <w:rPr>
          <w:lang w:val="es-PE"/>
        </w:rPr>
        <w:t xml:space="preserve"> se sustenta en los siguientes hechos y argumentos: </w:t>
      </w:r>
      <w:r w:rsidRPr="354ADB8C" w:rsidR="00680B20">
        <w:rPr>
          <w:b w:val="1"/>
          <w:bCs w:val="1"/>
          <w:i w:val="1"/>
          <w:iCs w:val="1"/>
          <w:lang w:val="es-PE"/>
        </w:rPr>
        <w:t xml:space="preserve">a) </w:t>
      </w:r>
      <w:r w:rsidRPr="354ADB8C" w:rsidR="00680B20">
        <w:rPr>
          <w:lang w:val="es-PE"/>
        </w:rPr>
        <w:t xml:space="preserve">que, el día 13 de enero de 2025 mientras la señora </w:t>
      </w:r>
      <w:r w:rsidRPr="354ADB8C" w:rsidR="2CBB7025">
        <w:rPr>
          <w:lang w:val="es-PE"/>
        </w:rPr>
        <w:t>..................................</w:t>
      </w:r>
      <w:r w:rsidRPr="354ADB8C" w:rsidR="00680B20">
        <w:rPr>
          <w:lang w:val="es-PE"/>
        </w:rPr>
        <w:t xml:space="preserve"> transitaba en su bicimoto por la ciclovía de la avenida Faustino Sánchez Carrión crucero con el </w:t>
      </w:r>
      <w:r w:rsidRPr="354ADB8C" w:rsidR="40EE6CC0">
        <w:rPr>
          <w:lang w:val="es-PE"/>
        </w:rPr>
        <w:t>...................................................................................</w:t>
      </w:r>
      <w:r w:rsidRPr="354ADB8C" w:rsidR="00680B20">
        <w:rPr>
          <w:lang w:val="es-PE"/>
        </w:rPr>
        <w:t xml:space="preserve"> en la provincia de Lima, se produjo un accidente de tránsito con un vehículo de marca Toyota, con placa de rodaje </w:t>
      </w:r>
      <w:r w:rsidRPr="354ADB8C" w:rsidR="00680B20">
        <w:rPr>
          <w:lang w:val="es-PE"/>
        </w:rPr>
        <w:t>n.°</w:t>
      </w:r>
      <w:r w:rsidRPr="354ADB8C" w:rsidR="00680B20">
        <w:rPr>
          <w:lang w:val="es-PE"/>
        </w:rPr>
        <w:t xml:space="preserve"> </w:t>
      </w:r>
      <w:r w:rsidRPr="354ADB8C" w:rsidR="53C95FF1">
        <w:rPr>
          <w:lang w:val="es-PE"/>
        </w:rPr>
        <w:t>...................</w:t>
      </w:r>
      <w:r w:rsidRPr="354ADB8C" w:rsidR="00680B20">
        <w:rPr>
          <w:lang w:val="es-PE"/>
        </w:rPr>
        <w:t xml:space="preserve">, conducido por el señor Ramiro Alvar Valera Pacheco, provocándole la rotura de radio del brazo derecho, hernia en el cuello y daños materiales; </w:t>
      </w:r>
      <w:r w:rsidRPr="354ADB8C" w:rsidR="00680B20">
        <w:rPr>
          <w:b w:val="1"/>
          <w:bCs w:val="1"/>
          <w:i w:val="1"/>
          <w:iCs w:val="1"/>
          <w:lang w:val="es-PE"/>
        </w:rPr>
        <w:t>b)</w:t>
      </w:r>
      <w:r w:rsidRPr="354ADB8C" w:rsidR="00680B20">
        <w:rPr>
          <w:lang w:val="es-PE"/>
        </w:rPr>
        <w:t xml:space="preserve"> que, producto del accidente, recibió atención médica en la clínica San Gabriel, donde, luego de varios días, el SOAT respondió, pero aun así tuvo que asumir gastos adicionales relacionados con su recuperación; </w:t>
      </w:r>
      <w:r w:rsidRPr="354ADB8C" w:rsidR="00680B20">
        <w:rPr>
          <w:b w:val="1"/>
          <w:bCs w:val="1"/>
          <w:i w:val="1"/>
          <w:iCs w:val="1"/>
          <w:lang w:val="es-PE"/>
        </w:rPr>
        <w:t>c)</w:t>
      </w:r>
      <w:r w:rsidRPr="354ADB8C" w:rsidR="00680B20">
        <w:rPr>
          <w:lang w:val="es-PE"/>
        </w:rPr>
        <w:t xml:space="preserve"> que, debido a las lesiones sufridas, el médico le prescribió seis meses descanso médico por incapacidad temporal, lo que le impide laborar; </w:t>
      </w:r>
      <w:r w:rsidRPr="354ADB8C" w:rsidR="00680B20">
        <w:rPr>
          <w:b w:val="1"/>
          <w:bCs w:val="1"/>
          <w:i w:val="1"/>
          <w:iCs w:val="1"/>
          <w:lang w:val="es-PE"/>
        </w:rPr>
        <w:t>d)</w:t>
      </w:r>
      <w:r w:rsidRPr="354ADB8C" w:rsidR="00680B20">
        <w:rPr>
          <w:lang w:val="es-PE"/>
        </w:rPr>
        <w:t xml:space="preserve"> que, a pesar que la normativa vigente establece que los conductores de bicimotos no están obligados a contar con un SOAT y que, en caso de accidente, el seguro del vehículo responsable, debe asumir la cobertura correspondiente, </w:t>
      </w:r>
      <w:r w:rsidRPr="354ADB8C" w:rsidR="42FF3A33">
        <w:rPr>
          <w:lang w:val="es-PE"/>
        </w:rPr>
        <w:t>..............</w:t>
      </w:r>
      <w:r w:rsidRPr="354ADB8C" w:rsidR="00680B20">
        <w:rPr>
          <w:lang w:val="es-PE"/>
        </w:rPr>
        <w:t xml:space="preserve"> ha negado la indemnización, exigiendo la presentación de un SOAT, lo cual constituye un incumplimiento de la normativa y una vulneración de sus derechos; </w:t>
      </w:r>
      <w:r w:rsidRPr="354ADB8C" w:rsidR="00680B20">
        <w:rPr>
          <w:b w:val="1"/>
          <w:bCs w:val="1"/>
          <w:i w:val="1"/>
          <w:iCs w:val="1"/>
          <w:lang w:val="es-PE"/>
        </w:rPr>
        <w:t>e)</w:t>
      </w:r>
      <w:r w:rsidRPr="354ADB8C" w:rsidR="00680B20">
        <w:rPr>
          <w:lang w:val="es-PE"/>
        </w:rPr>
        <w:t xml:space="preserve"> que, tras presentar su solicitud de indemnización ante </w:t>
      </w:r>
      <w:r w:rsidRPr="354ADB8C" w:rsidR="42FF3A33">
        <w:rPr>
          <w:lang w:val="es-PE"/>
        </w:rPr>
        <w:t>..............</w:t>
      </w:r>
      <w:r w:rsidRPr="354ADB8C" w:rsidR="00680B20">
        <w:rPr>
          <w:lang w:val="es-PE"/>
        </w:rPr>
        <w:t xml:space="preserve">, ésta ha rechazado injustificadamente su solicitud; y, </w:t>
      </w:r>
      <w:r w:rsidRPr="354ADB8C" w:rsidR="00680B20">
        <w:rPr>
          <w:b w:val="1"/>
          <w:bCs w:val="1"/>
          <w:i w:val="1"/>
          <w:iCs w:val="1"/>
          <w:lang w:val="es-PE"/>
        </w:rPr>
        <w:t>f)</w:t>
      </w:r>
      <w:r w:rsidRPr="354ADB8C" w:rsidR="00680B20">
        <w:rPr>
          <w:lang w:val="es-PE"/>
        </w:rPr>
        <w:t xml:space="preserve"> que, en la medida que el accidente no fue de  responsabilidad de la reclamante y que la empresa aseguradora está incumpliendo con su deber de brindar la cobertura correspondiente, solicita la intervención de la DEFASEG para la revisión de su caso y la exigencia del cumplimiento de sus derechos como tercero afectado.</w:t>
      </w:r>
    </w:p>
    <w:p w:rsidRPr="00680B20" w:rsidR="00865FCB" w:rsidP="00680B20" w:rsidRDefault="00865FCB" w14:paraId="6C7258E6" w14:textId="77777777">
      <w:pPr>
        <w:jc w:val="both"/>
        <w:outlineLvl w:val="0"/>
        <w:rPr>
          <w:lang w:val="es-PE"/>
        </w:rPr>
      </w:pPr>
    </w:p>
    <w:p w:rsidR="00680B20" w:rsidP="00680B20" w:rsidRDefault="00680B20" w14:paraId="430CFEEB" w14:textId="2BCB7C99">
      <w:pPr>
        <w:jc w:val="both"/>
        <w:outlineLvl w:val="0"/>
        <w:rPr>
          <w:lang w:val="es-PE"/>
        </w:rPr>
      </w:pPr>
      <w:r w:rsidRPr="354ADB8C" w:rsidR="00680B20">
        <w:rPr>
          <w:lang w:val="es-PE"/>
        </w:rPr>
        <w:t xml:space="preserve">Que, con su reclamación, la señora </w:t>
      </w:r>
      <w:r w:rsidRPr="354ADB8C" w:rsidR="60D4155A">
        <w:rPr>
          <w:lang w:val="es-PE"/>
        </w:rPr>
        <w:t>.....................................</w:t>
      </w:r>
      <w:r w:rsidRPr="354ADB8C" w:rsidR="00680B20">
        <w:rPr>
          <w:lang w:val="es-PE"/>
        </w:rPr>
        <w:t xml:space="preserve"> presentó los siguientes documentos: </w:t>
      </w:r>
      <w:r w:rsidRPr="354ADB8C" w:rsidR="00680B20">
        <w:rPr>
          <w:b w:val="1"/>
          <w:bCs w:val="1"/>
          <w:i w:val="1"/>
          <w:iCs w:val="1"/>
          <w:lang w:val="es-PE"/>
        </w:rPr>
        <w:t>(i)</w:t>
      </w:r>
      <w:r w:rsidRPr="354ADB8C" w:rsidR="00680B20">
        <w:rPr>
          <w:lang w:val="es-PE"/>
        </w:rPr>
        <w:t xml:space="preserve"> copia de la denuncia policial; </w:t>
      </w:r>
      <w:r w:rsidRPr="354ADB8C" w:rsidR="00680B20">
        <w:rPr>
          <w:b w:val="1"/>
          <w:bCs w:val="1"/>
          <w:i w:val="1"/>
          <w:iCs w:val="1"/>
          <w:lang w:val="es-PE"/>
        </w:rPr>
        <w:t>(</w:t>
      </w:r>
      <w:r w:rsidRPr="354ADB8C" w:rsidR="00680B20">
        <w:rPr>
          <w:b w:val="1"/>
          <w:bCs w:val="1"/>
          <w:i w:val="1"/>
          <w:iCs w:val="1"/>
          <w:lang w:val="es-PE"/>
        </w:rPr>
        <w:t>ii</w:t>
      </w:r>
      <w:r w:rsidRPr="354ADB8C" w:rsidR="00680B20">
        <w:rPr>
          <w:b w:val="1"/>
          <w:bCs w:val="1"/>
          <w:i w:val="1"/>
          <w:iCs w:val="1"/>
          <w:lang w:val="es-PE"/>
        </w:rPr>
        <w:t>)</w:t>
      </w:r>
      <w:r w:rsidRPr="354ADB8C" w:rsidR="00680B20">
        <w:rPr>
          <w:lang w:val="es-PE"/>
        </w:rPr>
        <w:t xml:space="preserve"> copia del certificado médico emitido por un médico traumatólogo que certifica la rotura del radio del antebrazo derecho y dispone de un descanso médico de seis (6) meses; y, </w:t>
      </w:r>
      <w:r w:rsidRPr="354ADB8C" w:rsidR="00680B20">
        <w:rPr>
          <w:b w:val="1"/>
          <w:bCs w:val="1"/>
          <w:i w:val="1"/>
          <w:iCs w:val="1"/>
          <w:lang w:val="es-PE"/>
        </w:rPr>
        <w:t>(</w:t>
      </w:r>
      <w:r w:rsidRPr="354ADB8C" w:rsidR="00680B20">
        <w:rPr>
          <w:b w:val="1"/>
          <w:bCs w:val="1"/>
          <w:i w:val="1"/>
          <w:iCs w:val="1"/>
          <w:lang w:val="es-PE"/>
        </w:rPr>
        <w:t>iii</w:t>
      </w:r>
      <w:r w:rsidRPr="354ADB8C" w:rsidR="00680B20">
        <w:rPr>
          <w:b w:val="1"/>
          <w:bCs w:val="1"/>
          <w:i w:val="1"/>
          <w:iCs w:val="1"/>
          <w:lang w:val="es-PE"/>
        </w:rPr>
        <w:t>)</w:t>
      </w:r>
      <w:r w:rsidRPr="354ADB8C" w:rsidR="00680B20">
        <w:rPr>
          <w:lang w:val="es-PE"/>
        </w:rPr>
        <w:t xml:space="preserve"> copia de la comunicación de fecha 28 de enero de 2025 de </w:t>
      </w:r>
      <w:r w:rsidRPr="354ADB8C" w:rsidR="42FF3A33">
        <w:rPr>
          <w:lang w:val="es-PE"/>
        </w:rPr>
        <w:t>..............</w:t>
      </w:r>
      <w:r w:rsidRPr="354ADB8C" w:rsidR="00680B20">
        <w:rPr>
          <w:lang w:val="es-PE"/>
        </w:rPr>
        <w:t xml:space="preserve"> dirigida a señora </w:t>
      </w:r>
      <w:r w:rsidRPr="354ADB8C" w:rsidR="2CBB7025">
        <w:rPr>
          <w:lang w:val="es-PE"/>
        </w:rPr>
        <w:t>..................................</w:t>
      </w:r>
      <w:r w:rsidRPr="354ADB8C" w:rsidR="00680B20">
        <w:rPr>
          <w:lang w:val="es-PE"/>
        </w:rPr>
        <w:t xml:space="preserve"> a través de la cual se le comunica que la atención de dicho siniestro a través de la póliza SOAT no es de cargo de la aseguradora (“Carta de rechazo”).  </w:t>
      </w:r>
    </w:p>
    <w:p w:rsidRPr="00680B20" w:rsidR="00865FCB" w:rsidP="00680B20" w:rsidRDefault="00865FCB" w14:paraId="451B2F08" w14:textId="77777777">
      <w:pPr>
        <w:jc w:val="both"/>
        <w:outlineLvl w:val="0"/>
        <w:rPr>
          <w:lang w:val="es-PE"/>
        </w:rPr>
      </w:pPr>
    </w:p>
    <w:p w:rsidR="00680B20" w:rsidP="00680B20" w:rsidRDefault="00680B20" w14:paraId="649C47D9" w14:textId="27160AD1">
      <w:pPr>
        <w:jc w:val="both"/>
        <w:outlineLvl w:val="0"/>
        <w:rPr>
          <w:lang w:val="es-PE"/>
        </w:rPr>
      </w:pPr>
      <w:r w:rsidRPr="354ADB8C" w:rsidR="42FF3A33">
        <w:rPr>
          <w:lang w:val="es-PE"/>
        </w:rPr>
        <w:t>..............</w:t>
      </w:r>
      <w:r w:rsidRPr="354ADB8C" w:rsidR="00680B20">
        <w:rPr>
          <w:lang w:val="es-PE"/>
        </w:rPr>
        <w:t xml:space="preserve"> presentó su descargo el día 17 de marzo de 2025, solicitando que el reclamo de la asegurada sea declarado infundado en todos sus extremos, sobre la base de los siguientes argumentos: </w:t>
      </w:r>
      <w:r w:rsidRPr="354ADB8C" w:rsidR="00680B20">
        <w:rPr>
          <w:b w:val="1"/>
          <w:bCs w:val="1"/>
          <w:i w:val="1"/>
          <w:iCs w:val="1"/>
          <w:lang w:val="es-PE"/>
        </w:rPr>
        <w:t>a)</w:t>
      </w:r>
      <w:r w:rsidRPr="354ADB8C" w:rsidR="00680B20">
        <w:rPr>
          <w:lang w:val="es-PE"/>
        </w:rPr>
        <w:t xml:space="preserve"> que, de acuerdo con la denuncia policial presentada en la comisaría PNP Magdalena el 13 de enero del 2025, se produjo un accidente de tránsito tipificado como choque en circulación; </w:t>
      </w:r>
      <w:r w:rsidRPr="354ADB8C" w:rsidR="00680B20">
        <w:rPr>
          <w:b w:val="1"/>
          <w:bCs w:val="1"/>
          <w:i w:val="1"/>
          <w:iCs w:val="1"/>
          <w:lang w:val="es-PE"/>
        </w:rPr>
        <w:t>b)</w:t>
      </w:r>
      <w:r w:rsidRPr="354ADB8C" w:rsidR="00680B20">
        <w:rPr>
          <w:lang w:val="es-PE"/>
        </w:rPr>
        <w:t xml:space="preserve"> que, en dicho accidente estuvieron involucrados, por un lado, el vehículo asegurado por </w:t>
      </w:r>
      <w:r w:rsidRPr="354ADB8C" w:rsidR="42FF3A33">
        <w:rPr>
          <w:lang w:val="es-PE"/>
        </w:rPr>
        <w:t>..............</w:t>
      </w:r>
      <w:r w:rsidRPr="354ADB8C" w:rsidR="00680B20">
        <w:rPr>
          <w:lang w:val="es-PE"/>
        </w:rPr>
        <w:t xml:space="preserve">, con placa de rodaje </w:t>
      </w:r>
      <w:r w:rsidRPr="354ADB8C" w:rsidR="00680B20">
        <w:rPr>
          <w:lang w:val="es-PE"/>
        </w:rPr>
        <w:t>n.°</w:t>
      </w:r>
      <w:r w:rsidRPr="354ADB8C" w:rsidR="00680B20">
        <w:rPr>
          <w:lang w:val="es-PE"/>
        </w:rPr>
        <w:t xml:space="preserve"> </w:t>
      </w:r>
      <w:r w:rsidRPr="354ADB8C" w:rsidR="4332F062">
        <w:rPr>
          <w:lang w:val="es-PE"/>
        </w:rPr>
        <w:t>................</w:t>
      </w:r>
      <w:r w:rsidRPr="354ADB8C" w:rsidR="00680B20">
        <w:rPr>
          <w:lang w:val="es-PE"/>
        </w:rPr>
        <w:t xml:space="preserve">, y, por otro lado, un vehículo menor del tipo motocicleta eléctrica, el cual carecía de placa de rodaje y no </w:t>
      </w:r>
      <w:r w:rsidRPr="354ADB8C" w:rsidR="00680B20">
        <w:rPr>
          <w:lang w:val="es-PE"/>
        </w:rPr>
        <w:t xml:space="preserve">contaba con SOAT, conducido por la señora </w:t>
      </w:r>
      <w:r w:rsidRPr="354ADB8C" w:rsidR="2CBB7025">
        <w:rPr>
          <w:lang w:val="es-PE"/>
        </w:rPr>
        <w:t>..................................</w:t>
      </w:r>
      <w:r w:rsidRPr="354ADB8C" w:rsidR="00680B20">
        <w:rPr>
          <w:lang w:val="es-PE"/>
        </w:rPr>
        <w:t xml:space="preserve">; </w:t>
      </w:r>
      <w:r w:rsidRPr="354ADB8C" w:rsidR="00680B20">
        <w:rPr>
          <w:b w:val="1"/>
          <w:bCs w:val="1"/>
          <w:i w:val="1"/>
          <w:iCs w:val="1"/>
          <w:lang w:val="es-PE"/>
        </w:rPr>
        <w:t>c)</w:t>
      </w:r>
      <w:r w:rsidRPr="354ADB8C" w:rsidR="00680B20">
        <w:rPr>
          <w:lang w:val="es-PE"/>
        </w:rPr>
        <w:t xml:space="preserve"> que, el artículo 17 del Reglamento de Responsabilidad Civil y Seguros Obligatorios por Accidentes de Tránsito, estipula que en aquellos casos en los que se produzca un accidente de tránsito con la participación de dos o más vehículos, la responsabilidad de cada empresa de seguros se limita a la cobertura de las indemnizaciones y los gastos médicos de aquellas personas que se encontraban a bordo de los vehículos asegurados bajo su cobertura; </w:t>
      </w:r>
      <w:r w:rsidRPr="354ADB8C" w:rsidR="00680B20">
        <w:rPr>
          <w:b w:val="1"/>
          <w:bCs w:val="1"/>
          <w:i w:val="1"/>
          <w:iCs w:val="1"/>
          <w:lang w:val="es-PE"/>
        </w:rPr>
        <w:t>d)</w:t>
      </w:r>
      <w:r w:rsidRPr="354ADB8C" w:rsidR="00680B20">
        <w:rPr>
          <w:lang w:val="es-PE"/>
        </w:rPr>
        <w:t xml:space="preserve"> que, dado que la señora </w:t>
      </w:r>
      <w:r w:rsidRPr="354ADB8C" w:rsidR="2CBB7025">
        <w:rPr>
          <w:lang w:val="es-PE"/>
        </w:rPr>
        <w:t>..................................</w:t>
      </w:r>
      <w:r w:rsidRPr="354ADB8C" w:rsidR="00680B20">
        <w:rPr>
          <w:lang w:val="es-PE"/>
        </w:rPr>
        <w:t xml:space="preserve"> conducía una motocicleta eléctrica sin placa de rodaje que no contaba con póliza de SOAT, dicho vehículo no se encuentra dentro del ámbito de cobertura de la póliza suscrita; y </w:t>
      </w:r>
      <w:r w:rsidRPr="354ADB8C" w:rsidR="00680B20">
        <w:rPr>
          <w:b w:val="1"/>
          <w:bCs w:val="1"/>
          <w:i w:val="1"/>
          <w:iCs w:val="1"/>
          <w:lang w:val="es-PE"/>
        </w:rPr>
        <w:t>e)</w:t>
      </w:r>
      <w:r w:rsidRPr="354ADB8C" w:rsidR="00680B20">
        <w:rPr>
          <w:lang w:val="es-PE"/>
        </w:rPr>
        <w:t xml:space="preserve"> que, no cabe que </w:t>
      </w:r>
      <w:r w:rsidRPr="354ADB8C" w:rsidR="42FF3A33">
        <w:rPr>
          <w:lang w:val="es-PE"/>
        </w:rPr>
        <w:t>..............</w:t>
      </w:r>
      <w:r w:rsidRPr="354ADB8C" w:rsidR="00680B20">
        <w:rPr>
          <w:lang w:val="es-PE"/>
        </w:rPr>
        <w:t xml:space="preserve"> </w:t>
      </w:r>
      <w:r w:rsidRPr="354ADB8C" w:rsidR="00680B20">
        <w:rPr>
          <w:lang w:val="es-PE"/>
        </w:rPr>
        <w:t>brinde cobertura si de los propios hechos descritos y medios probatorios, se desprende que no se cumple con la condición establecida en el contrato de seguro para cubrir este tipo de siniestro.</w:t>
      </w:r>
      <w:r w:rsidRPr="354ADB8C" w:rsidR="00680B20">
        <w:rPr>
          <w:lang w:val="es-PE"/>
        </w:rPr>
        <w:t xml:space="preserve"> </w:t>
      </w:r>
    </w:p>
    <w:p w:rsidRPr="00680B20" w:rsidR="00865FCB" w:rsidP="00680B20" w:rsidRDefault="00865FCB" w14:paraId="0BE0367D" w14:textId="77777777">
      <w:pPr>
        <w:jc w:val="both"/>
        <w:outlineLvl w:val="0"/>
        <w:rPr>
          <w:lang w:val="es-PE"/>
        </w:rPr>
      </w:pPr>
    </w:p>
    <w:p w:rsidR="00680B20" w:rsidP="00680B20" w:rsidRDefault="00680B20" w14:paraId="5A7D3ECD" w14:textId="68237FC9">
      <w:pPr>
        <w:jc w:val="both"/>
        <w:outlineLvl w:val="0"/>
        <w:rPr>
          <w:lang w:val="es-PE"/>
        </w:rPr>
      </w:pPr>
      <w:r w:rsidRPr="354ADB8C" w:rsidR="00680B20">
        <w:rPr>
          <w:lang w:val="es-PE"/>
        </w:rPr>
        <w:t xml:space="preserve">Que, con la absolución del reclamo, </w:t>
      </w:r>
      <w:r w:rsidRPr="354ADB8C" w:rsidR="42FF3A33">
        <w:rPr>
          <w:lang w:val="es-PE"/>
        </w:rPr>
        <w:t>..............</w:t>
      </w:r>
      <w:r w:rsidRPr="354ADB8C" w:rsidR="00680B20">
        <w:rPr>
          <w:lang w:val="es-PE"/>
        </w:rPr>
        <w:t xml:space="preserve"> presentó copia del certificado electrónico </w:t>
      </w:r>
      <w:r w:rsidRPr="354ADB8C" w:rsidR="00680B20">
        <w:rPr>
          <w:lang w:val="es-PE"/>
        </w:rPr>
        <w:t>n.°</w:t>
      </w:r>
      <w:r w:rsidRPr="354ADB8C" w:rsidR="00680B20">
        <w:rPr>
          <w:lang w:val="es-PE"/>
        </w:rPr>
        <w:t xml:space="preserve"> </w:t>
      </w:r>
      <w:r w:rsidRPr="354ADB8C" w:rsidR="3A1E4C8A">
        <w:rPr>
          <w:lang w:val="es-PE"/>
        </w:rPr>
        <w:t>........................................................</w:t>
      </w:r>
      <w:r w:rsidRPr="354ADB8C" w:rsidR="00680B20">
        <w:rPr>
          <w:lang w:val="es-PE"/>
        </w:rPr>
        <w:t>.</w:t>
      </w:r>
    </w:p>
    <w:p w:rsidRPr="00680B20" w:rsidR="00865FCB" w:rsidP="00680B20" w:rsidRDefault="00865FCB" w14:paraId="789B7513" w14:textId="77777777">
      <w:pPr>
        <w:jc w:val="both"/>
        <w:outlineLvl w:val="0"/>
        <w:rPr>
          <w:lang w:val="es-PE"/>
        </w:rPr>
      </w:pPr>
    </w:p>
    <w:p w:rsidR="00680B20" w:rsidP="00680B20" w:rsidRDefault="00680B20" w14:paraId="11DF18B1" w14:textId="587B627D">
      <w:pPr>
        <w:jc w:val="both"/>
        <w:outlineLvl w:val="0"/>
        <w:rPr>
          <w:lang w:val="es-PE"/>
        </w:rPr>
      </w:pPr>
      <w:r w:rsidRPr="354ADB8C" w:rsidR="00680B20">
        <w:rPr>
          <w:lang w:val="es-PE"/>
        </w:rPr>
        <w:t xml:space="preserve">Que, el 5 de mayo de 2025 se realizó a través de </w:t>
      </w:r>
      <w:bookmarkStart w:name="_Hlk199292738" w:id="1"/>
      <w:r w:rsidRPr="354ADB8C" w:rsidR="00680B20">
        <w:rPr>
          <w:lang w:val="es-PE"/>
        </w:rPr>
        <w:t>videoconferencia</w:t>
      </w:r>
      <w:bookmarkEnd w:id="1"/>
      <w:r w:rsidRPr="354ADB8C" w:rsidR="00680B20">
        <w:rPr>
          <w:lang w:val="es-PE"/>
        </w:rPr>
        <w:t xml:space="preserve"> la audiencia de informe oral con la participación de la señora </w:t>
      </w:r>
      <w:r w:rsidRPr="354ADB8C" w:rsidR="2CBB7025">
        <w:rPr>
          <w:lang w:val="es-PE"/>
        </w:rPr>
        <w:t>..................................</w:t>
      </w:r>
      <w:r w:rsidRPr="354ADB8C" w:rsidR="00680B20">
        <w:rPr>
          <w:lang w:val="es-PE"/>
        </w:rPr>
        <w:t xml:space="preserve"> y del representante de </w:t>
      </w:r>
      <w:r w:rsidRPr="354ADB8C" w:rsidR="42FF3A33">
        <w:rPr>
          <w:lang w:val="es-PE"/>
        </w:rPr>
        <w:t>..............</w:t>
      </w:r>
      <w:r w:rsidRPr="354ADB8C" w:rsidR="00680B20">
        <w:rPr>
          <w:lang w:val="es-PE"/>
        </w:rPr>
        <w:t xml:space="preserve"> los cuales tuvieron la oportunidad de exponer sus argumentos; asimismo, las partes absolvieron las preguntas formuladas por los miembros de la Defensoría. En la Audiencia, el Colegiado otorgó un plazo de tres (3) días hábiles para que </w:t>
      </w:r>
      <w:r w:rsidRPr="354ADB8C" w:rsidR="42FF3A33">
        <w:rPr>
          <w:lang w:val="es-PE"/>
        </w:rPr>
        <w:t>..............</w:t>
      </w:r>
      <w:r w:rsidRPr="354ADB8C" w:rsidR="00680B20">
        <w:rPr>
          <w:lang w:val="es-PE"/>
        </w:rPr>
        <w:t xml:space="preserve">   informe a esta Defensoría respecto de la aplicación al presente caso de la Ley </w:t>
      </w:r>
      <w:r w:rsidRPr="354ADB8C" w:rsidR="00680B20">
        <w:rPr>
          <w:lang w:val="es-PE"/>
        </w:rPr>
        <w:t>n.°</w:t>
      </w:r>
      <w:r w:rsidRPr="354ADB8C" w:rsidR="00680B20">
        <w:rPr>
          <w:lang w:val="es-PE"/>
        </w:rPr>
        <w:t xml:space="preserve"> 27181 (Ley General de Transporte y Tránsito Terrestre) y del Decreto Supremo </w:t>
      </w:r>
      <w:r w:rsidRPr="354ADB8C" w:rsidR="00680B20">
        <w:rPr>
          <w:lang w:val="es-PE"/>
        </w:rPr>
        <w:t>n.°</w:t>
      </w:r>
      <w:r w:rsidRPr="354ADB8C" w:rsidR="00680B20">
        <w:rPr>
          <w:lang w:val="es-PE"/>
        </w:rPr>
        <w:t xml:space="preserve"> 25-2021-MTC (Reglamento del Sistema de Control de Licencias de Conducir por Puntos y establece otras disposiciones).</w:t>
      </w:r>
    </w:p>
    <w:p w:rsidRPr="00680B20" w:rsidR="00865FCB" w:rsidP="00680B20" w:rsidRDefault="00865FCB" w14:paraId="2F28E480" w14:textId="77777777">
      <w:pPr>
        <w:jc w:val="both"/>
        <w:outlineLvl w:val="0"/>
        <w:rPr>
          <w:lang w:val="es-PE"/>
        </w:rPr>
      </w:pPr>
    </w:p>
    <w:p w:rsidR="00680B20" w:rsidP="00680B20" w:rsidRDefault="00680B20" w14:paraId="36C2E617" w14:textId="4115D033">
      <w:pPr>
        <w:jc w:val="both"/>
        <w:outlineLvl w:val="0"/>
        <w:rPr>
          <w:lang w:val="es-PE"/>
        </w:rPr>
      </w:pPr>
      <w:r w:rsidRPr="6C9F82C9" w:rsidR="00680B20">
        <w:rPr>
          <w:lang w:val="es-PE"/>
        </w:rPr>
        <w:t xml:space="preserve">Que, </w:t>
      </w:r>
      <w:r w:rsidRPr="6C9F82C9" w:rsidR="3FDFBAFD">
        <w:rPr>
          <w:lang w:val="es-PE"/>
        </w:rPr>
        <w:t>.............</w:t>
      </w:r>
      <w:r w:rsidRPr="6C9F82C9" w:rsidR="00680B20">
        <w:rPr>
          <w:lang w:val="es-PE"/>
        </w:rPr>
        <w:t xml:space="preserve"> no cumplió con absolver el requerimiento de información realizado por esta Defensoría en la audiencia de informe oral del 5 de mayo de 2025.  </w:t>
      </w:r>
    </w:p>
    <w:p w:rsidRPr="00680B20" w:rsidR="00865FCB" w:rsidP="00680B20" w:rsidRDefault="00865FCB" w14:paraId="07060DB1" w14:textId="77777777">
      <w:pPr>
        <w:jc w:val="both"/>
        <w:outlineLvl w:val="0"/>
        <w:rPr>
          <w:lang w:val="es-PE"/>
        </w:rPr>
      </w:pPr>
    </w:p>
    <w:p w:rsidR="00680B20" w:rsidP="00680B20" w:rsidRDefault="00680B20" w14:paraId="6E01C523" w14:textId="77777777">
      <w:pPr>
        <w:jc w:val="both"/>
        <w:outlineLvl w:val="0"/>
        <w:rPr>
          <w:lang w:val="es-PE"/>
        </w:rPr>
      </w:pPr>
      <w:r w:rsidRPr="00680B20">
        <w:rPr>
          <w:lang w:val="es-PE"/>
        </w:rPr>
        <w:t>Al resolver, este Colegiado toma en cuenta las argumentaciones de las partes expresadas a lo largo del procedimiento.</w:t>
      </w:r>
    </w:p>
    <w:p w:rsidRPr="00680B20" w:rsidR="00865FCB" w:rsidP="00680B20" w:rsidRDefault="00865FCB" w14:paraId="7258912C" w14:textId="77777777">
      <w:pPr>
        <w:jc w:val="both"/>
        <w:outlineLvl w:val="0"/>
        <w:rPr>
          <w:lang w:val="es-PE"/>
        </w:rPr>
      </w:pPr>
    </w:p>
    <w:p w:rsidR="00680B20" w:rsidP="00680B20" w:rsidRDefault="00680B20" w14:paraId="54F4C62D" w14:textId="77777777">
      <w:pPr>
        <w:jc w:val="both"/>
        <w:outlineLvl w:val="0"/>
        <w:rPr>
          <w:b/>
          <w:bCs/>
          <w:lang w:val="es-MX"/>
        </w:rPr>
      </w:pPr>
      <w:r w:rsidRPr="00680B20">
        <w:rPr>
          <w:b/>
          <w:bCs/>
          <w:lang w:val="es-MX"/>
        </w:rPr>
        <w:t>CONSIDERANDO:</w:t>
      </w:r>
    </w:p>
    <w:p w:rsidRPr="00680B20" w:rsidR="00865FCB" w:rsidP="00680B20" w:rsidRDefault="00865FCB" w14:paraId="6E14ABD7" w14:textId="77777777">
      <w:pPr>
        <w:jc w:val="both"/>
        <w:outlineLvl w:val="0"/>
        <w:rPr>
          <w:b/>
          <w:bCs/>
          <w:lang w:val="es-MX"/>
        </w:rPr>
      </w:pPr>
    </w:p>
    <w:p w:rsidR="00680B20" w:rsidP="00680B20" w:rsidRDefault="00680B20" w14:paraId="4D638CEE" w14:textId="77777777">
      <w:pPr>
        <w:jc w:val="both"/>
        <w:outlineLvl w:val="0"/>
        <w:rPr>
          <w:lang w:val="es-PE"/>
        </w:rPr>
      </w:pPr>
      <w:r w:rsidRPr="00680B20">
        <w:rPr>
          <w:b/>
          <w:bCs/>
          <w:u w:val="single"/>
          <w:lang w:val="es-PE"/>
        </w:rPr>
        <w:t>PRIMERO</w:t>
      </w:r>
      <w:r w:rsidRPr="00680B20">
        <w:rPr>
          <w:lang w:val="es-PE"/>
        </w:rPr>
        <w:t>: Conforme al Reglamento de la DEFASEG (el “Reglamento”)</w:t>
      </w:r>
      <w:r w:rsidRPr="00680B20">
        <w:rPr>
          <w:vertAlign w:val="superscript"/>
          <w:lang w:val="en-US"/>
        </w:rPr>
        <w:footnoteReference w:id="1"/>
      </w:r>
      <w:r w:rsidRPr="00680B20">
        <w:rPr>
          <w:lang w:val="es-PE"/>
        </w:rPr>
        <w:t>, esta Defensoría sólo es competente para resolver aquellos reclamos indemnizatorios de los asegurados, que 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680B20" w:rsidR="00865FCB" w:rsidP="00680B20" w:rsidRDefault="00865FCB" w14:paraId="7FE1E8D5" w14:textId="77777777">
      <w:pPr>
        <w:jc w:val="both"/>
        <w:outlineLvl w:val="0"/>
        <w:rPr>
          <w:lang w:val="es-PE"/>
        </w:rPr>
      </w:pPr>
    </w:p>
    <w:p w:rsidR="00680B20" w:rsidP="00680B20" w:rsidRDefault="00680B20" w14:paraId="7F226577" w14:textId="77777777">
      <w:pPr>
        <w:jc w:val="both"/>
        <w:outlineLvl w:val="0"/>
        <w:rPr>
          <w:lang w:val="es-PE"/>
        </w:rPr>
      </w:pPr>
      <w:r w:rsidRPr="00680B20">
        <w:rPr>
          <w:b/>
          <w:bCs/>
          <w:u w:val="single"/>
          <w:lang w:val="es-PE"/>
        </w:rPr>
        <w:t>SEGUNDO</w:t>
      </w:r>
      <w:r w:rsidRPr="00680B20">
        <w:rPr>
          <w:lang w:val="es-PE"/>
        </w:rPr>
        <w:t xml:space="preserve">: De acuerdo con el Reglamento, las resoluciones emitidas por la sala colegiada de la DEFASEG que queden </w:t>
      </w:r>
      <w:proofErr w:type="gramStart"/>
      <w:r w:rsidRPr="00680B20">
        <w:rPr>
          <w:lang w:val="es-PE"/>
        </w:rPr>
        <w:t>firmes,</w:t>
      </w:r>
      <w:proofErr w:type="gramEnd"/>
      <w:r w:rsidRPr="00680B20">
        <w:rPr>
          <w:lang w:val="es-PE"/>
        </w:rPr>
        <w:t xml:space="preserve"> son vinculantes para las empresas </w:t>
      </w:r>
      <w:r w:rsidRPr="00680B20">
        <w:rPr>
          <w:lang w:val="es-PE"/>
        </w:rPr>
        <w:t xml:space="preserve">aseguradoras, cuando son favorables para los asegurados, las cuales deberán proceder conforme a lo ordenado en ellas en un plazo máximo de quince días hábiles de notificada la resolución. </w:t>
      </w:r>
    </w:p>
    <w:p w:rsidRPr="00680B20" w:rsidR="00865FCB" w:rsidP="00680B20" w:rsidRDefault="00865FCB" w14:paraId="4976518E" w14:textId="77777777">
      <w:pPr>
        <w:jc w:val="both"/>
        <w:outlineLvl w:val="0"/>
        <w:rPr>
          <w:lang w:val="es-PE"/>
        </w:rPr>
      </w:pPr>
    </w:p>
    <w:p w:rsidR="00680B20" w:rsidP="00680B20" w:rsidRDefault="00680B20" w14:paraId="659B92B8" w14:textId="77777777">
      <w:pPr>
        <w:jc w:val="both"/>
        <w:outlineLvl w:val="0"/>
        <w:rPr>
          <w:lang w:val="es-PE"/>
        </w:rPr>
      </w:pPr>
      <w:r w:rsidRPr="00680B20">
        <w:rPr>
          <w:b/>
          <w:bCs/>
          <w:u w:val="single"/>
          <w:lang w:val="es-PE"/>
        </w:rPr>
        <w:t>TERCERO</w:t>
      </w:r>
      <w:r w:rsidRPr="00680B20">
        <w:rPr>
          <w:lang w:val="es-PE"/>
        </w:rPr>
        <w:t>: El artículo 1 de la Ley del Contrato de Seguro</w:t>
      </w:r>
      <w:r w:rsidRPr="00680B20">
        <w:rPr>
          <w:vertAlign w:val="superscript"/>
          <w:lang w:val="es-PE"/>
        </w:rPr>
        <w:footnoteReference w:id="2"/>
      </w:r>
      <w:r w:rsidRPr="00680B20">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de una póliza que la empresa aseguradora deberá entregar al asegurado al momento de la contratación y cuyos requisitos están previstos en el artículo 26 de la Ley señalada.</w:t>
      </w:r>
    </w:p>
    <w:p w:rsidRPr="00680B20" w:rsidR="00865FCB" w:rsidP="00680B20" w:rsidRDefault="00865FCB" w14:paraId="562A53CD" w14:textId="77777777">
      <w:pPr>
        <w:jc w:val="both"/>
        <w:outlineLvl w:val="0"/>
        <w:rPr>
          <w:lang w:val="es-PE"/>
        </w:rPr>
      </w:pPr>
    </w:p>
    <w:p w:rsidR="00680B20" w:rsidP="00680B20" w:rsidRDefault="00680B20" w14:paraId="1C588CDD" w14:textId="77777777">
      <w:pPr>
        <w:jc w:val="both"/>
        <w:outlineLvl w:val="0"/>
        <w:rPr>
          <w:lang w:val="es-PE"/>
        </w:rPr>
      </w:pPr>
      <w:r w:rsidRPr="00680B20">
        <w:rPr>
          <w:b/>
          <w:bCs/>
          <w:u w:val="single"/>
          <w:lang w:val="es-PE"/>
        </w:rPr>
        <w:t>CUARTO</w:t>
      </w:r>
      <w:r w:rsidRPr="00680B20">
        <w:rPr>
          <w:lang w:val="es-PE"/>
        </w:rPr>
        <w:t>: Que, el artículo 1361 del Código Civil</w:t>
      </w:r>
      <w:r w:rsidRPr="00680B20">
        <w:rPr>
          <w:vertAlign w:val="superscript"/>
          <w:lang w:val="es-PE"/>
        </w:rPr>
        <w:footnoteReference w:id="3"/>
      </w:r>
      <w:r w:rsidRPr="00680B20">
        <w:rPr>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680B20" w:rsidR="00865FCB" w:rsidP="00680B20" w:rsidRDefault="00865FCB" w14:paraId="356174E3" w14:textId="77777777">
      <w:pPr>
        <w:jc w:val="both"/>
        <w:outlineLvl w:val="0"/>
        <w:rPr>
          <w:lang w:val="es-PE"/>
        </w:rPr>
      </w:pPr>
    </w:p>
    <w:p w:rsidR="00680B20" w:rsidP="00680B20" w:rsidRDefault="00680B20" w14:paraId="0C20C2F8" w14:textId="77777777">
      <w:pPr>
        <w:jc w:val="both"/>
        <w:outlineLvl w:val="0"/>
        <w:rPr>
          <w:lang w:val="es-PE"/>
        </w:rPr>
      </w:pPr>
      <w:r w:rsidRPr="00680B20">
        <w:rPr>
          <w:b/>
          <w:bCs/>
          <w:u w:val="single"/>
          <w:lang w:val="es-PE"/>
        </w:rPr>
        <w:t>QUINTO</w:t>
      </w:r>
      <w:r w:rsidRPr="00680B20">
        <w:rPr>
          <w:lang w:val="es-PE"/>
        </w:rPr>
        <w:t>: Que, en materia procesal, corresponde a quien invoque los hechos probar su existencia; carga a la que se refiere el artículo 196 del Código Procesal Civil</w:t>
      </w:r>
      <w:r w:rsidRPr="00680B20">
        <w:rPr>
          <w:vertAlign w:val="superscript"/>
          <w:lang w:val="es-PE"/>
        </w:rPr>
        <w:footnoteReference w:id="4"/>
      </w:r>
      <w:r w:rsidRPr="00680B20">
        <w:rPr>
          <w:lang w:val="es-PE"/>
        </w:rPr>
        <w:t>, salvo que se acoja a alguna presunción legal de carácter relativa o absoluta contemplada expresamente en la legislación pertinente.</w:t>
      </w:r>
    </w:p>
    <w:p w:rsidRPr="00680B20" w:rsidR="00865FCB" w:rsidP="00680B20" w:rsidRDefault="00865FCB" w14:paraId="5939B1B6" w14:textId="77777777">
      <w:pPr>
        <w:jc w:val="both"/>
        <w:outlineLvl w:val="0"/>
        <w:rPr>
          <w:lang w:val="es-PE"/>
        </w:rPr>
      </w:pPr>
    </w:p>
    <w:p w:rsidR="00680B20" w:rsidP="00680B20" w:rsidRDefault="00680B20" w14:paraId="5FE45EE9" w14:textId="77777777">
      <w:pPr>
        <w:jc w:val="both"/>
        <w:outlineLvl w:val="0"/>
        <w:rPr>
          <w:lang w:val="es-PE"/>
        </w:rPr>
      </w:pPr>
      <w:r w:rsidRPr="00680B20">
        <w:rPr>
          <w:b/>
          <w:bCs/>
          <w:u w:val="single"/>
          <w:lang w:val="es-PE"/>
        </w:rPr>
        <w:t>SEXTO</w:t>
      </w:r>
      <w:r w:rsidRPr="00680B20">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680B20" w:rsidR="00865FCB" w:rsidP="00680B20" w:rsidRDefault="00865FCB" w14:paraId="591BC3E1" w14:textId="77777777">
      <w:pPr>
        <w:jc w:val="both"/>
        <w:outlineLvl w:val="0"/>
        <w:rPr>
          <w:lang w:val="es-PE"/>
        </w:rPr>
      </w:pPr>
    </w:p>
    <w:p w:rsidRPr="00680B20" w:rsidR="00680B20" w:rsidP="00680B20" w:rsidRDefault="00680B20" w14:paraId="571A0109" w14:textId="77777777">
      <w:pPr>
        <w:jc w:val="both"/>
        <w:outlineLvl w:val="0"/>
        <w:rPr>
          <w:lang w:val="es-PE"/>
        </w:rPr>
      </w:pPr>
      <w:bookmarkStart w:name="_Hlk200061658" w:id="2"/>
      <w:r w:rsidRPr="00680B20">
        <w:rPr>
          <w:b/>
          <w:bCs/>
          <w:u w:val="single"/>
          <w:lang w:val="es-PE"/>
        </w:rPr>
        <w:t>SÉPTIMO</w:t>
      </w:r>
      <w:r w:rsidRPr="00680B20">
        <w:rPr>
          <w:lang w:val="es-PE"/>
        </w:rPr>
        <w:t xml:space="preserve">: El Reglamento de la DEFASEG dispone en su artículo 4 que, la Defensoría es competente para resolver aquellas controversias suscitadas entre asegurados y empresas de seguros, siempre que se cumplan con los siguientes requisitos de materia, plazo y cuantía de manera concurrente: </w:t>
      </w:r>
      <w:r w:rsidRPr="00680B20">
        <w:rPr>
          <w:b/>
          <w:bCs/>
          <w:i/>
          <w:iCs/>
          <w:lang w:val="es-PE"/>
        </w:rPr>
        <w:t>(i)</w:t>
      </w:r>
      <w:r w:rsidRPr="00680B20">
        <w:rPr>
          <w:lang w:val="es-PE"/>
        </w:rPr>
        <w:t xml:space="preserve"> por un rechazo o liquidación de un siniestro por parte de una empresa de seguros; </w:t>
      </w:r>
      <w:r w:rsidRPr="00680B20">
        <w:rPr>
          <w:b/>
          <w:bCs/>
          <w:i/>
          <w:iCs/>
          <w:lang w:val="es-PE"/>
        </w:rPr>
        <w:t>(</w:t>
      </w:r>
      <w:proofErr w:type="spellStart"/>
      <w:r w:rsidRPr="00680B20">
        <w:rPr>
          <w:b/>
          <w:bCs/>
          <w:i/>
          <w:iCs/>
          <w:lang w:val="es-PE"/>
        </w:rPr>
        <w:t>ii</w:t>
      </w:r>
      <w:proofErr w:type="spellEnd"/>
      <w:r w:rsidRPr="00680B20">
        <w:rPr>
          <w:b/>
          <w:bCs/>
          <w:i/>
          <w:iCs/>
          <w:lang w:val="es-PE"/>
        </w:rPr>
        <w:t>)</w:t>
      </w:r>
      <w:r w:rsidRPr="00680B20">
        <w:rPr>
          <w:lang w:val="es-PE"/>
        </w:rPr>
        <w:t xml:space="preserve"> el reclamo debe presentarse dentro del plazo de dos años desde el día siguiente de recibida la primera notificación en que es rechazada la pretensión de cobertura por parte de la empresa de seguros; y, </w:t>
      </w:r>
      <w:r w:rsidRPr="00680B20">
        <w:rPr>
          <w:b/>
          <w:bCs/>
          <w:i/>
          <w:iCs/>
          <w:lang w:val="es-PE"/>
        </w:rPr>
        <w:t>(</w:t>
      </w:r>
      <w:proofErr w:type="spellStart"/>
      <w:r w:rsidRPr="00680B20">
        <w:rPr>
          <w:b/>
          <w:bCs/>
          <w:i/>
          <w:iCs/>
          <w:lang w:val="es-PE"/>
        </w:rPr>
        <w:t>iii</w:t>
      </w:r>
      <w:proofErr w:type="spellEnd"/>
      <w:r w:rsidRPr="00680B20">
        <w:rPr>
          <w:b/>
          <w:bCs/>
          <w:i/>
          <w:iCs/>
          <w:lang w:val="es-PE"/>
        </w:rPr>
        <w:t>)</w:t>
      </w:r>
      <w:r w:rsidRPr="00680B20">
        <w:rPr>
          <w:lang w:val="es-PE"/>
        </w:rPr>
        <w:t xml:space="preserve"> el total de la indemnización exigida </w:t>
      </w:r>
      <w:r w:rsidRPr="00680B20">
        <w:rPr>
          <w:lang w:val="es-PE"/>
        </w:rPr>
        <w:t>por el asegurado a la empresa de seguros no debe exceder los USD 50 000 (cincuenta mil dólares americanos y 00/100)</w:t>
      </w:r>
      <w:r w:rsidRPr="00680B20">
        <w:rPr>
          <w:vertAlign w:val="superscript"/>
          <w:lang w:val="es-PE"/>
        </w:rPr>
        <w:footnoteReference w:id="5"/>
      </w:r>
      <w:r w:rsidRPr="00680B20">
        <w:rPr>
          <w:lang w:val="es-PE"/>
        </w:rPr>
        <w:t xml:space="preserve">.  </w:t>
      </w:r>
    </w:p>
    <w:p w:rsidR="00680B20" w:rsidP="00680B20" w:rsidRDefault="00680B20" w14:paraId="1BA6A1CB" w14:textId="6FE6FD9B">
      <w:pPr>
        <w:jc w:val="both"/>
        <w:outlineLvl w:val="0"/>
        <w:rPr>
          <w:lang w:val="es-PE"/>
        </w:rPr>
      </w:pPr>
      <w:r w:rsidRPr="354ADB8C" w:rsidR="00680B20">
        <w:rPr>
          <w:b w:val="1"/>
          <w:bCs w:val="1"/>
          <w:u w:val="single"/>
          <w:lang w:val="es-PE"/>
        </w:rPr>
        <w:t>OCTAVO:</w:t>
      </w:r>
      <w:r w:rsidRPr="354ADB8C" w:rsidR="00680B20">
        <w:rPr>
          <w:lang w:val="es-PE"/>
        </w:rPr>
        <w:t xml:space="preserve"> De los actuados concluimos que no está en discusión que la señora </w:t>
      </w:r>
      <w:r w:rsidRPr="354ADB8C" w:rsidR="2CBB7025">
        <w:rPr>
          <w:lang w:val="es-PE"/>
        </w:rPr>
        <w:t>..................................</w:t>
      </w:r>
      <w:r w:rsidRPr="354ADB8C" w:rsidR="00680B20">
        <w:rPr>
          <w:lang w:val="es-PE"/>
        </w:rPr>
        <w:t xml:space="preserve"> sufrió un accidente de tránsito en el que participaron por un lado el vehículo de marca Toyota, con placa de rodaje </w:t>
      </w:r>
      <w:r w:rsidRPr="354ADB8C" w:rsidR="00680B20">
        <w:rPr>
          <w:lang w:val="es-PE"/>
        </w:rPr>
        <w:t>n.°</w:t>
      </w:r>
      <w:r w:rsidRPr="354ADB8C" w:rsidR="00680B20">
        <w:rPr>
          <w:lang w:val="es-PE"/>
        </w:rPr>
        <w:t xml:space="preserve"> </w:t>
      </w:r>
      <w:r w:rsidRPr="354ADB8C" w:rsidR="53C95FF1">
        <w:rPr>
          <w:lang w:val="es-PE"/>
        </w:rPr>
        <w:t>...................</w:t>
      </w:r>
      <w:r w:rsidRPr="354ADB8C" w:rsidR="00680B20">
        <w:rPr>
          <w:lang w:val="es-PE"/>
        </w:rPr>
        <w:t xml:space="preserve">, y la bicimoto conducida por la reclamante, mientras circulaba por la ciclovía de la avenida Faustino Sánchez Carrión crucero con el jirón Caracas en el distrito de Magdalena del Mar en la Provincia de Lima. De los actuados se desprende que es un hecho cierto y no controvertido que el vehículo con placa de rodaje </w:t>
      </w:r>
      <w:r w:rsidRPr="354ADB8C" w:rsidR="00680B20">
        <w:rPr>
          <w:lang w:val="es-PE"/>
        </w:rPr>
        <w:t>n.°</w:t>
      </w:r>
      <w:r w:rsidRPr="354ADB8C" w:rsidR="00680B20">
        <w:rPr>
          <w:lang w:val="es-PE"/>
        </w:rPr>
        <w:t xml:space="preserve"> </w:t>
      </w:r>
      <w:r w:rsidRPr="354ADB8C" w:rsidR="4332F062">
        <w:rPr>
          <w:lang w:val="es-PE"/>
        </w:rPr>
        <w:t>................</w:t>
      </w:r>
      <w:r w:rsidRPr="354ADB8C" w:rsidR="00680B20">
        <w:rPr>
          <w:lang w:val="es-PE"/>
        </w:rPr>
        <w:t xml:space="preserve"> contaba con póliza de SOAT contratado con </w:t>
      </w:r>
      <w:r w:rsidRPr="354ADB8C" w:rsidR="42FF3A33">
        <w:rPr>
          <w:lang w:val="es-PE"/>
        </w:rPr>
        <w:t>..............</w:t>
      </w:r>
      <w:r w:rsidRPr="354ADB8C" w:rsidR="00680B20">
        <w:rPr>
          <w:lang w:val="es-PE"/>
        </w:rPr>
        <w:t xml:space="preserve">, mientras que la bicimoto conducida por la reclamante no contaba con póliza de SOAT. </w:t>
      </w:r>
    </w:p>
    <w:p w:rsidRPr="00680B20" w:rsidR="00865FCB" w:rsidP="00680B20" w:rsidRDefault="00865FCB" w14:paraId="254C4CBB" w14:textId="77777777">
      <w:pPr>
        <w:jc w:val="both"/>
        <w:outlineLvl w:val="0"/>
        <w:rPr>
          <w:lang w:val="es-PE"/>
        </w:rPr>
      </w:pPr>
    </w:p>
    <w:p w:rsidR="00680B20" w:rsidP="00680B20" w:rsidRDefault="00680B20" w14:paraId="6299B552" w14:textId="157398E0">
      <w:pPr>
        <w:jc w:val="both"/>
        <w:outlineLvl w:val="0"/>
        <w:rPr>
          <w:lang w:val="es-PE"/>
        </w:rPr>
      </w:pPr>
      <w:r w:rsidRPr="354ADB8C" w:rsidR="00680B20">
        <w:rPr>
          <w:lang w:val="es-PE"/>
        </w:rPr>
        <w:t xml:space="preserve">Que, </w:t>
      </w:r>
      <w:r w:rsidRPr="354ADB8C" w:rsidR="00680B20">
        <w:rPr>
          <w:lang w:val="es-PE"/>
        </w:rPr>
        <w:t>de acuerdo a</w:t>
      </w:r>
      <w:r w:rsidRPr="354ADB8C" w:rsidR="00680B20">
        <w:rPr>
          <w:lang w:val="es-PE"/>
        </w:rPr>
        <w:t xml:space="preserve"> lo expuesto por la señora </w:t>
      </w:r>
      <w:r w:rsidRPr="354ADB8C" w:rsidR="2CBB7025">
        <w:rPr>
          <w:lang w:val="es-PE"/>
        </w:rPr>
        <w:t>..................................</w:t>
      </w:r>
      <w:r w:rsidRPr="354ADB8C" w:rsidR="00680B20">
        <w:rPr>
          <w:lang w:val="es-PE"/>
        </w:rPr>
        <w:t xml:space="preserve"> en su reclamación, corresponde en este caso determinar el grado de responsabilidad de </w:t>
      </w:r>
      <w:r w:rsidRPr="354ADB8C" w:rsidR="42FF3A33">
        <w:rPr>
          <w:lang w:val="es-PE"/>
        </w:rPr>
        <w:t>..............</w:t>
      </w:r>
      <w:r w:rsidRPr="354ADB8C" w:rsidR="00680B20">
        <w:rPr>
          <w:lang w:val="es-PE"/>
        </w:rPr>
        <w:t xml:space="preserve"> respecto del accidente de tránsito detallado en el párrafo precedente; y, en dicha medida, si el rechazo de </w:t>
      </w:r>
      <w:r w:rsidRPr="354ADB8C" w:rsidR="3FDFBAFD">
        <w:rPr>
          <w:lang w:val="es-PE"/>
        </w:rPr>
        <w:t>.............</w:t>
      </w:r>
      <w:r w:rsidRPr="354ADB8C" w:rsidR="00680B20">
        <w:rPr>
          <w:lang w:val="es-PE"/>
        </w:rPr>
        <w:t xml:space="preserve"> a brindar cobertura a la señora </w:t>
      </w:r>
      <w:r w:rsidRPr="354ADB8C" w:rsidR="2CBB7025">
        <w:rPr>
          <w:lang w:val="es-PE"/>
        </w:rPr>
        <w:t>..................................</w:t>
      </w:r>
      <w:r w:rsidRPr="354ADB8C" w:rsidR="00680B20">
        <w:rPr>
          <w:lang w:val="es-PE"/>
        </w:rPr>
        <w:t xml:space="preserve"> se encuentra arreglado a derecho.  </w:t>
      </w:r>
    </w:p>
    <w:p w:rsidRPr="00680B20" w:rsidR="00865FCB" w:rsidP="00680B20" w:rsidRDefault="00865FCB" w14:paraId="1B35A70B" w14:textId="77777777">
      <w:pPr>
        <w:jc w:val="both"/>
        <w:outlineLvl w:val="0"/>
        <w:rPr>
          <w:lang w:val="es-PE"/>
        </w:rPr>
      </w:pPr>
    </w:p>
    <w:p w:rsidR="00680B20" w:rsidP="00680B20" w:rsidRDefault="00680B20" w14:paraId="3DCDFD0E" w14:textId="15A764ED">
      <w:pPr>
        <w:jc w:val="both"/>
        <w:outlineLvl w:val="0"/>
        <w:rPr>
          <w:lang w:val="es-PE"/>
        </w:rPr>
      </w:pPr>
      <w:r w:rsidRPr="6C9F82C9" w:rsidR="00680B20">
        <w:rPr>
          <w:b w:val="1"/>
          <w:bCs w:val="1"/>
          <w:u w:val="single"/>
          <w:lang w:val="es-PE"/>
        </w:rPr>
        <w:t>NOVENO</w:t>
      </w:r>
      <w:r w:rsidRPr="6C9F82C9" w:rsidR="00680B20">
        <w:rPr>
          <w:lang w:val="es-PE"/>
        </w:rPr>
        <w:t xml:space="preserve">: Que, en la medida que el reclamo presentado por la señora </w:t>
      </w:r>
      <w:r w:rsidRPr="6C9F82C9" w:rsidR="2CBB7025">
        <w:rPr>
          <w:lang w:val="es-PE"/>
        </w:rPr>
        <w:t>..................................</w:t>
      </w:r>
      <w:r w:rsidRPr="6C9F82C9" w:rsidR="00680B20">
        <w:rPr>
          <w:lang w:val="es-PE"/>
        </w:rPr>
        <w:t xml:space="preserve"> consiste en cuestionar el rechazo a brindar cobertura por parte de </w:t>
      </w:r>
      <w:r w:rsidRPr="6C9F82C9" w:rsidR="3FDFBAFD">
        <w:rPr>
          <w:lang w:val="es-PE"/>
        </w:rPr>
        <w:t>.............</w:t>
      </w:r>
      <w:r w:rsidRPr="6C9F82C9" w:rsidR="00680B20">
        <w:rPr>
          <w:lang w:val="es-PE"/>
        </w:rPr>
        <w:t xml:space="preserve"> respecto del siniestro ocurrido el 13 de enero de 2025 nos encontramos dentro de los supuestos de competencia por materia establecido en el numeral 1 del artículo 4 del Reglamento.  </w:t>
      </w:r>
    </w:p>
    <w:p w:rsidRPr="00680B20" w:rsidR="00865FCB" w:rsidP="00680B20" w:rsidRDefault="00865FCB" w14:paraId="3271AC82" w14:textId="77777777">
      <w:pPr>
        <w:jc w:val="both"/>
        <w:outlineLvl w:val="0"/>
        <w:rPr>
          <w:lang w:val="es-PE"/>
        </w:rPr>
      </w:pPr>
    </w:p>
    <w:p w:rsidR="00680B20" w:rsidP="00680B20" w:rsidRDefault="00680B20" w14:paraId="2271DC01" w14:textId="3E5BE062">
      <w:pPr>
        <w:jc w:val="both"/>
        <w:outlineLvl w:val="0"/>
        <w:rPr>
          <w:lang w:val="es-PE"/>
        </w:rPr>
      </w:pPr>
      <w:r w:rsidRPr="6C9F82C9" w:rsidR="00680B20">
        <w:rPr>
          <w:b w:val="1"/>
          <w:bCs w:val="1"/>
          <w:u w:val="single"/>
          <w:lang w:val="es-PE"/>
        </w:rPr>
        <w:t>DÉCIMO</w:t>
      </w:r>
      <w:r w:rsidRPr="6C9F82C9" w:rsidR="00680B20">
        <w:rPr>
          <w:lang w:val="es-PE"/>
        </w:rPr>
        <w:t xml:space="preserve">: El reclamo fue presentado por la señora </w:t>
      </w:r>
      <w:r w:rsidRPr="6C9F82C9" w:rsidR="2CBB7025">
        <w:rPr>
          <w:lang w:val="es-PE"/>
        </w:rPr>
        <w:t>..................................</w:t>
      </w:r>
      <w:r w:rsidRPr="6C9F82C9" w:rsidR="00680B20">
        <w:rPr>
          <w:lang w:val="es-PE"/>
        </w:rPr>
        <w:t xml:space="preserve"> el 7 de febrero de 2025, por lo tanto, nos encontramos dentro del plazo perentorio para su presentación contemplado en el Reglamento. </w:t>
      </w:r>
    </w:p>
    <w:p w:rsidRPr="00680B20" w:rsidR="00865FCB" w:rsidP="00680B20" w:rsidRDefault="00865FCB" w14:paraId="43617B79" w14:textId="77777777">
      <w:pPr>
        <w:jc w:val="both"/>
        <w:outlineLvl w:val="0"/>
        <w:rPr>
          <w:lang w:val="es-PE"/>
        </w:rPr>
      </w:pPr>
    </w:p>
    <w:p w:rsidR="00680B20" w:rsidP="00680B20" w:rsidRDefault="00680B20" w14:paraId="0511C4A5" w14:textId="77777777">
      <w:pPr>
        <w:jc w:val="both"/>
        <w:outlineLvl w:val="0"/>
        <w:rPr>
          <w:lang w:val="es-PE"/>
        </w:rPr>
      </w:pPr>
      <w:r w:rsidRPr="00680B20">
        <w:rPr>
          <w:b/>
          <w:bCs/>
          <w:u w:val="single"/>
          <w:lang w:val="es-PE"/>
        </w:rPr>
        <w:t>UNDÉCIMO:</w:t>
      </w:r>
      <w:r w:rsidRPr="00680B20">
        <w:rPr>
          <w:lang w:val="es-PE"/>
        </w:rPr>
        <w:t xml:space="preserve"> La cifra del reclamo ha sido calculada por la asegurada al presentar su reclamo, en la cifra de PEN 5 350 (cinco mil y trescientos y cincuenta soles y 00/100), por lo tanto, el reclamo se encuentra dentro de los límites por cuantía de la competencia de la Defensoría establecida por el Reglamento.</w:t>
      </w:r>
    </w:p>
    <w:p w:rsidRPr="00680B20" w:rsidR="00865FCB" w:rsidP="00680B20" w:rsidRDefault="00865FCB" w14:paraId="729C3E7D" w14:textId="77777777">
      <w:pPr>
        <w:jc w:val="both"/>
        <w:outlineLvl w:val="0"/>
        <w:rPr>
          <w:lang w:val="es-PE"/>
        </w:rPr>
      </w:pPr>
    </w:p>
    <w:p w:rsidR="00865FCB" w:rsidP="00680B20" w:rsidRDefault="00680B20" w14:paraId="2156F1F3" w14:textId="6B9CFA28">
      <w:pPr>
        <w:jc w:val="both"/>
        <w:outlineLvl w:val="0"/>
        <w:rPr>
          <w:lang w:val="es-PE"/>
        </w:rPr>
      </w:pPr>
      <w:r w:rsidRPr="6C9F82C9" w:rsidR="00680B20">
        <w:rPr>
          <w:b w:val="1"/>
          <w:bCs w:val="1"/>
          <w:u w:val="single"/>
          <w:lang w:val="es-PE"/>
        </w:rPr>
        <w:t>DUODÉCIMO:</w:t>
      </w:r>
      <w:r w:rsidRPr="6C9F82C9" w:rsidR="00680B20">
        <w:rPr>
          <w:lang w:val="es-PE"/>
        </w:rPr>
        <w:t xml:space="preserve"> En este extremo corresponde determinar la naturaleza del vehículo conducido por la señora </w:t>
      </w:r>
      <w:r w:rsidRPr="6C9F82C9" w:rsidR="2CBB7025">
        <w:rPr>
          <w:lang w:val="es-PE"/>
        </w:rPr>
        <w:t>..................................</w:t>
      </w:r>
      <w:r w:rsidRPr="6C9F82C9" w:rsidR="00680B20">
        <w:rPr>
          <w:lang w:val="es-PE"/>
        </w:rPr>
        <w:t>, y, si, de acuerdo con su naturaleza, este no tenía obligación de contar con una póliza de SOAT vigente, tal como afirma la reclamante.</w:t>
      </w:r>
    </w:p>
    <w:p w:rsidRPr="00680B20" w:rsidR="00680B20" w:rsidP="00680B20" w:rsidRDefault="00680B20" w14:paraId="15B19CD9" w14:textId="44F25FED">
      <w:pPr>
        <w:jc w:val="both"/>
        <w:outlineLvl w:val="0"/>
        <w:rPr>
          <w:lang w:val="es-PE"/>
        </w:rPr>
      </w:pPr>
      <w:r w:rsidRPr="00680B20">
        <w:rPr>
          <w:lang w:val="es-PE"/>
        </w:rPr>
        <w:t xml:space="preserve"> </w:t>
      </w:r>
    </w:p>
    <w:p w:rsidR="00680B20" w:rsidP="00680B20" w:rsidRDefault="00680B20" w14:paraId="59DAFF6E" w14:textId="0E487643">
      <w:pPr>
        <w:jc w:val="both"/>
        <w:outlineLvl w:val="0"/>
        <w:rPr>
          <w:lang w:val="es-PE"/>
        </w:rPr>
      </w:pPr>
      <w:r w:rsidRPr="6C9F82C9" w:rsidR="00680B20">
        <w:rPr>
          <w:b w:val="1"/>
          <w:bCs w:val="1"/>
          <w:u w:val="single"/>
          <w:lang w:val="es-PE"/>
        </w:rPr>
        <w:t>DÉCIMOTERCERO:</w:t>
      </w:r>
      <w:r w:rsidRPr="6C9F82C9" w:rsidR="00680B20">
        <w:rPr>
          <w:lang w:val="es-PE"/>
        </w:rPr>
        <w:t xml:space="preserve"> De acuerdo con el atestado policial en el siniestro participaron dos vehículos, un automóvil de marca Toyota con placa de rodaje </w:t>
      </w:r>
      <w:r w:rsidRPr="6C9F82C9" w:rsidR="53C95FF1">
        <w:rPr>
          <w:lang w:val="es-PE"/>
        </w:rPr>
        <w:t>...................</w:t>
      </w:r>
      <w:r w:rsidRPr="6C9F82C9" w:rsidR="00680B20">
        <w:rPr>
          <w:lang w:val="es-PE"/>
        </w:rPr>
        <w:t xml:space="preserve"> y una motocicleta eléctrica o bicimoto conducida por la señora </w:t>
      </w:r>
      <w:r w:rsidRPr="6C9F82C9" w:rsidR="2CBB7025">
        <w:rPr>
          <w:lang w:val="es-PE"/>
        </w:rPr>
        <w:t>..................................</w:t>
      </w:r>
      <w:r w:rsidRPr="6C9F82C9" w:rsidR="00680B20">
        <w:rPr>
          <w:lang w:val="es-PE"/>
        </w:rPr>
        <w:t xml:space="preserve">. </w:t>
      </w:r>
    </w:p>
    <w:p w:rsidRPr="00680B20" w:rsidR="003E5C6C" w:rsidP="00680B20" w:rsidRDefault="003E5C6C" w14:paraId="4B8A047E" w14:textId="77777777">
      <w:pPr>
        <w:jc w:val="both"/>
        <w:outlineLvl w:val="0"/>
        <w:rPr>
          <w:lang w:val="es-PE"/>
        </w:rPr>
      </w:pPr>
    </w:p>
    <w:p w:rsidRPr="00680B20" w:rsidR="00680B20" w:rsidP="00680B20" w:rsidRDefault="00680B20" w14:paraId="41860D8E" w14:textId="4A132C7B">
      <w:pPr>
        <w:jc w:val="both"/>
        <w:outlineLvl w:val="0"/>
        <w:rPr>
          <w:lang w:val="es-PE"/>
        </w:rPr>
      </w:pPr>
      <w:r w:rsidRPr="00680B20" w:rsidR="00680B20">
        <w:rPr>
          <w:lang w:val="es-PE"/>
        </w:rPr>
        <w:t xml:space="preserve">Sobre el particular, el Reglamento Nacional de Tránsito, aprobado por Decreto Supremo </w:t>
      </w:r>
      <w:r w:rsidRPr="00680B20" w:rsidR="00680B20">
        <w:rPr>
          <w:lang w:val="es-PE"/>
        </w:rPr>
        <w:t>n.°</w:t>
      </w:r>
      <w:r w:rsidRPr="00680B20" w:rsidR="00680B20">
        <w:rPr>
          <w:lang w:val="es-PE"/>
        </w:rPr>
        <w:t xml:space="preserve"> 033-2001-MTC, define en su artículo 2</w:t>
      </w:r>
      <w:r w:rsidRPr="00680B20">
        <w:rPr>
          <w:vertAlign w:val="superscript"/>
          <w:lang w:val="es-PE"/>
        </w:rPr>
        <w:footnoteReference w:id="6"/>
      </w:r>
      <w:r w:rsidRPr="00680B20" w:rsidR="00680B20">
        <w:rPr>
          <w:lang w:val="es-PE"/>
        </w:rPr>
        <w:t xml:space="preserve">, al vehículo automotor menor en su artículo 2, como al </w:t>
      </w:r>
      <w:r w:rsidRPr="6C9F82C9" w:rsidR="00680B20">
        <w:rPr>
          <w:i w:val="1"/>
          <w:iCs w:val="1"/>
          <w:lang w:val="es-PE"/>
        </w:rPr>
        <w:t>«[v]</w:t>
      </w:r>
      <w:r w:rsidRPr="6C9F82C9" w:rsidR="00680B20">
        <w:rPr>
          <w:i w:val="1"/>
          <w:iCs w:val="1"/>
          <w:lang w:val="es-PE"/>
        </w:rPr>
        <w:t>ehículo</w:t>
      </w:r>
      <w:r w:rsidRPr="6C9F82C9" w:rsidR="00680B20">
        <w:rPr>
          <w:i w:val="1"/>
          <w:iCs w:val="1"/>
          <w:lang w:val="es-PE"/>
        </w:rPr>
        <w:t xml:space="preserve"> autopropulsado por su propia fuerza motriz, que comprende a los ciclomotores, </w:t>
      </w:r>
      <w:r w:rsidRPr="6C9F82C9" w:rsidR="00680B20">
        <w:rPr>
          <w:i w:val="1"/>
          <w:iCs w:val="1"/>
          <w:lang w:val="es-PE"/>
        </w:rPr>
        <w:t>trimotos</w:t>
      </w:r>
      <w:r w:rsidRPr="6C9F82C9" w:rsidR="00680B20">
        <w:rPr>
          <w:i w:val="1"/>
          <w:iCs w:val="1"/>
          <w:lang w:val="es-PE"/>
        </w:rPr>
        <w:t xml:space="preserve"> y cuatriciclos contenidos en la categoría L de la clasificación vehicular establecida en el Anexo I del [Reglamento Nacional de Vehículos]</w:t>
      </w:r>
      <w:r w:rsidRPr="00680B20" w:rsidR="00680B20">
        <w:rPr>
          <w:lang w:val="es-PE"/>
        </w:rPr>
        <w:t>»</w:t>
      </w:r>
      <w:r w:rsidRPr="00680B20">
        <w:rPr>
          <w:vertAlign w:val="superscript"/>
          <w:lang w:val="es-PE"/>
        </w:rPr>
        <w:footnoteReference w:id="7"/>
      </w:r>
      <w:r w:rsidRPr="00680B20" w:rsidR="00680B20">
        <w:rPr>
          <w:lang w:val="es-PE"/>
        </w:rPr>
        <w:t xml:space="preserve">. En dicho sentido, tanto por lo señalado en el atestado policial como por lo indicado por la señora </w:t>
      </w:r>
      <w:r w:rsidRPr="00680B20" w:rsidR="2CBB7025">
        <w:rPr>
          <w:lang w:val="es-PE"/>
        </w:rPr>
        <w:t xml:space="preserve">..................................</w:t>
      </w:r>
      <w:r w:rsidRPr="00680B20" w:rsidR="00680B20">
        <w:rPr>
          <w:lang w:val="es-PE"/>
        </w:rPr>
        <w:t xml:space="preserve">, en principio, esta motocicleta eléctrica o bicimoto sería un vehículo automotor menor, incorporado en la Categoría L del Reglamento Nacional de Vehículos. </w:t>
      </w:r>
    </w:p>
    <w:p w:rsidR="00680B20" w:rsidP="00680B20" w:rsidRDefault="00680B20" w14:paraId="4EC2DE52" w14:textId="77777777">
      <w:pPr>
        <w:jc w:val="both"/>
        <w:outlineLvl w:val="0"/>
        <w:rPr>
          <w:lang w:val="es-PE"/>
        </w:rPr>
      </w:pPr>
      <w:r w:rsidRPr="00680B20">
        <w:rPr>
          <w:lang w:val="es-PE"/>
        </w:rPr>
        <w:t xml:space="preserve">De acuerdo con la exposición de motivos del Decreto Supremo </w:t>
      </w:r>
      <w:proofErr w:type="spellStart"/>
      <w:r w:rsidRPr="00680B20">
        <w:rPr>
          <w:lang w:val="es-PE"/>
        </w:rPr>
        <w:t>n.°</w:t>
      </w:r>
      <w:proofErr w:type="spellEnd"/>
      <w:r w:rsidRPr="00680B20">
        <w:rPr>
          <w:lang w:val="es-PE"/>
        </w:rPr>
        <w:t> 27-2021-MTC (Decreto Supremo que amplía el plazo para continuar con la entrega de los escudos faciales a los usuarios del servicio de transporte terrestre regular de personas de ámbito provincial, y establece otras disposiciones)</w:t>
      </w:r>
      <w:r w:rsidRPr="00680B20">
        <w:rPr>
          <w:vertAlign w:val="superscript"/>
          <w:lang w:val="es-PE"/>
        </w:rPr>
        <w:footnoteReference w:id="8"/>
      </w:r>
      <w:r w:rsidRPr="00680B20">
        <w:rPr>
          <w:lang w:val="es-PE"/>
        </w:rPr>
        <w:t>, que, entre otras disposiciones, modifica el Reglamento Nacional de Vehículos, una bicimoto es «</w:t>
      </w:r>
      <w:r w:rsidRPr="00680B20">
        <w:rPr>
          <w:i/>
          <w:iCs/>
          <w:lang w:val="es-PE"/>
        </w:rPr>
        <w:t xml:space="preserve">un vehículo impulsado por un motor de muy baja potencia, con pedales de bicicleta para poder asistir al motor en las subidas </w:t>
      </w:r>
      <w:proofErr w:type="spellStart"/>
      <w:r w:rsidRPr="00680B20">
        <w:rPr>
          <w:i/>
          <w:iCs/>
          <w:lang w:val="es-PE"/>
        </w:rPr>
        <w:t>ó</w:t>
      </w:r>
      <w:proofErr w:type="spellEnd"/>
      <w:r w:rsidRPr="00680B20">
        <w:rPr>
          <w:i/>
          <w:iCs/>
          <w:lang w:val="es-PE"/>
        </w:rPr>
        <w:t xml:space="preserve"> (sic) el arranque</w:t>
      </w:r>
      <w:r w:rsidRPr="00680B20">
        <w:rPr>
          <w:lang w:val="es-PE"/>
        </w:rPr>
        <w:t>».</w:t>
      </w:r>
      <w:r w:rsidRPr="00680B20">
        <w:rPr>
          <w:vertAlign w:val="superscript"/>
          <w:lang w:val="es-PE"/>
        </w:rPr>
        <w:footnoteReference w:id="9"/>
      </w:r>
    </w:p>
    <w:p w:rsidRPr="00680B20" w:rsidR="003E5C6C" w:rsidP="00680B20" w:rsidRDefault="003E5C6C" w14:paraId="551DAD05" w14:textId="77777777">
      <w:pPr>
        <w:jc w:val="both"/>
        <w:outlineLvl w:val="0"/>
        <w:rPr>
          <w:lang w:val="es-PE"/>
        </w:rPr>
      </w:pPr>
    </w:p>
    <w:p w:rsidR="00680B20" w:rsidP="00680B20" w:rsidRDefault="00680B20" w14:paraId="24D7D28C" w14:textId="77777777">
      <w:pPr>
        <w:jc w:val="both"/>
        <w:outlineLvl w:val="0"/>
        <w:rPr>
          <w:lang w:val="es-PE"/>
        </w:rPr>
      </w:pPr>
      <w:r w:rsidRPr="00680B20">
        <w:rPr>
          <w:lang w:val="es-PE"/>
        </w:rPr>
        <w:t>Así, en sintonía con el Decreto Supremo antes mencionado, se encuentran incorporados dentro de la Categoría L1 de la Clasificación vehicular del Reglamento Nacional de Vehículos, aquellos vehículos con dos ruedas, con una velocidad máxima de construcción de 50 km/h y con una cilindrada de hasta 50 cm</w:t>
      </w:r>
      <w:r w:rsidRPr="00680B20">
        <w:rPr>
          <w:vertAlign w:val="superscript"/>
          <w:lang w:val="es-PE"/>
        </w:rPr>
        <w:t>3</w:t>
      </w:r>
      <w:r w:rsidRPr="00680B20">
        <w:rPr>
          <w:lang w:val="es-PE"/>
        </w:rPr>
        <w:t xml:space="preserve"> en el caso que cuenten con un motor térmico o de cualquier otro medio de propulsión.</w:t>
      </w:r>
      <w:r w:rsidRPr="00680B20">
        <w:rPr>
          <w:vertAlign w:val="superscript"/>
          <w:lang w:val="es-PE"/>
        </w:rPr>
        <w:footnoteReference w:id="10"/>
      </w:r>
      <w:r w:rsidRPr="00680B20">
        <w:rPr>
          <w:lang w:val="es-PE"/>
        </w:rPr>
        <w:t xml:space="preserve"> </w:t>
      </w:r>
    </w:p>
    <w:p w:rsidRPr="00680B20" w:rsidR="003E5C6C" w:rsidP="00680B20" w:rsidRDefault="003E5C6C" w14:paraId="43960B6B" w14:textId="77777777">
      <w:pPr>
        <w:jc w:val="both"/>
        <w:outlineLvl w:val="0"/>
        <w:rPr>
          <w:lang w:val="es-PE"/>
        </w:rPr>
      </w:pPr>
    </w:p>
    <w:p w:rsidRPr="00680B20" w:rsidR="00680B20" w:rsidP="00680B20" w:rsidRDefault="00680B20" w14:paraId="06B507C6" w14:textId="77777777">
      <w:pPr>
        <w:jc w:val="both"/>
        <w:outlineLvl w:val="0"/>
        <w:rPr>
          <w:lang w:val="es-PE"/>
        </w:rPr>
      </w:pPr>
      <w:r w:rsidRPr="00680B20">
        <w:rPr>
          <w:lang w:val="es-PE"/>
        </w:rPr>
        <w:t xml:space="preserve">Por otro lado, el artículo 2 del </w:t>
      </w:r>
      <w:bookmarkStart w:name="_Hlk200981295" w:id="3"/>
      <w:r w:rsidRPr="00680B20">
        <w:rPr>
          <w:lang w:val="es-PE"/>
        </w:rPr>
        <w:t xml:space="preserve">Decreto Supremo </w:t>
      </w:r>
      <w:proofErr w:type="spellStart"/>
      <w:r w:rsidRPr="00680B20">
        <w:rPr>
          <w:lang w:val="es-PE"/>
        </w:rPr>
        <w:t>n.°</w:t>
      </w:r>
      <w:proofErr w:type="spellEnd"/>
      <w:r w:rsidRPr="00680B20">
        <w:rPr>
          <w:lang w:val="es-PE"/>
        </w:rPr>
        <w:t xml:space="preserve"> 24-2002-MTC (Texto Único Ordenado del Reglamento Nacional de Responsabilidad Civil y Seguros Obligatorios por Accidentes de Tránsito – “Reglamento de SOAT”) señala </w:t>
      </w:r>
      <w:bookmarkEnd w:id="3"/>
      <w:r w:rsidRPr="00680B20">
        <w:rPr>
          <w:lang w:val="es-PE"/>
        </w:rPr>
        <w:t xml:space="preserve">que todo vehículo automotor que circule en </w:t>
      </w:r>
      <w:r w:rsidRPr="00680B20">
        <w:rPr>
          <w:lang w:val="es-PE"/>
        </w:rPr>
        <w:t>el territorio nacional debe contar con una póliza vigente de SOAT</w:t>
      </w:r>
      <w:r w:rsidRPr="00680B20">
        <w:rPr>
          <w:vertAlign w:val="superscript"/>
          <w:lang w:val="es-PE"/>
        </w:rPr>
        <w:footnoteReference w:id="11"/>
      </w:r>
      <w:r w:rsidRPr="00680B20">
        <w:rPr>
          <w:lang w:val="es-PE"/>
        </w:rPr>
        <w:t xml:space="preserve">. Asimismo, el artículo 5 del mencionado dispositivo, define como vehículo automotor a aquel que se desplaza por las vías de uso público terrestre a través de propulsión propia. </w:t>
      </w:r>
    </w:p>
    <w:p w:rsidR="00680B20" w:rsidP="00680B20" w:rsidRDefault="00680B20" w14:paraId="69F7F245" w14:textId="77777777">
      <w:pPr>
        <w:jc w:val="both"/>
        <w:outlineLvl w:val="0"/>
        <w:rPr>
          <w:lang w:val="es-PE"/>
        </w:rPr>
      </w:pPr>
      <w:r w:rsidRPr="00680B20" w:rsidR="00680B20">
        <w:rPr>
          <w:lang w:val="es-PE"/>
        </w:rPr>
        <w:t>De lo expuesto, esta Defensoría concluye que las denominadas bicimotos o motocicletas eléctricas son vehículos automotores que deben contar con una póliza vigente de SOAT para poder circular.</w:t>
      </w:r>
      <w:r w:rsidRPr="00680B20">
        <w:rPr>
          <w:vertAlign w:val="superscript"/>
          <w:lang w:val="es-PE"/>
        </w:rPr>
        <w:footnoteReference w:id="12"/>
      </w:r>
    </w:p>
    <w:p w:rsidRPr="00680B20" w:rsidR="003E5C6C" w:rsidP="00680B20" w:rsidRDefault="003E5C6C" w14:paraId="5E105960" w14:textId="77777777">
      <w:pPr>
        <w:jc w:val="both"/>
        <w:outlineLvl w:val="0"/>
        <w:rPr>
          <w:lang w:val="es-PE"/>
        </w:rPr>
      </w:pPr>
    </w:p>
    <w:p w:rsidR="00680B20" w:rsidP="00680B20" w:rsidRDefault="00680B20" w14:paraId="68163BDF" w14:textId="77777777">
      <w:pPr>
        <w:jc w:val="both"/>
        <w:outlineLvl w:val="0"/>
        <w:rPr>
          <w:lang w:val="es-PE"/>
        </w:rPr>
      </w:pPr>
      <w:r w:rsidRPr="00680B20">
        <w:rPr>
          <w:lang w:val="es-PE"/>
        </w:rPr>
        <w:t>En la medida que las bicimotos o motocicletas eléctricas son consideradas por nuestra legislación como un vehículo automotor, conducir una bicimoto sin contar con una póliza vigente de SOAT constituye una infracción administrativa muy grave (M28) de acuerdo con el Reglamento Nacional de Tránsito; por otro lado, las bicimotos deben circular únicamente por las vías públicas terrestres y no por las ciclovías, hacerlo constituye también una infracción grave (G32) al Reglamento Nacional de Tránsito</w:t>
      </w:r>
      <w:r w:rsidRPr="00680B20">
        <w:rPr>
          <w:vertAlign w:val="superscript"/>
          <w:lang w:val="es-PE"/>
        </w:rPr>
        <w:footnoteReference w:id="13"/>
      </w:r>
      <w:r w:rsidRPr="00680B20">
        <w:rPr>
          <w:lang w:val="es-PE"/>
        </w:rPr>
        <w:t>.</w:t>
      </w:r>
    </w:p>
    <w:p w:rsidRPr="00680B20" w:rsidR="003E5C6C" w:rsidP="00680B20" w:rsidRDefault="003E5C6C" w14:paraId="40AC0FB4" w14:textId="77777777">
      <w:pPr>
        <w:jc w:val="both"/>
        <w:outlineLvl w:val="0"/>
        <w:rPr>
          <w:lang w:val="es-PE"/>
        </w:rPr>
      </w:pPr>
    </w:p>
    <w:p w:rsidR="00680B20" w:rsidP="00680B20" w:rsidRDefault="00680B20" w14:paraId="3803CF0D" w14:textId="77777777">
      <w:pPr>
        <w:jc w:val="both"/>
        <w:outlineLvl w:val="0"/>
        <w:rPr>
          <w:lang w:val="es-PE"/>
        </w:rPr>
      </w:pPr>
      <w:r w:rsidRPr="00680B20">
        <w:rPr>
          <w:b/>
          <w:bCs/>
          <w:u w:val="single"/>
          <w:lang w:val="es-PE"/>
        </w:rPr>
        <w:t>DECIMOCUARTO:</w:t>
      </w:r>
      <w:r w:rsidRPr="00680B20">
        <w:rPr>
          <w:lang w:val="es-PE"/>
        </w:rPr>
        <w:t xml:space="preserve"> Luego de concluir que para circular las bicimotos deben contar con una póliza vigente de SOAT, resulta importante determinar cuál es el alcance de la obligación de las aseguradoras de cara a la asunción de responsabilidad derivados de accidentes en los cuales sólo una de las unidades vehiculares involucradas cuenta con una póliza de SOAT vigente. Para ello, resulta importante traer a colación lo señalado por el artículo 17 del Decreto Supremo </w:t>
      </w:r>
      <w:proofErr w:type="spellStart"/>
      <w:r w:rsidRPr="00680B20">
        <w:rPr>
          <w:lang w:val="es-PE"/>
        </w:rPr>
        <w:t>n.°</w:t>
      </w:r>
      <w:proofErr w:type="spellEnd"/>
      <w:r w:rsidRPr="00680B20">
        <w:rPr>
          <w:lang w:val="es-PE"/>
        </w:rPr>
        <w:t xml:space="preserve"> 24-2002-MTC: </w:t>
      </w:r>
    </w:p>
    <w:p w:rsidRPr="00680B20" w:rsidR="003E5C6C" w:rsidP="003E5C6C" w:rsidRDefault="003E5C6C" w14:paraId="47397D66" w14:textId="77777777">
      <w:pPr>
        <w:ind w:left="1440"/>
        <w:jc w:val="both"/>
        <w:outlineLvl w:val="0"/>
        <w:rPr>
          <w:lang w:val="es-PE"/>
        </w:rPr>
      </w:pPr>
    </w:p>
    <w:p w:rsidRPr="00680B20" w:rsidR="00680B20" w:rsidP="003E5C6C" w:rsidRDefault="00680B20" w14:paraId="052AF4ED" w14:textId="77777777">
      <w:pPr>
        <w:ind w:left="1440"/>
        <w:jc w:val="both"/>
        <w:outlineLvl w:val="0"/>
        <w:rPr>
          <w:i/>
          <w:iCs/>
          <w:lang w:val="es-PE"/>
        </w:rPr>
      </w:pPr>
      <w:r w:rsidRPr="00680B20">
        <w:rPr>
          <w:i/>
          <w:iCs/>
          <w:lang w:val="es-PE"/>
        </w:rPr>
        <w:t>«</w:t>
      </w:r>
      <w:r w:rsidRPr="00680B20">
        <w:rPr>
          <w:b/>
          <w:bCs/>
          <w:i/>
          <w:iCs/>
          <w:lang w:val="es-PE"/>
        </w:rPr>
        <w:t>Artículo 17.-</w:t>
      </w:r>
      <w:r w:rsidRPr="00680B20">
        <w:rPr>
          <w:i/>
          <w:iCs/>
          <w:lang w:val="es-PE"/>
        </w:rPr>
        <w:t xml:space="preserve"> En caso de accidentes de tránsito en que hayan participado dos o más vehículos, cada compañía de seguros será responsable de las indemnizaciones correspondientes a las personas transportadas en el vehículo por ella asegurado. </w:t>
      </w:r>
    </w:p>
    <w:p w:rsidRPr="00680B20" w:rsidR="00680B20" w:rsidP="003E5C6C" w:rsidRDefault="00680B20" w14:paraId="5C02DB59" w14:textId="77777777">
      <w:pPr>
        <w:ind w:left="1440"/>
        <w:jc w:val="both"/>
        <w:outlineLvl w:val="0"/>
        <w:rPr>
          <w:i/>
          <w:iCs/>
          <w:lang w:val="es-PE"/>
        </w:rPr>
      </w:pPr>
      <w:r w:rsidRPr="00680B20">
        <w:rPr>
          <w:i/>
          <w:iCs/>
          <w:lang w:val="es-PE"/>
        </w:rPr>
        <w:t xml:space="preserve">En caso de peatones o terceros no ocupantes de vehículos automotores, las compañías de seguros intervinientes serán responsables solidariamente de las indemnizaciones que correspondan a dichas personas o su (s) beneficiario (s). </w:t>
      </w:r>
    </w:p>
    <w:p w:rsidRPr="00680B20" w:rsidR="00680B20" w:rsidP="003E5C6C" w:rsidRDefault="00680B20" w14:paraId="74A5C876" w14:textId="77777777">
      <w:pPr>
        <w:ind w:left="1440"/>
        <w:jc w:val="both"/>
        <w:outlineLvl w:val="0"/>
        <w:rPr>
          <w:i/>
          <w:iCs/>
          <w:lang w:val="es-PE"/>
        </w:rPr>
      </w:pPr>
      <w:r w:rsidRPr="00680B20">
        <w:rPr>
          <w:i/>
          <w:iCs/>
          <w:lang w:val="es-PE"/>
        </w:rPr>
        <w:t xml:space="preserve">En este último caso, la compañía de seguros que hubiere pagado tendrá derecho a repetir contra las demás para exigirles su correspondiente participación sin perjuicio de los convenios que para el efecto puedan celebrar las compañías de seguros involucradas. </w:t>
      </w:r>
    </w:p>
    <w:p w:rsidR="00680B20" w:rsidP="003E5C6C" w:rsidRDefault="00680B20" w14:paraId="17083C9F" w14:textId="77777777">
      <w:pPr>
        <w:ind w:left="1440"/>
        <w:jc w:val="both"/>
        <w:outlineLvl w:val="0"/>
        <w:rPr>
          <w:i/>
          <w:iCs/>
          <w:lang w:val="es-PE"/>
        </w:rPr>
      </w:pPr>
      <w:r w:rsidRPr="00680B20">
        <w:rPr>
          <w:i/>
          <w:iCs/>
          <w:lang w:val="es-PE"/>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p>
    <w:p w:rsidRPr="00680B20" w:rsidR="003E5C6C" w:rsidP="00680B20" w:rsidRDefault="003E5C6C" w14:paraId="50B7BD81" w14:textId="77777777">
      <w:pPr>
        <w:jc w:val="both"/>
        <w:outlineLvl w:val="0"/>
        <w:rPr>
          <w:i/>
          <w:iCs/>
          <w:lang w:val="es-PE"/>
        </w:rPr>
      </w:pPr>
    </w:p>
    <w:p w:rsidR="00680B20" w:rsidP="00680B20" w:rsidRDefault="00680B20" w14:paraId="320A6D04" w14:textId="77777777">
      <w:pPr>
        <w:jc w:val="both"/>
        <w:outlineLvl w:val="0"/>
        <w:rPr>
          <w:lang w:val="es-PE"/>
        </w:rPr>
      </w:pPr>
      <w:r w:rsidRPr="00680B20">
        <w:rPr>
          <w:lang w:val="es-PE"/>
        </w:rPr>
        <w:t xml:space="preserve">Así pues, resulta claro que el Reglamento del SOAT, señala cuál es la forma en la que se deberán de asignar las responsabilidades indemnizatorias en caso ocurra un siniestro en el que participen dos vehículos motorizados. La norma glosada es diáfana cuando afirma que cada compañía de seguros será responsable de las indemnizaciones correspondientes a las personas transportadas en el vehículo por ella asegurado. De hecho, en el último párrafo el legislador ha incorporado una precisión que explica qué es lo que sucedería en caso uno de los vehículos que participa en el siniestro no cuente con una póliza de SOAT vigente. </w:t>
      </w:r>
      <w:proofErr w:type="gramStart"/>
      <w:r w:rsidRPr="00680B20">
        <w:rPr>
          <w:lang w:val="es-PE"/>
        </w:rPr>
        <w:t>De acuerdo a</w:t>
      </w:r>
      <w:proofErr w:type="gramEnd"/>
      <w:r w:rsidRPr="00680B20">
        <w:rPr>
          <w:lang w:val="es-PE"/>
        </w:rPr>
        <w:t xml:space="preserve"> ello, no resulta posible atribuir obligación a las empresas aseguradoras de cubrir las indemnizaciones derivadas del siniestro, respecto de aquellos ocupantes de vehículos que no cuentan con una póliza de SOAT vigente o, de ser el caso, de terceros ocupantes de vehículos con póliza de SOAT de compañías distintas. Por lo tanto, es criterio de este Colegiado que cada aseguradora debe responder por los alcances de la póliza de SOAT emitida por esta, hasta por el límite legal dispuesto en el Reglamento del SOAT. </w:t>
      </w:r>
    </w:p>
    <w:p w:rsidRPr="00680B20" w:rsidR="003E5C6C" w:rsidP="00680B20" w:rsidRDefault="003E5C6C" w14:paraId="43E514A1" w14:textId="77777777">
      <w:pPr>
        <w:jc w:val="both"/>
        <w:outlineLvl w:val="0"/>
        <w:rPr>
          <w:lang w:val="es-PE"/>
        </w:rPr>
      </w:pPr>
    </w:p>
    <w:p w:rsidR="00680B20" w:rsidP="00680B20" w:rsidRDefault="00680B20" w14:paraId="5504F058" w14:textId="77777777">
      <w:pPr>
        <w:jc w:val="both"/>
        <w:outlineLvl w:val="0"/>
        <w:rPr>
          <w:lang w:val="es-PE"/>
        </w:rPr>
      </w:pPr>
      <w:r w:rsidRPr="00680B20" w:rsidR="00680B20">
        <w:rPr>
          <w:lang w:val="es-PE"/>
        </w:rPr>
        <w:t xml:space="preserve">Al respecto, esta Defensoría ya se ha pronunciado en anteriores oportunidades en el sentido que la aseguradora a la que se le contrata una póliza de SOAT por una unidad </w:t>
      </w:r>
      <w:proofErr w:type="gramStart"/>
      <w:r w:rsidRPr="00680B20" w:rsidR="00680B20">
        <w:rPr>
          <w:lang w:val="es-PE"/>
        </w:rPr>
        <w:t>vehicular,</w:t>
      </w:r>
      <w:proofErr w:type="gramEnd"/>
      <w:r w:rsidRPr="00680B20" w:rsidR="00680B20">
        <w:rPr>
          <w:lang w:val="es-PE"/>
        </w:rPr>
        <w:t xml:space="preserve"> no está obligada a otorgar cobertura a los ocupantes de la segunda unidad que omitió contratar una póliza de SOAT </w:t>
      </w:r>
      <w:proofErr w:type="gramStart"/>
      <w:r w:rsidRPr="00680B20" w:rsidR="00680B20">
        <w:rPr>
          <w:lang w:val="es-PE"/>
        </w:rPr>
        <w:t>de acuerdo a</w:t>
      </w:r>
      <w:proofErr w:type="gramEnd"/>
      <w:r w:rsidRPr="00680B20" w:rsidR="00680B20">
        <w:rPr>
          <w:lang w:val="es-PE"/>
        </w:rPr>
        <w:t xml:space="preserve"> ley.</w:t>
      </w:r>
      <w:r w:rsidRPr="00680B20">
        <w:rPr>
          <w:vertAlign w:val="superscript"/>
          <w:lang w:val="es-PE"/>
        </w:rPr>
        <w:footnoteReference w:id="14"/>
      </w:r>
    </w:p>
    <w:p w:rsidRPr="00680B20" w:rsidR="003E5C6C" w:rsidP="00680B20" w:rsidRDefault="003E5C6C" w14:paraId="7ED71474" w14:textId="77777777">
      <w:pPr>
        <w:jc w:val="both"/>
        <w:outlineLvl w:val="0"/>
        <w:rPr>
          <w:lang w:val="es-PE"/>
        </w:rPr>
      </w:pPr>
    </w:p>
    <w:p w:rsidR="00680B20" w:rsidP="00680B20" w:rsidRDefault="00680B20" w14:paraId="39853B28" w14:textId="6B5A9323">
      <w:pPr>
        <w:jc w:val="both"/>
        <w:outlineLvl w:val="0"/>
        <w:rPr>
          <w:lang w:val="es-PE"/>
        </w:rPr>
      </w:pPr>
      <w:r w:rsidRPr="00680B20" w:rsidR="00680B20">
        <w:rPr>
          <w:lang w:val="es-PE"/>
        </w:rPr>
        <w:t xml:space="preserve">En el presente caso, no puede concluirse que </w:t>
      </w:r>
      <w:r w:rsidRPr="00680B20" w:rsidR="42FF3A33">
        <w:rPr>
          <w:lang w:val="es-PE"/>
        </w:rPr>
        <w:t xml:space="preserve">..............</w:t>
      </w:r>
      <w:r w:rsidRPr="00680B20" w:rsidR="00680B20">
        <w:rPr>
          <w:lang w:val="es-PE"/>
        </w:rPr>
        <w:t xml:space="preserve"> deba cubrir los daños soportados por el conductor de la otra unidad vehicular que participó en el siniestro (la conductora de la bicimoto), al margen de la calificación que se le dé a la actuación del conductor de la unidad asegurada como concluyente, coadyuvante o ajena a lo sucedido. En tal virtud, corresponde que la afectada, en este caso la señora </w:t>
      </w:r>
      <w:r w:rsidRPr="00680B20" w:rsidR="2CBB7025">
        <w:rPr>
          <w:lang w:val="es-PE"/>
        </w:rPr>
        <w:t>..................................</w:t>
      </w:r>
      <w:r w:rsidRPr="00680B20" w:rsidR="00680B20">
        <w:rPr>
          <w:lang w:val="es-PE"/>
        </w:rPr>
        <w:t>,</w:t>
      </w:r>
      <w:r w:rsidRPr="00680B20" w:rsidR="00680B20">
        <w:rPr>
          <w:b w:val="1"/>
          <w:bCs w:val="1"/>
          <w:lang w:val="es-PE"/>
        </w:rPr>
        <w:t xml:space="preserve"> </w:t>
      </w:r>
      <w:r w:rsidRPr="00680B20" w:rsidR="00680B20">
        <w:rPr>
          <w:lang w:val="es-PE"/>
        </w:rPr>
        <w:t>haga efectiva la cobertura de su propia póliza de SOAT. Si la reclamante conducía una unidad que circulaba por una ciclovía sin contar con la correspondiente póliza de SOAT vigente -como parece ser el caso-, ello corresponde a un riesgo asumido por la conductora que no puede ser trasladado válidamente a la empresa aseguradora.</w:t>
      </w:r>
      <w:r w:rsidRPr="00680B20">
        <w:rPr>
          <w:vertAlign w:val="superscript"/>
          <w:lang w:val="es-PE"/>
        </w:rPr>
        <w:footnoteReference w:id="15"/>
      </w:r>
    </w:p>
    <w:p w:rsidRPr="00680B20" w:rsidR="00680B20" w:rsidP="00680B20" w:rsidRDefault="00680B20" w14:paraId="7138B790" w14:textId="77777777">
      <w:pPr>
        <w:jc w:val="both"/>
        <w:outlineLvl w:val="0"/>
        <w:rPr>
          <w:lang w:val="es-PE"/>
        </w:rPr>
      </w:pPr>
    </w:p>
    <w:p w:rsidR="00680B20" w:rsidP="00680B20" w:rsidRDefault="00680B20" w14:paraId="473B498B" w14:textId="77777777">
      <w:pPr>
        <w:jc w:val="both"/>
        <w:outlineLvl w:val="0"/>
        <w:rPr>
          <w:lang w:val="es-PE"/>
        </w:rPr>
      </w:pPr>
      <w:bookmarkStart w:name="_Hlk202467078" w:id="4"/>
      <w:bookmarkEnd w:id="2"/>
      <w:r w:rsidRPr="00680B20">
        <w:rPr>
          <w:b/>
          <w:bCs/>
          <w:u w:val="single"/>
          <w:lang w:val="es-PE"/>
        </w:rPr>
        <w:t>DÉCIMOQUINTO</w:t>
      </w:r>
      <w:r w:rsidRPr="00680B20">
        <w:rPr>
          <w:lang w:val="es-PE"/>
        </w:rPr>
        <w:t>: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680B20" w:rsidR="00680B20" w:rsidP="00680B20" w:rsidRDefault="00680B20" w14:paraId="2FEFDF45" w14:textId="77777777">
      <w:pPr>
        <w:jc w:val="both"/>
        <w:outlineLvl w:val="0"/>
        <w:rPr>
          <w:lang w:val="es-PE"/>
        </w:rPr>
      </w:pPr>
    </w:p>
    <w:bookmarkEnd w:id="4"/>
    <w:p w:rsidR="00680B20" w:rsidP="00680B20" w:rsidRDefault="00680B20" w14:paraId="4881356F" w14:textId="77777777">
      <w:pPr>
        <w:jc w:val="both"/>
        <w:outlineLvl w:val="0"/>
        <w:rPr>
          <w:lang w:val="es-PE"/>
        </w:rPr>
      </w:pPr>
      <w:r w:rsidRPr="00680B20">
        <w:rPr>
          <w:lang w:val="es-PE"/>
        </w:rPr>
        <w:t>Que, en consecuencia, esta Defensoría del Asegurado concluye su apreciación razonada y conjunta al amparo de lo establecido en su Reglamento, por lo que:</w:t>
      </w:r>
    </w:p>
    <w:p w:rsidRPr="00680B20" w:rsidR="00680B20" w:rsidP="00680B20" w:rsidRDefault="00680B20" w14:paraId="3D897D4E" w14:textId="77777777">
      <w:pPr>
        <w:jc w:val="both"/>
        <w:outlineLvl w:val="0"/>
        <w:rPr>
          <w:lang w:val="es-PE"/>
        </w:rPr>
      </w:pPr>
    </w:p>
    <w:p w:rsidR="00680B20" w:rsidP="00680B20" w:rsidRDefault="00680B20" w14:paraId="1FEBB84C" w14:textId="77777777">
      <w:pPr>
        <w:jc w:val="both"/>
        <w:outlineLvl w:val="0"/>
        <w:rPr>
          <w:b/>
          <w:bCs/>
          <w:lang w:val="es-PE"/>
        </w:rPr>
      </w:pPr>
      <w:r w:rsidRPr="00680B20">
        <w:rPr>
          <w:b/>
          <w:bCs/>
          <w:lang w:val="es-PE"/>
        </w:rPr>
        <w:t>RESUELVE:</w:t>
      </w:r>
    </w:p>
    <w:p w:rsidRPr="00680B20" w:rsidR="00680B20" w:rsidP="00680B20" w:rsidRDefault="00680B20" w14:paraId="07500006" w14:textId="77777777">
      <w:pPr>
        <w:jc w:val="both"/>
        <w:outlineLvl w:val="0"/>
        <w:rPr>
          <w:b/>
          <w:bCs/>
          <w:u w:val="single"/>
          <w:lang w:val="es-PE"/>
        </w:rPr>
      </w:pPr>
    </w:p>
    <w:p w:rsidRPr="00680B20" w:rsidR="00680B20" w:rsidP="00680B20" w:rsidRDefault="00680B20" w14:paraId="3109EE56" w14:textId="6BD7ADAE">
      <w:pPr>
        <w:jc w:val="both"/>
        <w:outlineLvl w:val="0"/>
        <w:rPr>
          <w:lang w:val="es-PE"/>
        </w:rPr>
      </w:pPr>
      <w:r w:rsidRPr="6C9F82C9" w:rsidR="00680B20">
        <w:rPr>
          <w:lang w:val="es-PE"/>
        </w:rPr>
        <w:t xml:space="preserve">Declarar </w:t>
      </w:r>
      <w:r w:rsidRPr="6C9F82C9" w:rsidR="00680B20">
        <w:rPr>
          <w:b w:val="1"/>
          <w:bCs w:val="1"/>
          <w:lang w:val="es-PE"/>
        </w:rPr>
        <w:t>INFUNDADA</w:t>
      </w:r>
      <w:r w:rsidRPr="6C9F82C9" w:rsidR="00680B20">
        <w:rPr>
          <w:lang w:val="es-PE"/>
        </w:rPr>
        <w:t xml:space="preserve"> la reclamación presentada por la señora </w:t>
      </w:r>
      <w:r w:rsidRPr="6C9F82C9" w:rsidR="5926FA7C">
        <w:rPr>
          <w:b w:val="1"/>
          <w:bCs w:val="1"/>
          <w:lang w:val="es-PE"/>
        </w:rPr>
        <w:t>.............................................................................</w:t>
      </w:r>
      <w:r w:rsidRPr="6C9F82C9" w:rsidR="00680B20">
        <w:rPr>
          <w:b w:val="1"/>
          <w:bCs w:val="1"/>
          <w:lang w:val="es-PE"/>
        </w:rPr>
        <w:t xml:space="preserve"> </w:t>
      </w:r>
      <w:r w:rsidRPr="6C9F82C9" w:rsidR="00680B20">
        <w:rPr>
          <w:lang w:val="es-PE"/>
        </w:rPr>
        <w:t xml:space="preserve">contra </w:t>
      </w:r>
      <w:r w:rsidRPr="6C9F82C9" w:rsidR="2EA3ECED">
        <w:rPr>
          <w:b w:val="1"/>
          <w:bCs w:val="1"/>
          <w:lang w:val="es-PE"/>
        </w:rPr>
        <w:t>.....................................................................................</w:t>
      </w:r>
      <w:r w:rsidRPr="6C9F82C9" w:rsidR="00680B20">
        <w:rPr>
          <w:b w:val="1"/>
          <w:bCs w:val="1"/>
          <w:lang w:val="es-PE"/>
        </w:rPr>
        <w:t xml:space="preserve"> </w:t>
      </w:r>
      <w:r w:rsidRPr="6C9F82C9" w:rsidR="00680B20">
        <w:rPr>
          <w:lang w:val="es-PE"/>
        </w:rPr>
        <w:t>para</w:t>
      </w:r>
      <w:r w:rsidRPr="6C9F82C9" w:rsidR="00680B20">
        <w:rPr>
          <w:b w:val="1"/>
          <w:bCs w:val="1"/>
          <w:lang w:val="es-PE"/>
        </w:rPr>
        <w:t xml:space="preserve"> </w:t>
      </w:r>
      <w:r w:rsidRPr="6C9F82C9" w:rsidR="00680B20">
        <w:rPr>
          <w:lang w:val="es-PE"/>
        </w:rPr>
        <w:t xml:space="preserve">que se le otorgue cobertura producto del siniestro ocurrido el 13 de enero de 2025, conforme a la Póliza de Seguro Obligatorio de Accidentes de Tránsito </w:t>
      </w:r>
      <w:r w:rsidRPr="6C9F82C9" w:rsidR="00680B20">
        <w:rPr>
          <w:lang w:val="es-PE"/>
        </w:rPr>
        <w:t>n.°</w:t>
      </w:r>
      <w:r w:rsidRPr="6C9F82C9" w:rsidR="00680B20">
        <w:rPr>
          <w:lang w:val="es-PE"/>
        </w:rPr>
        <w:t xml:space="preserve"> </w:t>
      </w:r>
      <w:r w:rsidRPr="6C9F82C9" w:rsidR="3A1E4C8A">
        <w:rPr>
          <w:lang w:val="es-PE"/>
        </w:rPr>
        <w:t>........................................................</w:t>
      </w:r>
      <w:r w:rsidRPr="6C9F82C9" w:rsidR="00680B20">
        <w:rPr>
          <w:lang w:val="es-PE"/>
        </w:rPr>
        <w:t xml:space="preserve"> (en adelante, el SOAT). </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02C648BB">
      <w:pPr>
        <w:jc w:val="right"/>
        <w:outlineLvl w:val="0"/>
        <w:rPr>
          <w:lang w:val="es-PE"/>
        </w:rPr>
      </w:pPr>
      <w:r w:rsidRPr="00020D94">
        <w:rPr>
          <w:lang w:val="es-PE"/>
        </w:rPr>
        <w:t>Lima,</w:t>
      </w:r>
      <w:r w:rsidRPr="00020D94" w:rsidR="009D4785">
        <w:rPr>
          <w:lang w:val="es-PE"/>
        </w:rPr>
        <w:t xml:space="preserve"> </w:t>
      </w:r>
      <w:r w:rsidR="00680B20">
        <w:rPr>
          <w:lang w:val="es-PE"/>
        </w:rPr>
        <w:t>10</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020D94" w:rsidR="00804FBA" w:rsidP="00425565" w:rsidRDefault="00804FBA" w14:paraId="2C8A5CBC" w14:textId="77777777">
      <w:pPr>
        <w:jc w:val="both"/>
        <w:rPr>
          <w:b/>
          <w:bCs/>
          <w:i/>
          <w:iCs/>
          <w:lang w:val="es-ES_tradnl"/>
        </w:rPr>
      </w:pPr>
    </w:p>
    <w:p w:rsidRPr="00020D94" w:rsidR="003F73A8" w:rsidP="00425565" w:rsidRDefault="003F73A8" w14:paraId="00714C2C" w14:textId="77777777">
      <w:pPr>
        <w:jc w:val="both"/>
        <w:rPr>
          <w:b/>
          <w:bCs/>
          <w:i/>
          <w:iCs/>
          <w:lang w:val="es-ES_tradnl"/>
        </w:rPr>
      </w:pPr>
      <w:r w:rsidRPr="00020D94">
        <w:rPr>
          <w:b/>
          <w:bCs/>
          <w:i/>
          <w:iCs/>
          <w:lang w:val="es-ES_tradnl"/>
        </w:rPr>
        <w:t>La Secretaría Técnica certifica que la presente resolución cuenta con el voto de los vocales cuyos nombres figuran en el presente documento.</w:t>
      </w:r>
    </w:p>
    <w:p w:rsidRPr="00020D94" w:rsidR="00707C3F" w:rsidP="00247BE2" w:rsidRDefault="00707C3F" w14:paraId="52D37E4A" w14:textId="77777777">
      <w:pPr>
        <w:spacing w:line="360" w:lineRule="auto"/>
        <w:jc w:val="both"/>
        <w:rPr>
          <w:b/>
          <w:bCs/>
          <w:i/>
          <w:iCs/>
          <w:lang w:val="es-ES_tradnl"/>
        </w:rPr>
      </w:pPr>
    </w:p>
    <w:p w:rsidRPr="00020D94" w:rsidR="00707C3F" w:rsidP="00247BE2" w:rsidRDefault="00707C3F" w14:paraId="30ED2D98" w14:textId="547A44C6">
      <w:pPr>
        <w:spacing w:line="360" w:lineRule="auto"/>
        <w:jc w:val="center"/>
        <w:rPr>
          <w:b/>
          <w:bCs/>
        </w:rPr>
      </w:pPr>
      <w:r w:rsidRPr="00020D94">
        <w:rPr>
          <w:b/>
          <w:bCs/>
        </w:rPr>
        <w:t xml:space="preserve">Rolando Eyzaguirre </w:t>
      </w:r>
      <w:proofErr w:type="spellStart"/>
      <w:r w:rsidRPr="00020D94">
        <w:rPr>
          <w:b/>
          <w:bCs/>
        </w:rPr>
        <w:t>Maccan</w:t>
      </w:r>
      <w:proofErr w:type="spellEnd"/>
      <w:r w:rsidRPr="00020D94">
        <w:rPr>
          <w:b/>
          <w:bCs/>
        </w:rPr>
        <w:t xml:space="preserve"> – </w:t>
      </w:r>
      <w:proofErr w:type="gramStart"/>
      <w:r w:rsidRPr="00020D94" w:rsidR="00E4456F">
        <w:rPr>
          <w:b/>
          <w:bCs/>
        </w:rPr>
        <w:t>Presidente</w:t>
      </w:r>
      <w:proofErr w:type="gramEnd"/>
    </w:p>
    <w:p w:rsidRPr="00020D94" w:rsidR="00BB4CEC" w:rsidP="00247BE2" w:rsidRDefault="00BB4CEC" w14:paraId="01720D6D" w14:textId="7AD41673">
      <w:pPr>
        <w:spacing w:line="360" w:lineRule="auto"/>
        <w:jc w:val="center"/>
        <w:rPr>
          <w:b/>
          <w:bCs/>
        </w:rPr>
      </w:pPr>
      <w:r w:rsidRPr="00020D94">
        <w:rPr>
          <w:b/>
          <w:bCs/>
        </w:rPr>
        <w:t>María Eugenia Valdez Fernández Baca –</w:t>
      </w:r>
      <w:r w:rsidRPr="00020D94" w:rsidR="00E4456F">
        <w:rPr>
          <w:b/>
          <w:bCs/>
        </w:rPr>
        <w:t xml:space="preserve"> Vocal</w:t>
      </w:r>
      <w:r w:rsidRPr="00020D94">
        <w:rPr>
          <w:b/>
          <w:bCs/>
        </w:rPr>
        <w:t xml:space="preserve"> </w:t>
      </w:r>
    </w:p>
    <w:p w:rsidRPr="00020D94" w:rsidR="00DD0E29" w:rsidP="00247BE2" w:rsidRDefault="00AD20C0" w14:paraId="487074CF" w14:textId="11EAC2F0">
      <w:pPr>
        <w:spacing w:line="360" w:lineRule="auto"/>
        <w:jc w:val="center"/>
        <w:rPr>
          <w:b/>
          <w:bCs/>
        </w:rPr>
      </w:pPr>
      <w:r w:rsidRPr="00020D94">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74F3" w:rsidP="005F148C" w:rsidRDefault="008174F3" w14:paraId="2378E48F" w14:textId="77777777">
      <w:r>
        <w:separator/>
      </w:r>
    </w:p>
  </w:endnote>
  <w:endnote w:type="continuationSeparator" w:id="0">
    <w:p w:rsidR="008174F3" w:rsidP="005F148C" w:rsidRDefault="008174F3" w14:paraId="4117C0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74F3" w:rsidP="005F148C" w:rsidRDefault="008174F3" w14:paraId="6474A847" w14:textId="77777777">
      <w:r>
        <w:separator/>
      </w:r>
    </w:p>
  </w:footnote>
  <w:footnote w:type="continuationSeparator" w:id="0">
    <w:p w:rsidR="008174F3" w:rsidP="005F148C" w:rsidRDefault="008174F3" w14:paraId="48739729" w14:textId="77777777">
      <w:r>
        <w:continuationSeparator/>
      </w:r>
    </w:p>
  </w:footnote>
  <w:footnote w:id="1">
    <w:p w:rsidRPr="00865FCB" w:rsidR="00680B20" w:rsidP="00680B20" w:rsidRDefault="00680B20" w14:paraId="650931F5" w14:textId="77777777">
      <w:pPr>
        <w:pStyle w:val="Textonotapie"/>
        <w:tabs>
          <w:tab w:val="left" w:pos="284"/>
        </w:tabs>
        <w:spacing w:after="120"/>
        <w:ind w:left="284" w:hanging="284"/>
        <w:rPr>
          <w:sz w:val="18"/>
          <w:szCs w:val="18"/>
          <w:lang w:val="es-MX"/>
        </w:rPr>
      </w:pPr>
      <w:r w:rsidRPr="00865FCB">
        <w:rPr>
          <w:rStyle w:val="Refdenotaalpie"/>
          <w:sz w:val="18"/>
          <w:szCs w:val="18"/>
        </w:rPr>
        <w:footnoteRef/>
      </w:r>
      <w:r w:rsidRPr="00865FCB">
        <w:rPr>
          <w:sz w:val="18"/>
          <w:szCs w:val="18"/>
        </w:rPr>
        <w:t xml:space="preserve"> </w:t>
      </w:r>
      <w:r w:rsidRPr="00865FCB">
        <w:rPr>
          <w:sz w:val="18"/>
          <w:szCs w:val="18"/>
        </w:rPr>
        <w:tab/>
      </w:r>
      <w:hyperlink w:history="1" r:id="rId1">
        <w:r w:rsidRPr="00865FCB">
          <w:rPr>
            <w:rStyle w:val="Hipervnculo"/>
            <w:rFonts w:eastAsia="Arial Unicode MS"/>
            <w:sz w:val="18"/>
            <w:szCs w:val="18"/>
            <w:lang w:val="es-PE"/>
          </w:rPr>
          <w:t>http://www.defaseg.com.pe/reglamento</w:t>
        </w:r>
      </w:hyperlink>
      <w:r w:rsidRPr="00865FCB">
        <w:rPr>
          <w:rFonts w:eastAsia="Arial Unicode MS"/>
          <w:sz w:val="18"/>
          <w:szCs w:val="18"/>
          <w:lang w:val="es-PE"/>
        </w:rPr>
        <w:t xml:space="preserve"> </w:t>
      </w:r>
    </w:p>
  </w:footnote>
  <w:footnote w:id="2">
    <w:p w:rsidRPr="00865FCB" w:rsidR="00680B20" w:rsidP="00680B20" w:rsidRDefault="00680B20" w14:paraId="2CCE603E" w14:textId="77777777">
      <w:pPr>
        <w:pStyle w:val="Textonotapie"/>
        <w:tabs>
          <w:tab w:val="left" w:pos="284"/>
        </w:tabs>
        <w:spacing w:after="60"/>
        <w:ind w:left="284" w:hanging="284"/>
        <w:rPr>
          <w:rStyle w:val="Hipervnculo"/>
          <w:color w:val="000000" w:themeColor="text1"/>
          <w:sz w:val="18"/>
          <w:szCs w:val="18"/>
          <w:lang w:val="es-PE"/>
        </w:rPr>
      </w:pPr>
      <w:r w:rsidRPr="00865FCB">
        <w:rPr>
          <w:rStyle w:val="Refdenotaalpie"/>
          <w:sz w:val="18"/>
          <w:szCs w:val="18"/>
        </w:rPr>
        <w:footnoteRef/>
      </w:r>
      <w:r w:rsidRPr="00865FCB">
        <w:rPr>
          <w:sz w:val="18"/>
          <w:szCs w:val="18"/>
          <w:lang w:val="es-PE"/>
        </w:rPr>
        <w:t xml:space="preserve"> </w:t>
      </w:r>
      <w:r w:rsidRPr="00865FCB">
        <w:rPr>
          <w:sz w:val="18"/>
          <w:szCs w:val="18"/>
          <w:lang w:val="es-PE"/>
        </w:rPr>
        <w:tab/>
      </w:r>
      <w:r w:rsidRPr="00865FCB">
        <w:rPr>
          <w:rStyle w:val="Hipervnculo"/>
          <w:b/>
          <w:bCs/>
          <w:color w:val="000000" w:themeColor="text1"/>
          <w:sz w:val="18"/>
          <w:szCs w:val="18"/>
          <w:lang w:val="es-PE"/>
        </w:rPr>
        <w:t>Ley del Contrato de Seguro</w:t>
      </w:r>
    </w:p>
    <w:p w:rsidRPr="00865FCB" w:rsidR="00680B20" w:rsidP="00680B20" w:rsidRDefault="00680B20" w14:paraId="044EF502" w14:textId="77777777">
      <w:pPr>
        <w:pStyle w:val="Textonotapie"/>
        <w:tabs>
          <w:tab w:val="left" w:pos="284"/>
        </w:tabs>
        <w:spacing w:after="60"/>
        <w:ind w:left="284" w:hanging="284"/>
        <w:rPr>
          <w:rStyle w:val="Hipervnculo"/>
          <w:b/>
          <w:bCs/>
          <w:color w:val="000000" w:themeColor="text1"/>
          <w:sz w:val="18"/>
          <w:szCs w:val="18"/>
          <w:lang w:val="es-PE"/>
        </w:rPr>
      </w:pPr>
      <w:r w:rsidRPr="00865FCB">
        <w:rPr>
          <w:rStyle w:val="Hipervnculo"/>
          <w:b/>
          <w:bCs/>
          <w:color w:val="000000" w:themeColor="text1"/>
          <w:sz w:val="18"/>
          <w:szCs w:val="18"/>
          <w:lang w:val="es-PE"/>
        </w:rPr>
        <w:tab/>
      </w:r>
      <w:r w:rsidRPr="00865FCB">
        <w:rPr>
          <w:rStyle w:val="Hipervnculo"/>
          <w:b/>
          <w:bCs/>
          <w:color w:val="000000" w:themeColor="text1"/>
          <w:sz w:val="18"/>
          <w:szCs w:val="18"/>
          <w:lang w:val="es-PE"/>
        </w:rPr>
        <w:t>Artículo 1.- Definición</w:t>
      </w:r>
    </w:p>
    <w:p w:rsidRPr="00865FCB" w:rsidR="00680B20" w:rsidP="00680B20" w:rsidRDefault="00680B20" w14:paraId="6419EFF8" w14:textId="77777777">
      <w:pPr>
        <w:pStyle w:val="Textonotapie"/>
        <w:tabs>
          <w:tab w:val="left" w:pos="284"/>
        </w:tabs>
        <w:spacing w:after="120"/>
        <w:ind w:left="284" w:hanging="284"/>
        <w:rPr>
          <w:rStyle w:val="Hipervnculo"/>
          <w:color w:val="000000" w:themeColor="text1"/>
          <w:sz w:val="18"/>
          <w:szCs w:val="18"/>
          <w:lang w:val="es-PE"/>
        </w:rPr>
      </w:pPr>
      <w:r w:rsidRPr="00865FCB">
        <w:rPr>
          <w:rStyle w:val="Hipervnculo"/>
          <w:color w:val="000000" w:themeColor="text1"/>
          <w:sz w:val="18"/>
          <w:szCs w:val="18"/>
          <w:lang w:val="es-PE"/>
        </w:rPr>
        <w:tab/>
      </w:r>
      <w:r w:rsidRPr="00865FCB">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865FCB" w:rsidR="00680B20" w:rsidP="00680B20" w:rsidRDefault="00680B20" w14:paraId="5217D74E" w14:textId="77777777">
      <w:pPr>
        <w:pStyle w:val="Textonotapie"/>
        <w:tabs>
          <w:tab w:val="left" w:pos="284"/>
        </w:tabs>
        <w:spacing w:after="120"/>
        <w:ind w:left="284" w:hanging="284"/>
        <w:rPr>
          <w:b/>
          <w:bCs/>
          <w:sz w:val="18"/>
          <w:szCs w:val="18"/>
        </w:rPr>
      </w:pPr>
      <w:r w:rsidRPr="00865FCB">
        <w:rPr>
          <w:rStyle w:val="Refdenotaalpie"/>
          <w:sz w:val="18"/>
          <w:szCs w:val="18"/>
        </w:rPr>
        <w:footnoteRef/>
      </w:r>
      <w:r w:rsidRPr="00865FCB">
        <w:rPr>
          <w:sz w:val="18"/>
          <w:szCs w:val="18"/>
          <w:lang w:val="es-PE"/>
        </w:rPr>
        <w:t xml:space="preserve"> </w:t>
      </w:r>
      <w:r w:rsidRPr="00865FCB">
        <w:rPr>
          <w:sz w:val="18"/>
          <w:szCs w:val="18"/>
          <w:lang w:val="es-PE"/>
        </w:rPr>
        <w:tab/>
      </w:r>
      <w:r w:rsidRPr="00865FCB">
        <w:rPr>
          <w:b/>
          <w:bCs/>
          <w:sz w:val="18"/>
          <w:szCs w:val="18"/>
          <w:lang w:val="es-PE"/>
        </w:rPr>
        <w:t>Código Civil</w:t>
      </w:r>
    </w:p>
    <w:p w:rsidRPr="00865FCB" w:rsidR="00680B20" w:rsidP="00680B20" w:rsidRDefault="00680B20" w14:paraId="77ABBFD9" w14:textId="77777777">
      <w:pPr>
        <w:pStyle w:val="Textonotapie"/>
        <w:tabs>
          <w:tab w:val="left" w:pos="284"/>
        </w:tabs>
        <w:spacing w:after="120"/>
        <w:ind w:left="284" w:hanging="284"/>
        <w:rPr>
          <w:sz w:val="18"/>
          <w:szCs w:val="18"/>
          <w:lang w:val="es-PE"/>
        </w:rPr>
      </w:pPr>
      <w:r w:rsidRPr="00865FCB">
        <w:rPr>
          <w:b/>
          <w:bCs/>
          <w:sz w:val="18"/>
          <w:szCs w:val="18"/>
          <w:lang w:val="es-PE"/>
        </w:rPr>
        <w:tab/>
      </w:r>
      <w:r w:rsidRPr="00865FCB">
        <w:rPr>
          <w:b/>
          <w:bCs/>
          <w:sz w:val="18"/>
          <w:szCs w:val="18"/>
          <w:lang w:val="es-PE"/>
        </w:rPr>
        <w:t>Artículo 1361.-</w:t>
      </w:r>
      <w:r w:rsidRPr="00865FCB">
        <w:rPr>
          <w:sz w:val="18"/>
          <w:szCs w:val="18"/>
          <w:lang w:val="es-PE"/>
        </w:rPr>
        <w:t> Los contratos son obligatorios en cuanto se haya expresado en ellos.</w:t>
      </w:r>
    </w:p>
    <w:p w:rsidRPr="00865FCB" w:rsidR="00680B20" w:rsidP="00680B20" w:rsidRDefault="00680B20" w14:paraId="12EBD2FC" w14:textId="77777777">
      <w:pPr>
        <w:pStyle w:val="Textonotapie"/>
        <w:tabs>
          <w:tab w:val="left" w:pos="284"/>
        </w:tabs>
        <w:spacing w:after="120"/>
        <w:ind w:left="284" w:hanging="284"/>
        <w:rPr>
          <w:sz w:val="18"/>
          <w:szCs w:val="18"/>
          <w:lang w:val="es-PE"/>
        </w:rPr>
      </w:pPr>
      <w:r w:rsidRPr="00865FCB">
        <w:rPr>
          <w:sz w:val="18"/>
          <w:szCs w:val="18"/>
          <w:lang w:val="es-PE"/>
        </w:rPr>
        <w:tab/>
      </w:r>
      <w:r w:rsidRPr="00865FCB">
        <w:rPr>
          <w:sz w:val="18"/>
          <w:szCs w:val="18"/>
          <w:lang w:val="es-PE"/>
        </w:rPr>
        <w:t>Se presume que la declaración expresada en el contrato responde a la voluntad común de las partes y quien niegue esa coincidencia debe probarla.</w:t>
      </w:r>
    </w:p>
  </w:footnote>
  <w:footnote w:id="4">
    <w:p w:rsidRPr="00865FCB" w:rsidR="00680B20" w:rsidP="00680B20" w:rsidRDefault="00680B20" w14:paraId="7C09B76E" w14:textId="77777777">
      <w:pPr>
        <w:pStyle w:val="Textonotapie"/>
        <w:tabs>
          <w:tab w:val="left" w:pos="284"/>
        </w:tabs>
        <w:spacing w:after="120"/>
        <w:ind w:left="284" w:hanging="284"/>
        <w:rPr>
          <w:b/>
          <w:bCs/>
          <w:sz w:val="18"/>
          <w:szCs w:val="18"/>
          <w:lang w:val="es-MX"/>
        </w:rPr>
      </w:pPr>
      <w:r w:rsidRPr="00865FCB">
        <w:rPr>
          <w:rStyle w:val="Refdenotaalpie"/>
          <w:sz w:val="18"/>
          <w:szCs w:val="18"/>
        </w:rPr>
        <w:footnoteRef/>
      </w:r>
      <w:r w:rsidRPr="00865FCB">
        <w:rPr>
          <w:sz w:val="18"/>
          <w:szCs w:val="18"/>
          <w:lang w:val="es-PE"/>
        </w:rPr>
        <w:t xml:space="preserve"> </w:t>
      </w:r>
      <w:r w:rsidRPr="00865FCB">
        <w:rPr>
          <w:sz w:val="18"/>
          <w:szCs w:val="18"/>
          <w:lang w:val="es-PE"/>
        </w:rPr>
        <w:tab/>
      </w:r>
      <w:r w:rsidRPr="00865FCB">
        <w:rPr>
          <w:b/>
          <w:bCs/>
          <w:sz w:val="18"/>
          <w:szCs w:val="18"/>
          <w:lang w:val="es-MX"/>
        </w:rPr>
        <w:t>Código Procesal Civil</w:t>
      </w:r>
    </w:p>
    <w:p w:rsidRPr="00865FCB" w:rsidR="00680B20" w:rsidP="00680B20" w:rsidRDefault="00680B20" w14:paraId="1BCEE568" w14:textId="77777777">
      <w:pPr>
        <w:pStyle w:val="Textonotapie"/>
        <w:tabs>
          <w:tab w:val="left" w:pos="284"/>
        </w:tabs>
        <w:spacing w:after="120"/>
        <w:ind w:left="284" w:hanging="284"/>
        <w:rPr>
          <w:sz w:val="18"/>
          <w:szCs w:val="18"/>
          <w:lang w:val="es-MX"/>
        </w:rPr>
      </w:pPr>
      <w:r w:rsidRPr="00865FCB">
        <w:rPr>
          <w:b/>
          <w:bCs/>
          <w:sz w:val="18"/>
          <w:szCs w:val="18"/>
          <w:lang w:val="es-MX"/>
        </w:rPr>
        <w:tab/>
      </w:r>
      <w:r w:rsidRPr="00865FCB">
        <w:rPr>
          <w:b/>
          <w:bCs/>
          <w:sz w:val="18"/>
          <w:szCs w:val="18"/>
          <w:lang w:val="es-MX"/>
        </w:rPr>
        <w:t xml:space="preserve">Artículo 196.- Carga de la </w:t>
      </w:r>
      <w:proofErr w:type="gramStart"/>
      <w:r w:rsidRPr="00865FCB">
        <w:rPr>
          <w:b/>
          <w:bCs/>
          <w:sz w:val="18"/>
          <w:szCs w:val="18"/>
          <w:lang w:val="es-MX"/>
        </w:rPr>
        <w:t>prueba.-</w:t>
      </w:r>
      <w:proofErr w:type="gramEnd"/>
      <w:r w:rsidRPr="00865FCB">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865FCB" w:rsidR="00680B20" w:rsidP="00680B20" w:rsidRDefault="00680B20" w14:paraId="6B4396BA" w14:textId="77777777">
      <w:pPr>
        <w:pStyle w:val="Textonotapie"/>
        <w:tabs>
          <w:tab w:val="left" w:pos="284"/>
        </w:tabs>
        <w:spacing w:after="120"/>
        <w:ind w:left="284" w:hanging="284"/>
        <w:rPr>
          <w:b/>
          <w:bCs/>
          <w:sz w:val="18"/>
          <w:szCs w:val="18"/>
          <w:lang w:val="es-MX"/>
        </w:rPr>
      </w:pPr>
      <w:r w:rsidRPr="00865FCB">
        <w:rPr>
          <w:rStyle w:val="Refdenotaalpie"/>
          <w:sz w:val="18"/>
          <w:szCs w:val="18"/>
        </w:rPr>
        <w:footnoteRef/>
      </w:r>
      <w:r w:rsidRPr="00865FCB">
        <w:rPr>
          <w:sz w:val="18"/>
          <w:szCs w:val="18"/>
        </w:rPr>
        <w:t xml:space="preserve"> </w:t>
      </w:r>
      <w:r w:rsidRPr="00865FCB">
        <w:rPr>
          <w:sz w:val="18"/>
          <w:szCs w:val="18"/>
        </w:rPr>
        <w:tab/>
      </w:r>
      <w:r w:rsidRPr="00865FCB">
        <w:rPr>
          <w:b/>
          <w:bCs/>
          <w:sz w:val="18"/>
          <w:szCs w:val="18"/>
        </w:rPr>
        <w:t>Reglamento de la DEFASEG</w:t>
      </w:r>
    </w:p>
    <w:p w:rsidRPr="00865FCB" w:rsidR="00680B20" w:rsidP="00680B20" w:rsidRDefault="00680B20" w14:paraId="1AFA5682" w14:textId="77777777">
      <w:pPr>
        <w:pStyle w:val="Textonotapie"/>
        <w:tabs>
          <w:tab w:val="left" w:pos="284"/>
        </w:tabs>
        <w:spacing w:after="120"/>
        <w:ind w:left="284" w:hanging="284"/>
        <w:rPr>
          <w:rStyle w:val="Hipervnculo"/>
          <w:color w:val="000000" w:themeColor="text1"/>
          <w:sz w:val="18"/>
          <w:szCs w:val="18"/>
          <w:lang w:val="es-PE"/>
        </w:rPr>
      </w:pPr>
      <w:r w:rsidRPr="00865FCB">
        <w:rPr>
          <w:rStyle w:val="Hipervnculo"/>
          <w:b/>
          <w:bCs/>
          <w:color w:val="000000" w:themeColor="text1"/>
          <w:sz w:val="18"/>
          <w:szCs w:val="18"/>
          <w:lang w:val="es-PE"/>
        </w:rPr>
        <w:tab/>
      </w:r>
      <w:r w:rsidRPr="00865FCB">
        <w:rPr>
          <w:rStyle w:val="Hipervnculo"/>
          <w:b/>
          <w:bCs/>
          <w:color w:val="000000" w:themeColor="text1"/>
          <w:sz w:val="18"/>
          <w:szCs w:val="18"/>
          <w:lang w:val="es-PE"/>
        </w:rPr>
        <w:t xml:space="preserve">4. Competencia </w:t>
      </w:r>
    </w:p>
    <w:p w:rsidRPr="00865FCB" w:rsidR="00680B20" w:rsidP="00680B20" w:rsidRDefault="00680B20" w14:paraId="10D5734D" w14:textId="77777777">
      <w:pPr>
        <w:pStyle w:val="Textonotapie"/>
        <w:tabs>
          <w:tab w:val="left" w:pos="284"/>
        </w:tabs>
        <w:spacing w:after="120"/>
        <w:ind w:left="284" w:hanging="284"/>
        <w:rPr>
          <w:rStyle w:val="Hipervnculo"/>
          <w:color w:val="000000" w:themeColor="text1"/>
          <w:sz w:val="18"/>
          <w:szCs w:val="18"/>
          <w:lang w:val="es-PE"/>
        </w:rPr>
      </w:pP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865FCB" w:rsidR="00680B20" w:rsidP="00680B20" w:rsidRDefault="00680B20" w14:paraId="67B4FBAE" w14:textId="77777777">
      <w:pPr>
        <w:pStyle w:val="Textonotapie"/>
        <w:tabs>
          <w:tab w:val="left" w:pos="284"/>
          <w:tab w:val="left" w:pos="567"/>
        </w:tabs>
        <w:spacing w:after="120"/>
        <w:ind w:left="567" w:hanging="567"/>
        <w:rPr>
          <w:rStyle w:val="Hipervnculo"/>
          <w:color w:val="000000" w:themeColor="text1"/>
          <w:sz w:val="18"/>
          <w:szCs w:val="18"/>
          <w:lang w:val="es-PE"/>
        </w:rPr>
      </w:pP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1. </w:t>
      </w: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865FCB" w:rsidR="00680B20" w:rsidP="00680B20" w:rsidRDefault="00680B20" w14:paraId="25283095" w14:textId="77777777">
      <w:pPr>
        <w:pStyle w:val="Textonotapie"/>
        <w:tabs>
          <w:tab w:val="left" w:pos="284"/>
          <w:tab w:val="left" w:pos="567"/>
        </w:tabs>
        <w:spacing w:after="120"/>
        <w:ind w:left="567" w:hanging="567"/>
        <w:rPr>
          <w:rStyle w:val="Hipervnculo"/>
          <w:color w:val="000000" w:themeColor="text1"/>
          <w:sz w:val="18"/>
          <w:szCs w:val="18"/>
          <w:lang w:val="es-PE"/>
        </w:rPr>
      </w:pP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2. </w:t>
      </w: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865FCB" w:rsidR="00680B20" w:rsidP="00680B20" w:rsidRDefault="00680B20" w14:paraId="11DC8CF6" w14:textId="77777777">
      <w:pPr>
        <w:pStyle w:val="Textonotapie"/>
        <w:tabs>
          <w:tab w:val="left" w:pos="284"/>
          <w:tab w:val="left" w:pos="567"/>
        </w:tabs>
        <w:spacing w:after="120"/>
        <w:ind w:left="567" w:hanging="567"/>
        <w:rPr>
          <w:rStyle w:val="Hipervnculo"/>
          <w:color w:val="000000" w:themeColor="text1"/>
          <w:sz w:val="18"/>
          <w:szCs w:val="18"/>
          <w:lang w:val="es-PE"/>
        </w:rPr>
      </w:pP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3. </w:t>
      </w:r>
      <w:r w:rsidRPr="00865FCB">
        <w:rPr>
          <w:rStyle w:val="Hipervnculo"/>
          <w:color w:val="000000" w:themeColor="text1"/>
          <w:sz w:val="18"/>
          <w:szCs w:val="18"/>
          <w:lang w:val="es-PE"/>
        </w:rPr>
        <w:tab/>
      </w:r>
      <w:r w:rsidRPr="00865FCB">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865FCB" w:rsidR="00680B20" w:rsidP="00680B20" w:rsidRDefault="00680B20" w14:paraId="5518821F" w14:textId="77777777">
      <w:pPr>
        <w:pStyle w:val="Textonotapie"/>
        <w:tabs>
          <w:tab w:val="left" w:pos="284"/>
        </w:tabs>
        <w:spacing w:after="120"/>
        <w:ind w:left="284" w:hanging="284"/>
        <w:rPr>
          <w:rStyle w:val="Hipervnculo"/>
          <w:color w:val="000000" w:themeColor="text1"/>
          <w:sz w:val="18"/>
          <w:szCs w:val="18"/>
          <w:lang w:val="en-US"/>
        </w:rPr>
      </w:pPr>
      <w:r w:rsidRPr="00865FCB">
        <w:rPr>
          <w:rStyle w:val="Refdenotaalpie"/>
          <w:sz w:val="18"/>
          <w:szCs w:val="18"/>
        </w:rPr>
        <w:footnoteRef/>
      </w:r>
      <w:r w:rsidRPr="00865FCB">
        <w:rPr>
          <w:sz w:val="18"/>
          <w:szCs w:val="18"/>
        </w:rPr>
        <w:t xml:space="preserve">  </w:t>
      </w:r>
      <w:r w:rsidRPr="00865FCB">
        <w:rPr>
          <w:sz w:val="18"/>
          <w:szCs w:val="18"/>
        </w:rPr>
        <w:tab/>
      </w:r>
      <w:r w:rsidRPr="00865FCB">
        <w:rPr>
          <w:sz w:val="18"/>
          <w:szCs w:val="18"/>
        </w:rPr>
        <w:t xml:space="preserve">Artículo modificado por el </w:t>
      </w:r>
      <w:r w:rsidRPr="00865FCB">
        <w:rPr>
          <w:rStyle w:val="Hipervnculo"/>
          <w:color w:val="000000" w:themeColor="text1"/>
          <w:sz w:val="18"/>
          <w:szCs w:val="18"/>
        </w:rPr>
        <w:t xml:space="preserve">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023-2021-MTC, Decreto Supremo que modifica el Reglamento Nacional de Tránsito, aprobado por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033-2001-MTC y el Reglamento Nacional de Vehículos, aprobado por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058-2003-MTC, para establecer las reglas de circulación de los vehículos de movilidad personal y otras disposiciones.</w:t>
      </w:r>
    </w:p>
  </w:footnote>
  <w:footnote w:id="7">
    <w:p w:rsidRPr="00865FCB" w:rsidR="00680B20" w:rsidP="00680B20" w:rsidRDefault="00680B20" w14:paraId="2844C76A" w14:textId="77777777">
      <w:pPr>
        <w:pStyle w:val="Textonotapie"/>
        <w:tabs>
          <w:tab w:val="left" w:pos="284"/>
        </w:tabs>
        <w:spacing w:after="120"/>
        <w:ind w:left="284" w:hanging="284"/>
        <w:rPr>
          <w:sz w:val="18"/>
          <w:szCs w:val="18"/>
          <w:lang w:val="es-MX"/>
        </w:rPr>
      </w:pPr>
      <w:r w:rsidRPr="00865FCB">
        <w:rPr>
          <w:rStyle w:val="Refdenotaalpie"/>
          <w:sz w:val="18"/>
          <w:szCs w:val="18"/>
        </w:rPr>
        <w:footnoteRef/>
      </w:r>
      <w:r w:rsidRPr="00865FCB">
        <w:rPr>
          <w:sz w:val="18"/>
          <w:szCs w:val="18"/>
        </w:rPr>
        <w:t xml:space="preserve"> </w:t>
      </w:r>
      <w:r w:rsidRPr="00865FCB">
        <w:rPr>
          <w:sz w:val="18"/>
          <w:szCs w:val="18"/>
        </w:rPr>
        <w:tab/>
      </w:r>
      <w:r w:rsidRPr="00865FCB">
        <w:rPr>
          <w:rStyle w:val="Hipervnculo"/>
          <w:color w:val="000000" w:themeColor="text1"/>
          <w:sz w:val="18"/>
          <w:szCs w:val="18"/>
        </w:rPr>
        <w:t xml:space="preserve">El Reglamento Nacional de Vehículos fue aprobado por el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058-2003-MTC</w:t>
      </w:r>
    </w:p>
  </w:footnote>
  <w:footnote w:id="8">
    <w:p w:rsidRPr="00865FCB" w:rsidR="00680B20" w:rsidP="00680B20" w:rsidRDefault="00680B20" w14:paraId="71A2F36A" w14:textId="77777777">
      <w:pPr>
        <w:pStyle w:val="Textonotapie"/>
        <w:tabs>
          <w:tab w:val="left" w:pos="284"/>
        </w:tabs>
        <w:spacing w:after="120"/>
        <w:ind w:left="284" w:hanging="284"/>
        <w:rPr>
          <w:rStyle w:val="Hipervnculo"/>
          <w:color w:val="000000" w:themeColor="text1"/>
          <w:sz w:val="18"/>
          <w:szCs w:val="18"/>
          <w:lang w:val="en-US"/>
        </w:rPr>
      </w:pPr>
      <w:r w:rsidRPr="00865FCB">
        <w:rPr>
          <w:rStyle w:val="Refdenotaalpie"/>
          <w:sz w:val="18"/>
          <w:szCs w:val="18"/>
        </w:rPr>
        <w:footnoteRef/>
      </w:r>
      <w:r w:rsidRPr="00865FCB">
        <w:rPr>
          <w:sz w:val="18"/>
          <w:szCs w:val="18"/>
        </w:rPr>
        <w:t xml:space="preserve"> </w:t>
      </w:r>
      <w:r w:rsidRPr="00865FCB">
        <w:rPr>
          <w:sz w:val="18"/>
          <w:szCs w:val="18"/>
        </w:rPr>
        <w:tab/>
      </w:r>
      <w:r w:rsidRPr="00865FCB">
        <w:rPr>
          <w:rStyle w:val="Hipervnculo"/>
          <w:color w:val="000000" w:themeColor="text1"/>
          <w:sz w:val="18"/>
          <w:szCs w:val="18"/>
        </w:rPr>
        <w:t xml:space="preserve"> </w:t>
      </w:r>
      <w:r w:rsidRPr="00865FCB">
        <w:rPr>
          <w:rStyle w:val="Hipervnculo"/>
          <w:color w:val="000000" w:themeColor="text1"/>
          <w:sz w:val="18"/>
          <w:szCs w:val="18"/>
          <w:lang w:val="es-PE"/>
        </w:rPr>
        <w:t xml:space="preserve">El Decreto </w:t>
      </w:r>
      <w:r w:rsidRPr="00865FCB">
        <w:rPr>
          <w:rStyle w:val="Hipervnculo"/>
          <w:color w:val="000000" w:themeColor="text1"/>
          <w:sz w:val="18"/>
          <w:szCs w:val="18"/>
        </w:rPr>
        <w:t xml:space="preserve">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27-2021-MTC, publicado el 1 de septiembre de 2021, modificó, el Anexo I (Clasificación vehicular) del Reglamento Nacional de Vehículos aprobado por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58-2003-MTC.</w:t>
      </w:r>
    </w:p>
  </w:footnote>
  <w:footnote w:id="9">
    <w:p w:rsidRPr="00865FCB" w:rsidR="00680B20" w:rsidP="00680B20" w:rsidRDefault="00680B20" w14:paraId="13611568" w14:textId="77777777">
      <w:pPr>
        <w:pStyle w:val="Textonotapie"/>
        <w:tabs>
          <w:tab w:val="left" w:pos="284"/>
        </w:tabs>
        <w:spacing w:after="120"/>
        <w:ind w:left="284" w:hanging="284"/>
        <w:rPr>
          <w:rStyle w:val="Hipervnculo"/>
          <w:color w:val="000000" w:themeColor="text1"/>
          <w:sz w:val="18"/>
          <w:szCs w:val="18"/>
          <w:lang w:val="es-PE"/>
        </w:rPr>
      </w:pPr>
      <w:r w:rsidRPr="00865FCB">
        <w:rPr>
          <w:rStyle w:val="Refdenotaalpie"/>
          <w:sz w:val="18"/>
          <w:szCs w:val="18"/>
        </w:rPr>
        <w:footnoteRef/>
      </w:r>
      <w:r w:rsidRPr="00865FCB">
        <w:rPr>
          <w:sz w:val="18"/>
          <w:szCs w:val="18"/>
        </w:rPr>
        <w:t xml:space="preserve"> </w:t>
      </w:r>
      <w:r w:rsidRPr="00865FCB">
        <w:rPr>
          <w:sz w:val="18"/>
          <w:szCs w:val="18"/>
        </w:rPr>
        <w:tab/>
      </w:r>
      <w:r w:rsidRPr="00865FCB">
        <w:rPr>
          <w:rStyle w:val="Hipervnculo"/>
          <w:color w:val="000000" w:themeColor="text1"/>
          <w:sz w:val="18"/>
          <w:szCs w:val="18"/>
          <w:lang w:val="es-PE"/>
        </w:rPr>
        <w:t xml:space="preserve">Definición de acuerdo con la </w:t>
      </w:r>
      <w:r w:rsidRPr="00865FCB">
        <w:rPr>
          <w:rStyle w:val="Hipervnculo"/>
          <w:color w:val="000000" w:themeColor="text1"/>
          <w:sz w:val="18"/>
          <w:szCs w:val="18"/>
        </w:rPr>
        <w:t xml:space="preserve">Resolución Directoral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4848-2006-MTC/15, que aprobó la Directiva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2-2006-MTC/15 que establece la Clasificación Vehicular y Estandarización de Características Registrables Vehiculares. </w:t>
      </w:r>
    </w:p>
  </w:footnote>
  <w:footnote w:id="10">
    <w:p w:rsidRPr="00865FCB" w:rsidR="00680B20" w:rsidP="00680B20" w:rsidRDefault="00680B20" w14:paraId="0E7EFFD7" w14:textId="77777777">
      <w:pPr>
        <w:pStyle w:val="Textonotapie"/>
        <w:tabs>
          <w:tab w:val="left" w:pos="284"/>
        </w:tabs>
        <w:spacing w:after="120"/>
        <w:ind w:left="284" w:hanging="284"/>
        <w:rPr>
          <w:rStyle w:val="Hipervnculo"/>
          <w:color w:val="000000" w:themeColor="text1"/>
          <w:sz w:val="18"/>
          <w:szCs w:val="18"/>
          <w:lang w:val="en-US"/>
        </w:rPr>
      </w:pPr>
      <w:r w:rsidRPr="00865FCB">
        <w:rPr>
          <w:rStyle w:val="Refdenotaalpie"/>
          <w:sz w:val="18"/>
          <w:szCs w:val="18"/>
        </w:rPr>
        <w:footnoteRef/>
      </w:r>
      <w:r w:rsidRPr="00865FCB">
        <w:rPr>
          <w:sz w:val="18"/>
          <w:szCs w:val="18"/>
        </w:rPr>
        <w:t xml:space="preserve"> </w:t>
      </w:r>
      <w:r w:rsidRPr="00865FCB">
        <w:rPr>
          <w:sz w:val="18"/>
          <w:szCs w:val="18"/>
        </w:rPr>
        <w:tab/>
      </w:r>
      <w:r w:rsidRPr="00865FCB">
        <w:rPr>
          <w:rStyle w:val="Hipervnculo"/>
          <w:color w:val="000000" w:themeColor="text1"/>
          <w:sz w:val="18"/>
          <w:szCs w:val="18"/>
        </w:rPr>
        <w:t xml:space="preserve">El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xml:space="preserve"> 27-2021-MTC, modificó la definición de la Categoría L1 de la Clasificación vehicular del Reglamento Nacional de Vehículos, cuyo texto, de acuerdo con el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23-2021-MTC, era el siguiente: «</w:t>
      </w:r>
      <w:r w:rsidRPr="00865FCB">
        <w:rPr>
          <w:rStyle w:val="Hipervnculo"/>
          <w:i/>
          <w:iCs/>
          <w:color w:val="000000" w:themeColor="text1"/>
          <w:sz w:val="18"/>
          <w:szCs w:val="18"/>
        </w:rPr>
        <w:t>Vehículos con dos (2) ruedas, con una velocidad superior a 25 km/h y una velocidad máxima de construcción de 50 km/h y con una cilindrada de hasta 50 cm3 en el caso de un motor térmico o de cualquier otro medio de propulsión</w:t>
      </w:r>
      <w:r w:rsidRPr="00865FCB">
        <w:rPr>
          <w:rStyle w:val="Hipervnculo"/>
          <w:color w:val="000000" w:themeColor="text1"/>
          <w:sz w:val="18"/>
          <w:szCs w:val="18"/>
        </w:rPr>
        <w:t xml:space="preserve">». Como se observa, el Decreto Supremo </w:t>
      </w:r>
      <w:proofErr w:type="spellStart"/>
      <w:r w:rsidRPr="00865FCB">
        <w:rPr>
          <w:rStyle w:val="Hipervnculo"/>
          <w:color w:val="000000" w:themeColor="text1"/>
          <w:sz w:val="18"/>
          <w:szCs w:val="18"/>
        </w:rPr>
        <w:t>n.°</w:t>
      </w:r>
      <w:proofErr w:type="spellEnd"/>
      <w:r w:rsidRPr="00865FCB">
        <w:rPr>
          <w:rStyle w:val="Hipervnculo"/>
          <w:color w:val="000000" w:themeColor="text1"/>
          <w:sz w:val="18"/>
          <w:szCs w:val="18"/>
        </w:rPr>
        <w:t> 27-2021-MTC eliminó la referencia “a más de 25km/h».</w:t>
      </w:r>
    </w:p>
  </w:footnote>
  <w:footnote w:id="11">
    <w:p w:rsidRPr="00865FCB" w:rsidR="00680B20" w:rsidP="00680B20" w:rsidRDefault="00680B20" w14:paraId="39299267" w14:textId="77777777">
      <w:pPr>
        <w:pStyle w:val="Textonotapie"/>
        <w:tabs>
          <w:tab w:val="left" w:pos="284"/>
        </w:tabs>
        <w:spacing w:after="120"/>
        <w:ind w:left="284" w:hanging="284"/>
        <w:rPr>
          <w:b/>
          <w:bCs/>
          <w:sz w:val="18"/>
          <w:szCs w:val="18"/>
          <w:lang w:val="es-MX"/>
        </w:rPr>
      </w:pPr>
      <w:r w:rsidRPr="00865FCB">
        <w:rPr>
          <w:rStyle w:val="Refdenotaalpie"/>
          <w:sz w:val="18"/>
          <w:szCs w:val="18"/>
        </w:rPr>
        <w:footnoteRef/>
      </w:r>
      <w:r w:rsidRPr="00865FCB">
        <w:rPr>
          <w:sz w:val="18"/>
          <w:szCs w:val="18"/>
        </w:rPr>
        <w:t xml:space="preserve"> </w:t>
      </w:r>
      <w:r w:rsidRPr="00865FCB">
        <w:rPr>
          <w:sz w:val="18"/>
          <w:szCs w:val="18"/>
        </w:rPr>
        <w:tab/>
      </w:r>
      <w:r w:rsidRPr="00865FCB">
        <w:rPr>
          <w:b/>
          <w:bCs/>
          <w:sz w:val="18"/>
          <w:szCs w:val="18"/>
          <w:lang w:val="es-MX"/>
        </w:rPr>
        <w:t xml:space="preserve">Decreto Supremo </w:t>
      </w:r>
      <w:proofErr w:type="spellStart"/>
      <w:r w:rsidRPr="00865FCB">
        <w:rPr>
          <w:b/>
          <w:bCs/>
          <w:sz w:val="18"/>
          <w:szCs w:val="18"/>
          <w:lang w:val="es-MX"/>
        </w:rPr>
        <w:t>n.°</w:t>
      </w:r>
      <w:proofErr w:type="spellEnd"/>
      <w:r w:rsidRPr="00865FCB">
        <w:rPr>
          <w:b/>
          <w:bCs/>
          <w:sz w:val="18"/>
          <w:szCs w:val="18"/>
          <w:lang w:val="es-MX"/>
        </w:rPr>
        <w:t xml:space="preserve"> 24-2002-MTC</w:t>
      </w:r>
    </w:p>
    <w:p w:rsidRPr="00865FCB" w:rsidR="00680B20" w:rsidP="00680B20" w:rsidRDefault="00680B20" w14:paraId="0AE25535" w14:textId="77777777">
      <w:pPr>
        <w:pStyle w:val="Textonotapie"/>
        <w:tabs>
          <w:tab w:val="left" w:pos="284"/>
        </w:tabs>
        <w:spacing w:after="120"/>
        <w:ind w:left="284" w:hanging="284"/>
        <w:rPr>
          <w:sz w:val="18"/>
          <w:szCs w:val="18"/>
          <w:lang w:val="es-MX"/>
        </w:rPr>
      </w:pPr>
      <w:r w:rsidRPr="00865FCB">
        <w:rPr>
          <w:b/>
          <w:bCs/>
          <w:sz w:val="18"/>
          <w:szCs w:val="18"/>
          <w:lang w:val="es-MX"/>
        </w:rPr>
        <w:tab/>
      </w:r>
      <w:r w:rsidRPr="00865FCB">
        <w:rPr>
          <w:b/>
          <w:bCs/>
          <w:sz w:val="18"/>
          <w:szCs w:val="18"/>
          <w:lang w:val="es-MX"/>
        </w:rPr>
        <w:t>Artículo 3o.-</w:t>
      </w:r>
      <w:r w:rsidRPr="00865FCB">
        <w:rPr>
          <w:sz w:val="18"/>
          <w:szCs w:val="18"/>
          <w:lang w:val="es-MX"/>
        </w:rPr>
        <w:t> Todo vehículo automotor que circule en el territorio de la República debe contar con una póliza vigente de Seguro Obligatorio de Accidentes de Tránsito, según los términos y montos establecidos en el presente Reglamento.</w:t>
      </w:r>
    </w:p>
    <w:p w:rsidRPr="00865FCB" w:rsidR="00680B20" w:rsidP="00680B20" w:rsidRDefault="00680B20" w14:paraId="27EB994A" w14:textId="77777777">
      <w:pPr>
        <w:pStyle w:val="Textonotapie"/>
        <w:tabs>
          <w:tab w:val="left" w:pos="284"/>
        </w:tabs>
        <w:spacing w:after="120"/>
        <w:ind w:left="284" w:hanging="284"/>
        <w:rPr>
          <w:sz w:val="18"/>
          <w:szCs w:val="18"/>
          <w:lang w:val="es-MX"/>
        </w:rPr>
      </w:pPr>
      <w:r w:rsidRPr="00865FCB">
        <w:rPr>
          <w:sz w:val="18"/>
          <w:szCs w:val="18"/>
          <w:lang w:val="es-MX"/>
        </w:rPr>
        <w:tab/>
      </w:r>
      <w:r w:rsidRPr="00865FCB">
        <w:rPr>
          <w:sz w:val="18"/>
          <w:szCs w:val="18"/>
          <w:lang w:val="es-MX"/>
        </w:rPr>
        <w:t>Los remolques acoplados, casas rodantes y otros similares que carezcan de propulsión propia, estarán comprendidos en el Seguro Obligatorio de Accidentes de Tránsito del vehículo automotor que lo hala.</w:t>
      </w:r>
    </w:p>
    <w:p w:rsidRPr="00865FCB" w:rsidR="00680B20" w:rsidP="00680B20" w:rsidRDefault="00680B20" w14:paraId="146466DB" w14:textId="77777777">
      <w:pPr>
        <w:pStyle w:val="Textonotapie"/>
        <w:tabs>
          <w:tab w:val="left" w:pos="284"/>
        </w:tabs>
        <w:spacing w:after="120"/>
        <w:ind w:left="284" w:hanging="284"/>
        <w:rPr>
          <w:sz w:val="18"/>
          <w:szCs w:val="18"/>
          <w:lang w:val="es-MX"/>
        </w:rPr>
      </w:pPr>
      <w:r w:rsidRPr="00865FCB">
        <w:rPr>
          <w:sz w:val="18"/>
          <w:szCs w:val="18"/>
          <w:lang w:val="es-MX"/>
        </w:rPr>
        <w:tab/>
      </w:r>
      <w:r w:rsidRPr="00865FCB">
        <w:rPr>
          <w:sz w:val="18"/>
          <w:szCs w:val="18"/>
          <w:lang w:val="es-MX"/>
        </w:rPr>
        <w:t>La contratación del Seguro Obligatorio de Accidentes de Tránsito deberá constar en un Certificado SOAT físico o en un Certificado SOAT electrónico que acredite la contratación del seguro, cuyos formatos y contenidos serán aprobados por el Ministerio de Transportes y Comunicaciones mediante Resolución Ministerial, en coordinación con la Superintendencia de Banca y Seguros.</w:t>
      </w:r>
    </w:p>
  </w:footnote>
  <w:footnote w:id="12">
    <w:p w:rsidRPr="00865FCB" w:rsidR="00680B20" w:rsidP="00680B20" w:rsidRDefault="00680B20" w14:paraId="6ACA9129" w14:textId="040991EF">
      <w:pPr>
        <w:pStyle w:val="Textonotapie"/>
        <w:tabs>
          <w:tab w:val="left" w:pos="284"/>
        </w:tabs>
        <w:spacing w:after="120"/>
        <w:ind w:left="284" w:hanging="284"/>
        <w:rPr>
          <w:sz w:val="18"/>
          <w:szCs w:val="18"/>
          <w:lang w:val="es-MX"/>
        </w:rPr>
      </w:pPr>
      <w:r w:rsidRPr="00865FCB">
        <w:rPr>
          <w:rStyle w:val="Refdenotaalpie"/>
          <w:sz w:val="18"/>
          <w:szCs w:val="18"/>
        </w:rPr>
        <w:footnoteRef/>
      </w:r>
      <w:r w:rsidRPr="00865FCB">
        <w:rPr>
          <w:sz w:val="18"/>
          <w:szCs w:val="18"/>
        </w:rPr>
        <w:tab/>
      </w:r>
      <w:r w:rsidRPr="00865FCB" w:rsidR="6C9F82C9">
        <w:rPr>
          <w:sz w:val="18"/>
          <w:szCs w:val="18"/>
          <w:lang w:val="es-MX"/>
        </w:rPr>
        <w:t xml:space="preserve">No obstante de la amplitud de la definición de vehículos comprendidos dentro de la Categoría L1 de la Clasificación vehicular del Reglamento Nacional de Vehículos, existe una serie de vehículos que no se encuentran comprendidos dentro de la misma como son los denominados: </w:t>
      </w:r>
      <w:r w:rsidRPr="6C9F82C9" w:rsidR="6C9F82C9">
        <w:rPr>
          <w:b w:val="1"/>
          <w:bCs w:val="1"/>
          <w:i w:val="1"/>
          <w:iCs w:val="1"/>
          <w:sz w:val="18"/>
          <w:szCs w:val="18"/>
          <w:lang w:val="es-MX"/>
        </w:rPr>
        <w:t>(i)</w:t>
      </w:r>
      <w:r w:rsidRPr="00865FCB" w:rsidR="6C9F82C9">
        <w:rPr>
          <w:sz w:val="18"/>
          <w:szCs w:val="18"/>
          <w:lang w:val="es-MX"/>
        </w:rPr>
        <w:t xml:space="preserve"> dispositivos o aparatos eléctricos de entretenimiento o desplazamiento, tales como sillas de ruedas eléctricas, andadores eléctricos, vehículos a escala eléctricos (para bebes y niños); </w:t>
      </w:r>
      <w:r w:rsidRPr="6C9F82C9" w:rsidR="6C9F82C9">
        <w:rPr>
          <w:b w:val="1"/>
          <w:bCs w:val="1"/>
          <w:i w:val="1"/>
          <w:iCs w:val="1"/>
          <w:sz w:val="18"/>
          <w:szCs w:val="18"/>
          <w:lang w:val="es-MX"/>
        </w:rPr>
        <w:t>(</w:t>
      </w:r>
      <w:r w:rsidRPr="6C9F82C9" w:rsidR="6C9F82C9">
        <w:rPr>
          <w:b w:val="1"/>
          <w:bCs w:val="1"/>
          <w:i w:val="1"/>
          <w:iCs w:val="1"/>
          <w:sz w:val="18"/>
          <w:szCs w:val="18"/>
          <w:lang w:val="es-MX"/>
        </w:rPr>
        <w:t>ii</w:t>
      </w:r>
      <w:r w:rsidRPr="6C9F82C9" w:rsidR="6C9F82C9">
        <w:rPr>
          <w:b w:val="1"/>
          <w:bCs w:val="1"/>
          <w:i w:val="1"/>
          <w:iCs w:val="1"/>
          <w:sz w:val="18"/>
          <w:szCs w:val="18"/>
          <w:lang w:val="es-MX"/>
        </w:rPr>
        <w:t>)</w:t>
      </w:r>
      <w:r w:rsidRPr="00865FCB" w:rsidR="6C9F82C9">
        <w:rPr>
          <w:sz w:val="18"/>
          <w:szCs w:val="18"/>
          <w:lang w:val="es-MX"/>
        </w:rPr>
        <w:t xml:space="preserve"> vehículos de movilidad personal (VMP), como patinetes eléctricos, monopatines eléctricos, </w:t>
      </w:r>
      <w:r w:rsidRPr="00865FCB" w:rsidR="6C9F82C9">
        <w:rPr>
          <w:sz w:val="18"/>
          <w:szCs w:val="18"/>
          <w:lang w:val="es-MX"/>
        </w:rPr>
        <w:t>hoverboards</w:t>
      </w:r>
      <w:r w:rsidRPr="00865FCB" w:rsidR="6C9F82C9">
        <w:rPr>
          <w:sz w:val="18"/>
          <w:szCs w:val="18"/>
          <w:lang w:val="es-MX"/>
        </w:rPr>
        <w:t xml:space="preserve"> y monociclos eléctricos, entre otros; o, </w:t>
      </w:r>
      <w:r w:rsidRPr="6C9F82C9" w:rsidR="6C9F82C9">
        <w:rPr>
          <w:b w:val="1"/>
          <w:bCs w:val="1"/>
          <w:i w:val="1"/>
          <w:iCs w:val="1"/>
          <w:sz w:val="18"/>
          <w:szCs w:val="18"/>
          <w:lang w:val="es-MX"/>
        </w:rPr>
        <w:t>(</w:t>
      </w:r>
      <w:r w:rsidRPr="6C9F82C9" w:rsidR="6C9F82C9">
        <w:rPr>
          <w:b w:val="1"/>
          <w:bCs w:val="1"/>
          <w:i w:val="1"/>
          <w:iCs w:val="1"/>
          <w:sz w:val="18"/>
          <w:szCs w:val="18"/>
          <w:lang w:val="es-MX"/>
        </w:rPr>
        <w:t>iii</w:t>
      </w:r>
      <w:r w:rsidRPr="6C9F82C9" w:rsidR="6C9F82C9">
        <w:rPr>
          <w:b w:val="1"/>
          <w:bCs w:val="1"/>
          <w:i w:val="1"/>
          <w:iCs w:val="1"/>
          <w:sz w:val="18"/>
          <w:szCs w:val="18"/>
          <w:lang w:val="es-MX"/>
        </w:rPr>
        <w:t>)</w:t>
      </w:r>
      <w:r w:rsidRPr="00865FCB" w:rsidR="6C9F82C9">
        <w:rPr>
          <w:sz w:val="18"/>
          <w:szCs w:val="18"/>
          <w:lang w:val="es-MX"/>
        </w:rPr>
        <w:t xml:space="preserve"> bicicletas con sistema de pedaleo asistido. De acuerdo con la información que obra en el expediente, concluimos que el vehículo conducido por la señora </w:t>
      </w:r>
      <w:r w:rsidRPr="00865FCB" w:rsidR="6C9F82C9">
        <w:rPr>
          <w:sz w:val="18"/>
          <w:szCs w:val="18"/>
          <w:lang w:val="es-MX"/>
        </w:rPr>
        <w:t xml:space="preserve">..................................</w:t>
      </w:r>
      <w:r w:rsidRPr="00865FCB" w:rsidR="6C9F82C9">
        <w:rPr>
          <w:sz w:val="18"/>
          <w:szCs w:val="18"/>
          <w:lang w:val="es-MX"/>
        </w:rPr>
        <w:t xml:space="preserve"> al momento del siniestro no se encontraría en dentro de alguna de las tres categorías mencionadas. </w:t>
      </w:r>
    </w:p>
  </w:footnote>
  <w:footnote w:id="13">
    <w:p w:rsidRPr="00865FCB" w:rsidR="00680B20" w:rsidP="00680B20" w:rsidRDefault="00680B20" w14:paraId="782FB52C" w14:textId="77777777">
      <w:pPr>
        <w:pStyle w:val="Textonotapie"/>
        <w:tabs>
          <w:tab w:val="left" w:pos="284"/>
        </w:tabs>
        <w:spacing w:after="120"/>
        <w:ind w:left="284" w:hanging="284"/>
        <w:rPr>
          <w:sz w:val="18"/>
          <w:szCs w:val="18"/>
          <w:lang w:val="es-MX"/>
        </w:rPr>
      </w:pPr>
      <w:r w:rsidRPr="00865FCB">
        <w:rPr>
          <w:rStyle w:val="Refdenotaalpie"/>
          <w:sz w:val="18"/>
          <w:szCs w:val="18"/>
        </w:rPr>
        <w:footnoteRef/>
      </w:r>
      <w:r w:rsidRPr="00865FCB">
        <w:rPr>
          <w:sz w:val="18"/>
          <w:szCs w:val="18"/>
        </w:rPr>
        <w:t xml:space="preserve"> </w:t>
      </w:r>
      <w:r w:rsidRPr="00865FCB">
        <w:rPr>
          <w:sz w:val="18"/>
          <w:szCs w:val="18"/>
        </w:rPr>
        <w:tab/>
      </w:r>
      <w:r w:rsidRPr="00865FCB">
        <w:rPr>
          <w:sz w:val="18"/>
          <w:szCs w:val="18"/>
          <w:lang w:val="es-MX"/>
        </w:rPr>
        <w:t xml:space="preserve">Decreto Supremo </w:t>
      </w:r>
      <w:proofErr w:type="spellStart"/>
      <w:r w:rsidRPr="00865FCB">
        <w:rPr>
          <w:sz w:val="18"/>
          <w:szCs w:val="18"/>
          <w:lang w:val="es-MX"/>
        </w:rPr>
        <w:t>n.°</w:t>
      </w:r>
      <w:proofErr w:type="spellEnd"/>
      <w:r w:rsidRPr="00865FCB">
        <w:rPr>
          <w:sz w:val="18"/>
          <w:szCs w:val="18"/>
          <w:lang w:val="es-MX"/>
        </w:rPr>
        <w:t xml:space="preserve"> 16-2009-MTC (Texto Único Ordenado del Reglamento Nacional de Tránsito).</w:t>
      </w:r>
    </w:p>
  </w:footnote>
  <w:footnote w:id="14">
    <w:p w:rsidRPr="00865FCB" w:rsidR="00680B20" w:rsidP="00680B20" w:rsidRDefault="00680B20" w14:paraId="59464CBF" w14:textId="6444E5E0">
      <w:pPr>
        <w:pStyle w:val="Textonotapie"/>
        <w:tabs>
          <w:tab w:val="left" w:pos="284"/>
        </w:tabs>
        <w:spacing w:after="120"/>
        <w:ind w:left="284" w:hanging="284"/>
        <w:rPr>
          <w:sz w:val="18"/>
          <w:szCs w:val="18"/>
          <w:lang w:val="es-MX"/>
        </w:rPr>
      </w:pPr>
      <w:r w:rsidRPr="00865FCB">
        <w:rPr>
          <w:rStyle w:val="Refdenotaalpie"/>
          <w:sz w:val="18"/>
          <w:szCs w:val="18"/>
        </w:rPr>
        <w:footnoteRef/>
      </w:r>
      <w:r w:rsidRPr="00865FCB" w:rsidR="354ADB8C">
        <w:rPr>
          <w:sz w:val="18"/>
          <w:szCs w:val="18"/>
        </w:rPr>
        <w:t xml:space="preserve"> </w:t>
      </w:r>
      <w:r w:rsidRPr="00865FCB">
        <w:rPr>
          <w:sz w:val="18"/>
          <w:szCs w:val="18"/>
        </w:rPr>
        <w:tab/>
      </w:r>
      <w:r w:rsidRPr="00865FCB" w:rsidR="354ADB8C">
        <w:rPr>
          <w:sz w:val="18"/>
          <w:szCs w:val="18"/>
          <w:lang w:val="es-MX"/>
        </w:rPr>
        <w:t xml:space="preserve">Resolución DEFASEG </w:t>
      </w:r>
      <w:r w:rsidRPr="00865FCB" w:rsidR="354ADB8C">
        <w:rPr>
          <w:sz w:val="18"/>
          <w:szCs w:val="18"/>
          <w:lang w:val="es-MX"/>
        </w:rPr>
        <w:t>n.°</w:t>
      </w:r>
      <w:r w:rsidRPr="00865FCB" w:rsidR="354ADB8C">
        <w:rPr>
          <w:sz w:val="18"/>
          <w:szCs w:val="18"/>
          <w:lang w:val="es-MX"/>
        </w:rPr>
        <w:t xml:space="preserve"> 62/10 del 3 de mayo de 2010; Resolución DEFASEG </w:t>
      </w:r>
      <w:r w:rsidRPr="00865FCB" w:rsidR="354ADB8C">
        <w:rPr>
          <w:sz w:val="18"/>
          <w:szCs w:val="18"/>
          <w:lang w:val="es-MX"/>
        </w:rPr>
        <w:t>n.°</w:t>
      </w:r>
      <w:r w:rsidRPr="00865FCB" w:rsidR="354ADB8C">
        <w:rPr>
          <w:sz w:val="18"/>
          <w:szCs w:val="18"/>
          <w:lang w:val="es-MX"/>
        </w:rPr>
        <w:t xml:space="preserve"> 39/19 (</w:t>
      </w:r>
      <w:r w:rsidRPr="354ADB8C" w:rsidR="354ADB8C">
        <w:rPr>
          <w:i w:val="1"/>
          <w:iCs w:val="1"/>
          <w:sz w:val="18"/>
          <w:szCs w:val="18"/>
          <w:u w:val="single"/>
          <w:lang w:val="es-MX"/>
        </w:rPr>
        <w:t xml:space="preserve">Expediente 4007, Silva </w:t>
      </w:r>
      <w:r w:rsidRPr="354ADB8C" w:rsidR="354ADB8C">
        <w:rPr>
          <w:i w:val="1"/>
          <w:iCs w:val="1"/>
          <w:sz w:val="18"/>
          <w:szCs w:val="18"/>
          <w:u w:val="single"/>
          <w:lang w:val="es-MX"/>
        </w:rPr>
        <w:t>Martijena</w:t>
      </w:r>
      <w:r w:rsidRPr="354ADB8C" w:rsidR="354ADB8C">
        <w:rPr>
          <w:i w:val="1"/>
          <w:iCs w:val="1"/>
          <w:sz w:val="18"/>
          <w:szCs w:val="18"/>
          <w:u w:val="single"/>
          <w:lang w:val="es-MX"/>
        </w:rPr>
        <w:t xml:space="preserve"> v Interseguro</w:t>
      </w:r>
      <w:r w:rsidRPr="00865FCB" w:rsidR="354ADB8C">
        <w:rPr>
          <w:sz w:val="18"/>
          <w:szCs w:val="18"/>
          <w:lang w:val="es-MX"/>
        </w:rPr>
        <w:t xml:space="preserve">) del 25 de marzo de 2019; y, Resolución DEFASEG </w:t>
      </w:r>
      <w:r w:rsidRPr="00865FCB" w:rsidR="354ADB8C">
        <w:rPr>
          <w:sz w:val="18"/>
          <w:szCs w:val="18"/>
          <w:lang w:val="es-MX"/>
        </w:rPr>
        <w:t>n.°</w:t>
      </w:r>
      <w:r w:rsidRPr="00865FCB" w:rsidR="354ADB8C">
        <w:rPr>
          <w:sz w:val="18"/>
          <w:szCs w:val="18"/>
          <w:lang w:val="es-MX"/>
        </w:rPr>
        <w:t xml:space="preserve"> 128/19 (</w:t>
      </w:r>
      <w:r w:rsidRPr="354ADB8C" w:rsidR="354ADB8C">
        <w:rPr>
          <w:i w:val="1"/>
          <w:iCs w:val="1"/>
          <w:sz w:val="18"/>
          <w:szCs w:val="18"/>
          <w:u w:val="single"/>
          <w:lang w:val="es-MX"/>
        </w:rPr>
        <w:t xml:space="preserve">Expediente 4181, </w:t>
      </w:r>
      <w:r w:rsidRPr="00865FCB" w:rsidR="354ADB8C">
        <w:rPr>
          <w:sz w:val="18"/>
          <w:szCs w:val="18"/>
        </w:rPr>
        <w:t xml:space="preserve">Hernández Díaz </w:t>
      </w:r>
      <w:r w:rsidRPr="354ADB8C" w:rsidR="354ADB8C">
        <w:rPr>
          <w:i w:val="1"/>
          <w:iCs w:val="1"/>
          <w:sz w:val="18"/>
          <w:szCs w:val="18"/>
          <w:u w:val="single"/>
          <w:lang w:val="es-MX"/>
        </w:rPr>
        <w:t xml:space="preserve">v </w:t>
      </w:r>
      <w:r w:rsidRPr="354ADB8C" w:rsidR="354ADB8C">
        <w:rPr>
          <w:i w:val="1"/>
          <w:iCs w:val="1"/>
          <w:sz w:val="18"/>
          <w:szCs w:val="18"/>
          <w:u w:val="single"/>
          <w:lang w:val="es-MX"/>
        </w:rPr>
        <w:t>..............</w:t>
      </w:r>
      <w:r w:rsidRPr="00865FCB" w:rsidR="354ADB8C">
        <w:rPr>
          <w:sz w:val="18"/>
          <w:szCs w:val="18"/>
          <w:lang w:val="es-MX"/>
        </w:rPr>
        <w:t>) del 21 de octubre de 2019.</w:t>
      </w:r>
    </w:p>
  </w:footnote>
  <w:footnote w:id="15">
    <w:p w:rsidR="00680B20" w:rsidP="00680B20" w:rsidRDefault="00680B20" w14:paraId="78FB2DA6" w14:textId="77777777">
      <w:pPr>
        <w:pStyle w:val="Textonotapie"/>
        <w:tabs>
          <w:tab w:val="left" w:pos="284"/>
        </w:tabs>
        <w:spacing w:after="120"/>
        <w:ind w:left="284" w:hanging="284"/>
        <w:rPr>
          <w:rFonts w:asciiTheme="minorHAnsi" w:hAnsiTheme="minorHAnsi"/>
          <w:lang w:val="es-MX"/>
        </w:rPr>
      </w:pPr>
      <w:r w:rsidRPr="00865FCB">
        <w:rPr>
          <w:rStyle w:val="Refdenotaalpie"/>
          <w:sz w:val="18"/>
          <w:szCs w:val="18"/>
        </w:rPr>
        <w:footnoteRef/>
      </w:r>
      <w:r w:rsidRPr="00865FCB">
        <w:rPr>
          <w:sz w:val="18"/>
          <w:szCs w:val="18"/>
        </w:rPr>
        <w:t xml:space="preserve"> </w:t>
      </w:r>
      <w:r w:rsidRPr="00865FCB">
        <w:rPr>
          <w:sz w:val="18"/>
          <w:szCs w:val="18"/>
        </w:rPr>
        <w:tab/>
      </w:r>
      <w:r w:rsidRPr="00865FCB">
        <w:rPr>
          <w:sz w:val="18"/>
          <w:szCs w:val="18"/>
        </w:rPr>
        <w:t xml:space="preserve">Véase, </w:t>
      </w:r>
      <w:r w:rsidRPr="00865FCB">
        <w:rPr>
          <w:sz w:val="18"/>
          <w:szCs w:val="18"/>
          <w:lang w:val="es-MX"/>
        </w:rPr>
        <w:t xml:space="preserve">Resolución DEFASEG </w:t>
      </w:r>
      <w:proofErr w:type="spellStart"/>
      <w:r w:rsidRPr="00865FCB">
        <w:rPr>
          <w:sz w:val="18"/>
          <w:szCs w:val="18"/>
          <w:lang w:val="es-MX"/>
        </w:rPr>
        <w:t>n.°</w:t>
      </w:r>
      <w:proofErr w:type="spellEnd"/>
      <w:r w:rsidRPr="00865FCB">
        <w:rPr>
          <w:sz w:val="18"/>
          <w:szCs w:val="18"/>
          <w:lang w:val="es-MX"/>
        </w:rPr>
        <w:t xml:space="preserve"> 71/20 (</w:t>
      </w:r>
      <w:r w:rsidRPr="00865FCB">
        <w:rPr>
          <w:i/>
          <w:iCs/>
          <w:sz w:val="18"/>
          <w:szCs w:val="18"/>
          <w:u w:val="single"/>
          <w:lang w:val="es-MX"/>
        </w:rPr>
        <w:t>Expediente 4349, Olivares Vargas v Interseguro</w:t>
      </w:r>
      <w:r w:rsidRPr="00865FCB">
        <w:rPr>
          <w:sz w:val="18"/>
          <w:szCs w:val="18"/>
          <w:lang w:val="es-MX"/>
        </w:rPr>
        <w:t>) del 10 de agosto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4DF"/>
    <w:rsid w:val="00233ED8"/>
    <w:rsid w:val="0023521A"/>
    <w:rsid w:val="002359D5"/>
    <w:rsid w:val="002370F4"/>
    <w:rsid w:val="00237AB1"/>
    <w:rsid w:val="0024261D"/>
    <w:rsid w:val="0024444A"/>
    <w:rsid w:val="00247BE2"/>
    <w:rsid w:val="00251125"/>
    <w:rsid w:val="00251C91"/>
    <w:rsid w:val="00254F48"/>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2CBB7025"/>
    <w:rsid w:val="2EA3ECED"/>
    <w:rsid w:val="354ADB8C"/>
    <w:rsid w:val="3A1E4C8A"/>
    <w:rsid w:val="3FDFBAFD"/>
    <w:rsid w:val="40EE6CC0"/>
    <w:rsid w:val="42FF3A33"/>
    <w:rsid w:val="4332F062"/>
    <w:rsid w:val="53C95FF1"/>
    <w:rsid w:val="5926FA7C"/>
    <w:rsid w:val="5F7266A9"/>
    <w:rsid w:val="60D4155A"/>
    <w:rsid w:val="6376FDFD"/>
    <w:rsid w:val="6C9F82C9"/>
    <w:rsid w:val="6FFA495B"/>
    <w:rsid w:val="77733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5F33EB-39A0-4ACC-8B25-7EB516E89786}"/>
</file>

<file path=customXml/itemProps3.xml><?xml version="1.0" encoding="utf-8"?>
<ds:datastoreItem xmlns:ds="http://schemas.openxmlformats.org/officeDocument/2006/customXml" ds:itemID="{2D63CE81-C981-4147-AB2B-D1B4CD10B53B}"/>
</file>

<file path=customXml/itemProps4.xml><?xml version="1.0" encoding="utf-8"?>
<ds:datastoreItem xmlns:ds="http://schemas.openxmlformats.org/officeDocument/2006/customXml" ds:itemID="{50407C5F-4652-4E72-BD4C-B8168A4C53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609</cp:revision>
  <cp:lastPrinted>2025-07-01T15:24:00Z</cp:lastPrinted>
  <dcterms:created xsi:type="dcterms:W3CDTF">2023-06-22T13:57:00Z</dcterms:created>
  <dcterms:modified xsi:type="dcterms:W3CDTF">2026-04-01T14:19:57Z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