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45AE" w:rsidR="00E145AE" w:rsidP="00E145AE" w:rsidRDefault="00F15FBA" w14:paraId="1EAC0989" w14:textId="11F46C91">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w:t>
      </w:r>
      <w:r w:rsidR="009C3AB7">
        <w:rPr>
          <w:lang w:val="es-PE"/>
        </w:rPr>
        <w:t>5</w:t>
      </w:r>
      <w:r w:rsidRPr="00020D94" w:rsidR="001272A9">
        <w:rPr>
          <w:lang w:val="es-PE"/>
        </w:rPr>
        <w:t>/</w:t>
      </w:r>
      <w:r w:rsidRPr="00020D94" w:rsidR="001631D6">
        <w:rPr>
          <w:lang w:val="es-PE"/>
        </w:rPr>
        <w:t>2</w:t>
      </w:r>
      <w:r w:rsidRPr="00020D94" w:rsidR="0073373B">
        <w:rPr>
          <w:lang w:val="es-PE"/>
        </w:rPr>
        <w:t>5</w:t>
      </w:r>
    </w:p>
    <w:p w:rsidR="00F955B8" w:rsidP="00F239F4" w:rsidRDefault="00F955B8" w14:paraId="305D8459" w14:textId="77777777">
      <w:pPr>
        <w:jc w:val="both"/>
        <w:outlineLvl w:val="0"/>
        <w:rPr>
          <w:b/>
          <w:bCs/>
          <w:lang w:val="es-PE"/>
        </w:rPr>
      </w:pPr>
    </w:p>
    <w:p w:rsidR="00D444FF" w:rsidP="00D444FF" w:rsidRDefault="00D444FF" w14:paraId="6A529C3F" w14:textId="77777777">
      <w:pPr>
        <w:jc w:val="both"/>
        <w:outlineLvl w:val="0"/>
        <w:rPr>
          <w:b/>
          <w:bCs/>
          <w:lang w:val="es-MX"/>
        </w:rPr>
      </w:pPr>
      <w:r w:rsidRPr="00D444FF">
        <w:rPr>
          <w:b/>
          <w:bCs/>
          <w:lang w:val="es-MX"/>
        </w:rPr>
        <w:t>VISTOS:</w:t>
      </w:r>
    </w:p>
    <w:p w:rsidRPr="00D444FF" w:rsidR="00D444FF" w:rsidP="00D444FF" w:rsidRDefault="00D444FF" w14:paraId="5CB112DB" w14:textId="77777777">
      <w:pPr>
        <w:jc w:val="both"/>
        <w:outlineLvl w:val="0"/>
        <w:rPr>
          <w:b/>
          <w:bCs/>
          <w:lang w:val="es-MX"/>
        </w:rPr>
      </w:pPr>
    </w:p>
    <w:p w:rsidR="00D444FF" w:rsidP="00D444FF" w:rsidRDefault="00D444FF" w14:paraId="7E410BB4" w14:textId="7C5BBF36">
      <w:pPr>
        <w:jc w:val="both"/>
        <w:outlineLvl w:val="0"/>
        <w:rPr>
          <w:lang w:val="es-PE"/>
        </w:rPr>
      </w:pPr>
      <w:r w:rsidRPr="1BCC2512" w:rsidR="00D444FF">
        <w:rPr>
          <w:lang w:val="es-PE"/>
        </w:rPr>
        <w:t>Que, con fecha 19 de febrero de 2025</w:t>
      </w:r>
      <w:bookmarkStart w:name="_Hlk107662905" w:id="0"/>
      <w:r w:rsidRPr="1BCC2512" w:rsidR="00D444FF">
        <w:rPr>
          <w:lang w:val="es-PE"/>
        </w:rPr>
        <w:t xml:space="preserve">, el señor </w:t>
      </w:r>
      <w:r w:rsidRPr="1BCC2512" w:rsidR="51FB0B15">
        <w:rPr>
          <w:b w:val="1"/>
          <w:bCs w:val="1"/>
          <w:lang w:val="es-PE"/>
        </w:rPr>
        <w:t>......................................................................................</w:t>
      </w:r>
      <w:r w:rsidRPr="1BCC2512" w:rsidR="00D444FF">
        <w:rPr>
          <w:b w:val="1"/>
          <w:bCs w:val="1"/>
          <w:lang w:val="es-PE"/>
        </w:rPr>
        <w:t xml:space="preserve"> </w:t>
      </w:r>
      <w:r w:rsidRPr="1BCC2512" w:rsidR="00D444FF">
        <w:rPr>
          <w:lang w:val="es-PE"/>
        </w:rPr>
        <w:t xml:space="preserve">(el señor </w:t>
      </w:r>
      <w:r w:rsidRPr="1BCC2512" w:rsidR="00D444FF">
        <w:rPr>
          <w:b w:val="1"/>
          <w:bCs w:val="1"/>
          <w:lang w:val="es-PE"/>
        </w:rPr>
        <w:t>“</w:t>
      </w:r>
      <w:r w:rsidRPr="1BCC2512" w:rsidR="065F61C0">
        <w:rPr>
          <w:b w:val="1"/>
          <w:bCs w:val="1"/>
          <w:lang w:val="es-PE"/>
        </w:rPr>
        <w:t>......................................................................................</w:t>
      </w:r>
      <w:r w:rsidRPr="1BCC2512" w:rsidR="00D444FF">
        <w:rPr>
          <w:b w:val="1"/>
          <w:bCs w:val="1"/>
          <w:lang w:val="es-PE"/>
        </w:rPr>
        <w:t>”)</w:t>
      </w:r>
      <w:bookmarkEnd w:id="0"/>
      <w:r w:rsidRPr="1BCC2512" w:rsidR="00D444FF">
        <w:rPr>
          <w:lang w:val="es-PE"/>
        </w:rPr>
        <w:t xml:space="preserve"> interpuso un reclamo ante la Defensoría del Asegurado </w:t>
      </w:r>
      <w:r w:rsidRPr="1BCC2512" w:rsidR="00D444FF">
        <w:rPr>
          <w:b w:val="1"/>
          <w:bCs w:val="1"/>
          <w:lang w:val="es-PE"/>
        </w:rPr>
        <w:t>(“DEFASEG”</w:t>
      </w:r>
      <w:r w:rsidRPr="1BCC2512" w:rsidR="00D444FF">
        <w:rPr>
          <w:lang w:val="es-PE"/>
        </w:rPr>
        <w:t xml:space="preserve">) contra </w:t>
      </w:r>
      <w:r w:rsidRPr="1BCC2512" w:rsidR="4B3EA0B8">
        <w:rPr>
          <w:b w:val="1"/>
          <w:bCs w:val="1"/>
          <w:lang w:val="es-PE"/>
        </w:rPr>
        <w:t>...............................................................................</w:t>
      </w:r>
      <w:r w:rsidRPr="1BCC2512" w:rsidR="00D444FF">
        <w:rPr>
          <w:b w:val="1"/>
          <w:bCs w:val="1"/>
          <w:lang w:val="es-PE"/>
        </w:rPr>
        <w:t xml:space="preserve"> </w:t>
      </w:r>
      <w:r w:rsidRPr="1BCC2512" w:rsidR="00D444FF">
        <w:rPr>
          <w:lang w:val="es-PE"/>
        </w:rPr>
        <w:t>(“</w:t>
      </w:r>
      <w:r w:rsidRPr="1BCC2512" w:rsidR="7AD16365">
        <w:rPr>
          <w:b w:val="1"/>
          <w:bCs w:val="1"/>
          <w:lang w:val="es-PE"/>
        </w:rPr>
        <w:t>...............</w:t>
      </w:r>
      <w:r w:rsidRPr="1BCC2512" w:rsidR="00D444FF">
        <w:rPr>
          <w:lang w:val="es-PE"/>
        </w:rPr>
        <w:t xml:space="preserve">”) para que se le otorgue cobertura completa en los términos de su póliza vehicular </w:t>
      </w:r>
      <w:r w:rsidRPr="1BCC2512" w:rsidR="00D444FF">
        <w:rPr>
          <w:lang w:val="es-PE"/>
        </w:rPr>
        <w:t>n.°</w:t>
      </w:r>
      <w:r w:rsidRPr="1BCC2512" w:rsidR="00D444FF">
        <w:rPr>
          <w:lang w:val="es-PE"/>
        </w:rPr>
        <w:t xml:space="preserve"> </w:t>
      </w:r>
      <w:r w:rsidRPr="1BCC2512" w:rsidR="2F7DD142">
        <w:rPr>
          <w:lang w:val="es-PE"/>
        </w:rPr>
        <w:t>.............................</w:t>
      </w:r>
      <w:r w:rsidRPr="1BCC2512" w:rsidR="00D444FF">
        <w:rPr>
          <w:lang w:val="es-PE"/>
        </w:rPr>
        <w:t xml:space="preserve"> (la “Póliza”) por el siniestro ocurrido el 14 de agosto de 2024, de su vehículo marca Hyundai, modelo I20, con placa de rodaje </w:t>
      </w:r>
      <w:r w:rsidRPr="1BCC2512" w:rsidR="00D444FF">
        <w:rPr>
          <w:lang w:val="es-PE"/>
        </w:rPr>
        <w:t>n.°</w:t>
      </w:r>
      <w:r w:rsidRPr="1BCC2512" w:rsidR="00D444FF">
        <w:rPr>
          <w:lang w:val="es-PE"/>
        </w:rPr>
        <w:t xml:space="preserve"> </w:t>
      </w:r>
      <w:r w:rsidRPr="1BCC2512" w:rsidR="23CF7061">
        <w:rPr>
          <w:lang w:val="es-PE"/>
        </w:rPr>
        <w:t>..............</w:t>
      </w:r>
      <w:r w:rsidRPr="1BCC2512" w:rsidR="00D444FF">
        <w:rPr>
          <w:lang w:val="es-PE"/>
        </w:rPr>
        <w:t xml:space="preserve">. </w:t>
      </w:r>
    </w:p>
    <w:p w:rsidRPr="00D444FF" w:rsidR="00D444FF" w:rsidP="00D444FF" w:rsidRDefault="00D444FF" w14:paraId="3600E6B4" w14:textId="77777777">
      <w:pPr>
        <w:jc w:val="both"/>
        <w:outlineLvl w:val="0"/>
        <w:rPr>
          <w:lang w:val="es-PE"/>
        </w:rPr>
      </w:pPr>
    </w:p>
    <w:p w:rsidR="00D444FF" w:rsidP="00D444FF" w:rsidRDefault="00D444FF" w14:paraId="206AEB08" w14:textId="080D8DEE">
      <w:pPr>
        <w:jc w:val="both"/>
        <w:outlineLvl w:val="0"/>
        <w:rPr>
          <w:lang w:val="es-PE"/>
        </w:rPr>
      </w:pPr>
      <w:r w:rsidRPr="1BCC2512" w:rsidR="00D444FF">
        <w:rPr>
          <w:lang w:val="es-PE"/>
        </w:rPr>
        <w:t xml:space="preserve">Que, la reclamación interpuesta por el señor </w:t>
      </w:r>
      <w:r w:rsidRPr="1BCC2512" w:rsidR="065F61C0">
        <w:rPr>
          <w:lang w:val="es-PE"/>
        </w:rPr>
        <w:t>......................................................................................</w:t>
      </w:r>
      <w:r w:rsidRPr="1BCC2512" w:rsidR="00D444FF">
        <w:rPr>
          <w:lang w:val="es-PE"/>
        </w:rPr>
        <w:t xml:space="preserve"> se sustenta en los siguientes hechos y argumentos: </w:t>
      </w:r>
      <w:r w:rsidRPr="1BCC2512" w:rsidR="00D444FF">
        <w:rPr>
          <w:b w:val="1"/>
          <w:bCs w:val="1"/>
          <w:i w:val="1"/>
          <w:iCs w:val="1"/>
          <w:lang w:val="es-PE"/>
        </w:rPr>
        <w:t>a)</w:t>
      </w:r>
      <w:r w:rsidRPr="1BCC2512" w:rsidR="00D444FF">
        <w:rPr>
          <w:lang w:val="es-PE"/>
        </w:rPr>
        <w:t xml:space="preserve"> que, el 14 de agosto de 2024, el señor </w:t>
      </w:r>
      <w:r w:rsidRPr="1BCC2512" w:rsidR="705958AE">
        <w:rPr>
          <w:lang w:val="es-PE"/>
        </w:rPr>
        <w:t>......................................................................................</w:t>
      </w:r>
      <w:r w:rsidRPr="1BCC2512" w:rsidR="00D444FF">
        <w:rPr>
          <w:lang w:val="es-PE"/>
        </w:rPr>
        <w:t xml:space="preserve"> sufrió el robo de su automóvil el cual estaba asegurado con </w:t>
      </w:r>
      <w:r w:rsidRPr="1BCC2512" w:rsidR="7AD16365">
        <w:rPr>
          <w:lang w:val="es-PE"/>
        </w:rPr>
        <w:t>...............</w:t>
      </w:r>
      <w:r w:rsidRPr="1BCC2512" w:rsidR="00D444FF">
        <w:rPr>
          <w:lang w:val="es-PE"/>
        </w:rPr>
        <w:t xml:space="preserve">, por un monto de USD 13 490 (trece mil cuatrocientos y noventa dólares americanos y 00/100); </w:t>
      </w:r>
      <w:r w:rsidRPr="1BCC2512" w:rsidR="00D444FF">
        <w:rPr>
          <w:b w:val="1"/>
          <w:bCs w:val="1"/>
          <w:i w:val="1"/>
          <w:iCs w:val="1"/>
          <w:lang w:val="es-PE"/>
        </w:rPr>
        <w:t>b)</w:t>
      </w:r>
      <w:r w:rsidRPr="1BCC2512" w:rsidR="00D444FF">
        <w:rPr>
          <w:lang w:val="es-PE"/>
        </w:rPr>
        <w:t xml:space="preserve"> que, el monto de la indemnización, según la transacción </w:t>
      </w:r>
      <w:r w:rsidRPr="1BCC2512" w:rsidR="00D444FF">
        <w:rPr>
          <w:lang w:val="es-PE"/>
        </w:rPr>
        <w:t>n.°</w:t>
      </w:r>
      <w:r w:rsidRPr="1BCC2512" w:rsidR="00D444FF">
        <w:rPr>
          <w:lang w:val="es-PE"/>
        </w:rPr>
        <w:t xml:space="preserve"> </w:t>
      </w:r>
      <w:r w:rsidRPr="1BCC2512" w:rsidR="73294A50">
        <w:rPr>
          <w:lang w:val="es-PE"/>
        </w:rPr>
        <w:t>..............................</w:t>
      </w:r>
      <w:r w:rsidRPr="1BCC2512" w:rsidR="00D444FF">
        <w:rPr>
          <w:lang w:val="es-PE"/>
        </w:rPr>
        <w:t xml:space="preserve"> fue por USD 9 000 (nueve mil dólares americanos y 00/100); </w:t>
      </w:r>
      <w:r w:rsidRPr="1BCC2512" w:rsidR="00D444FF">
        <w:rPr>
          <w:b w:val="1"/>
          <w:bCs w:val="1"/>
          <w:i w:val="1"/>
          <w:iCs w:val="1"/>
          <w:lang w:val="es-PE"/>
        </w:rPr>
        <w:t>c)</w:t>
      </w:r>
      <w:r w:rsidRPr="1BCC2512" w:rsidR="00D444FF">
        <w:rPr>
          <w:lang w:val="es-PE"/>
        </w:rPr>
        <w:t xml:space="preserve"> que, no está de acuerdo con el monto pagado como indemnización producto del siniestro, considerando que debió de otorgársele una suma adicional de USD 4 490 (cuatro mil cuatrocientos noventa dólares americanos y 00/100); y, </w:t>
      </w:r>
      <w:r w:rsidRPr="1BCC2512" w:rsidR="00D444FF">
        <w:rPr>
          <w:b w:val="1"/>
          <w:bCs w:val="1"/>
          <w:i w:val="1"/>
          <w:iCs w:val="1"/>
          <w:lang w:val="es-PE"/>
        </w:rPr>
        <w:t>d)</w:t>
      </w:r>
      <w:r w:rsidRPr="1BCC2512" w:rsidR="00D444FF">
        <w:rPr>
          <w:lang w:val="es-PE"/>
        </w:rPr>
        <w:t xml:space="preserve"> que, </w:t>
      </w:r>
      <w:r w:rsidRPr="1BCC2512" w:rsidR="7AD16365">
        <w:rPr>
          <w:lang w:val="es-PE"/>
        </w:rPr>
        <w:t>...............</w:t>
      </w:r>
      <w:r w:rsidRPr="1BCC2512" w:rsidR="00D444FF">
        <w:rPr>
          <w:lang w:val="es-PE"/>
        </w:rPr>
        <w:t xml:space="preserve"> no ha explicado las razones de la diferencia entre el monto que figura en la Póliza y el monto de la indemnización. </w:t>
      </w:r>
    </w:p>
    <w:p w:rsidRPr="00D444FF" w:rsidR="00D444FF" w:rsidP="00D444FF" w:rsidRDefault="00D444FF" w14:paraId="0C1169BB" w14:textId="77777777">
      <w:pPr>
        <w:jc w:val="both"/>
        <w:outlineLvl w:val="0"/>
        <w:rPr>
          <w:lang w:val="es-PE"/>
        </w:rPr>
      </w:pPr>
    </w:p>
    <w:p w:rsidRPr="00D444FF" w:rsidR="00D444FF" w:rsidP="00D444FF" w:rsidRDefault="00D444FF" w14:paraId="40C76873" w14:textId="4084A399">
      <w:pPr>
        <w:jc w:val="both"/>
        <w:outlineLvl w:val="0"/>
        <w:rPr>
          <w:lang w:val="es-PE"/>
        </w:rPr>
      </w:pPr>
      <w:r w:rsidRPr="1BCC2512" w:rsidR="00D444FF">
        <w:rPr>
          <w:lang w:val="es-PE"/>
        </w:rPr>
        <w:t xml:space="preserve">Que, con su reclamación, el señor </w:t>
      </w:r>
      <w:r w:rsidRPr="1BCC2512" w:rsidR="705958AE">
        <w:rPr>
          <w:lang w:val="es-PE"/>
        </w:rPr>
        <w:t>......................................................................................</w:t>
      </w:r>
      <w:r w:rsidRPr="1BCC2512" w:rsidR="00D444FF">
        <w:rPr>
          <w:lang w:val="es-PE"/>
        </w:rPr>
        <w:t xml:space="preserve"> presentó los siguientes documentos: </w:t>
      </w:r>
      <w:r w:rsidRPr="1BCC2512" w:rsidR="00D444FF">
        <w:rPr>
          <w:b w:val="1"/>
          <w:bCs w:val="1"/>
          <w:i w:val="1"/>
          <w:iCs w:val="1"/>
          <w:lang w:val="es-PE"/>
        </w:rPr>
        <w:t>(i)</w:t>
      </w:r>
      <w:r w:rsidRPr="1BCC2512" w:rsidR="00D444FF">
        <w:rPr>
          <w:lang w:val="es-PE"/>
        </w:rPr>
        <w:t xml:space="preserve"> copia del documento nacional de identidad del reclamante; </w:t>
      </w:r>
      <w:r w:rsidRPr="1BCC2512" w:rsidR="00D444FF">
        <w:rPr>
          <w:b w:val="1"/>
          <w:bCs w:val="1"/>
          <w:i w:val="1"/>
          <w:iCs w:val="1"/>
          <w:lang w:val="es-PE"/>
        </w:rPr>
        <w:t>(</w:t>
      </w:r>
      <w:r w:rsidRPr="1BCC2512" w:rsidR="00D444FF">
        <w:rPr>
          <w:b w:val="1"/>
          <w:bCs w:val="1"/>
          <w:i w:val="1"/>
          <w:iCs w:val="1"/>
          <w:lang w:val="es-PE"/>
        </w:rPr>
        <w:t>ii</w:t>
      </w:r>
      <w:r w:rsidRPr="1BCC2512" w:rsidR="00D444FF">
        <w:rPr>
          <w:b w:val="1"/>
          <w:bCs w:val="1"/>
          <w:i w:val="1"/>
          <w:iCs w:val="1"/>
          <w:lang w:val="es-PE"/>
        </w:rPr>
        <w:t>)</w:t>
      </w:r>
      <w:r w:rsidRPr="1BCC2512" w:rsidR="00D444FF">
        <w:rPr>
          <w:lang w:val="es-PE"/>
        </w:rPr>
        <w:t xml:space="preserve"> copia de la transacción </w:t>
      </w:r>
      <w:r w:rsidRPr="1BCC2512" w:rsidR="00D444FF">
        <w:rPr>
          <w:lang w:val="es-PE"/>
        </w:rPr>
        <w:t>n.°</w:t>
      </w:r>
      <w:r w:rsidRPr="1BCC2512" w:rsidR="00D444FF">
        <w:rPr>
          <w:lang w:val="es-PE"/>
        </w:rPr>
        <w:t xml:space="preserve"> </w:t>
      </w:r>
      <w:r w:rsidRPr="1BCC2512" w:rsidR="37925ABB">
        <w:rPr>
          <w:lang w:val="es-PE"/>
        </w:rPr>
        <w:t>..............................</w:t>
      </w:r>
      <w:r w:rsidRPr="1BCC2512" w:rsidR="00D444FF">
        <w:rPr>
          <w:lang w:val="es-PE"/>
        </w:rPr>
        <w:t xml:space="preserve">, sin fecha, entre </w:t>
      </w:r>
      <w:r w:rsidRPr="1BCC2512" w:rsidR="7AD16365">
        <w:rPr>
          <w:lang w:val="es-PE"/>
        </w:rPr>
        <w:t>...............</w:t>
      </w:r>
      <w:r w:rsidRPr="1BCC2512" w:rsidR="00D444FF">
        <w:rPr>
          <w:lang w:val="es-PE"/>
        </w:rPr>
        <w:t xml:space="preserve"> y el asegurado por la suma de USD 9 000 (nueve mil dólares americanos y 00/100) por concepto de indemnización total y definitiva por el robo total con asalto del vehículo asegurado (la “Transacción”); y, </w:t>
      </w:r>
      <w:r w:rsidRPr="1BCC2512" w:rsidR="00D444FF">
        <w:rPr>
          <w:b w:val="1"/>
          <w:bCs w:val="1"/>
          <w:i w:val="1"/>
          <w:iCs w:val="1"/>
          <w:lang w:val="es-PE"/>
        </w:rPr>
        <w:t>(</w:t>
      </w:r>
      <w:r w:rsidRPr="1BCC2512" w:rsidR="00D444FF">
        <w:rPr>
          <w:b w:val="1"/>
          <w:bCs w:val="1"/>
          <w:i w:val="1"/>
          <w:iCs w:val="1"/>
          <w:lang w:val="es-PE"/>
        </w:rPr>
        <w:t>iii</w:t>
      </w:r>
      <w:r w:rsidRPr="1BCC2512" w:rsidR="00D444FF">
        <w:rPr>
          <w:b w:val="1"/>
          <w:bCs w:val="1"/>
          <w:i w:val="1"/>
          <w:iCs w:val="1"/>
          <w:lang w:val="es-PE"/>
        </w:rPr>
        <w:t>)</w:t>
      </w:r>
      <w:r w:rsidRPr="1BCC2512" w:rsidR="00D444FF">
        <w:rPr>
          <w:lang w:val="es-PE"/>
        </w:rPr>
        <w:t xml:space="preserve"> copia de la hoja de la Póliza en la que se establece la suma asegurada por daño propio. </w:t>
      </w:r>
    </w:p>
    <w:p w:rsidR="00D444FF" w:rsidP="00D444FF" w:rsidRDefault="00D444FF" w14:paraId="3CFED5C0" w14:textId="57550BAE">
      <w:pPr>
        <w:jc w:val="both"/>
        <w:outlineLvl w:val="0"/>
        <w:rPr>
          <w:lang w:val="es-PE"/>
        </w:rPr>
      </w:pPr>
      <w:r w:rsidRPr="1BCC2512" w:rsidR="7AD16365">
        <w:rPr>
          <w:lang w:val="es-PE"/>
        </w:rPr>
        <w:t>...............</w:t>
      </w:r>
      <w:r w:rsidRPr="1BCC2512" w:rsidR="00D444FF">
        <w:rPr>
          <w:lang w:val="es-PE"/>
        </w:rPr>
        <w:t xml:space="preserve"> presentó su descargo el día 24 de abril de 2025, solicitando que el reclamo del asegurado sea declarado infundado en todos sus extremos, sobre la base de los siguientes hechos y argumentos: </w:t>
      </w:r>
      <w:r w:rsidRPr="1BCC2512" w:rsidR="00D444FF">
        <w:rPr>
          <w:b w:val="1"/>
          <w:bCs w:val="1"/>
          <w:i w:val="1"/>
          <w:iCs w:val="1"/>
          <w:lang w:val="es-PE"/>
        </w:rPr>
        <w:t>a)</w:t>
      </w:r>
      <w:r w:rsidRPr="1BCC2512" w:rsidR="00D444FF">
        <w:rPr>
          <w:lang w:val="es-PE"/>
        </w:rPr>
        <w:t xml:space="preserve"> que, conforme lo dispone el artículo 11 del Reglamento de la DEFASEG (“Reglamento”) el referido reclamo es infundado en todos sus extremos, por haber actuado </w:t>
      </w:r>
      <w:r w:rsidRPr="1BCC2512" w:rsidR="7AD16365">
        <w:rPr>
          <w:lang w:val="es-PE"/>
        </w:rPr>
        <w:t>...............</w:t>
      </w:r>
      <w:r w:rsidRPr="1BCC2512" w:rsidR="00D444FF">
        <w:rPr>
          <w:lang w:val="es-PE"/>
        </w:rPr>
        <w:t xml:space="preserve"> de acuerdo con los alcances de la cobertura del seguro contratado; </w:t>
      </w:r>
      <w:r w:rsidRPr="1BCC2512" w:rsidR="00D444FF">
        <w:rPr>
          <w:b w:val="1"/>
          <w:bCs w:val="1"/>
          <w:i w:val="1"/>
          <w:iCs w:val="1"/>
          <w:lang w:val="es-PE"/>
        </w:rPr>
        <w:t>b)</w:t>
      </w:r>
      <w:r w:rsidRPr="1BCC2512" w:rsidR="00D444FF">
        <w:rPr>
          <w:lang w:val="es-PE"/>
        </w:rPr>
        <w:t xml:space="preserve"> que, con fecha 14 de agosto de 2024, el señor </w:t>
      </w:r>
      <w:r w:rsidRPr="1BCC2512" w:rsidR="705958AE">
        <w:rPr>
          <w:lang w:val="es-PE"/>
        </w:rPr>
        <w:t>......................................................................................</w:t>
      </w:r>
      <w:r w:rsidRPr="1BCC2512" w:rsidR="00D444FF">
        <w:rPr>
          <w:lang w:val="es-PE"/>
        </w:rPr>
        <w:t xml:space="preserve"> sufrió el robo del vehículo asegurado, como consecuencia de dicho siniestro, la empresa aseguradora procedió a indemnizar al asegurado con la suma de USD 9 000 (nueve mil dólares americanos y 00/100) según lo estipulado en la Póliza; </w:t>
      </w:r>
      <w:r w:rsidRPr="1BCC2512" w:rsidR="00D444FF">
        <w:rPr>
          <w:b w:val="1"/>
          <w:bCs w:val="1"/>
          <w:i w:val="1"/>
          <w:iCs w:val="1"/>
          <w:lang w:val="es-PE"/>
        </w:rPr>
        <w:t>c)</w:t>
      </w:r>
      <w:r w:rsidRPr="1BCC2512" w:rsidR="00D444FF">
        <w:rPr>
          <w:lang w:val="es-PE"/>
        </w:rPr>
        <w:t xml:space="preserve"> que, mediante el presente reclamo, el asegurado exige un pago adicional de USD 4,490 (cuatro mil cuatrocientos noventa dólares americanos y 00/100) al ser dicha la diferencia presuntamente faltante, toda vez que consideró que la suma que inicialmente debió ser indemnizada fue la suma de USD 13 490 (trece mil cuatrocientos  noventa dólares americanos y 00/100) correspondiente a la suma máxima asegurada establecida en la Póliza; </w:t>
      </w:r>
      <w:r w:rsidRPr="1BCC2512" w:rsidR="00D444FF">
        <w:rPr>
          <w:b w:val="1"/>
          <w:bCs w:val="1"/>
          <w:i w:val="1"/>
          <w:iCs w:val="1"/>
          <w:lang w:val="es-PE"/>
        </w:rPr>
        <w:t>d)</w:t>
      </w:r>
      <w:r w:rsidRPr="1BCC2512" w:rsidR="00D444FF">
        <w:rPr>
          <w:lang w:val="es-PE"/>
        </w:rPr>
        <w:t xml:space="preserve"> que, el valor establecido como suma asegurada en la póliza no necesariamente coincide con el valor asegurable al momento del siniestro; </w:t>
      </w:r>
      <w:r w:rsidRPr="1BCC2512" w:rsidR="00D444FF">
        <w:rPr>
          <w:b w:val="1"/>
          <w:bCs w:val="1"/>
          <w:i w:val="1"/>
          <w:iCs w:val="1"/>
          <w:lang w:val="es-PE"/>
        </w:rPr>
        <w:t>e)</w:t>
      </w:r>
      <w:r w:rsidRPr="1BCC2512" w:rsidR="00D444FF">
        <w:rPr>
          <w:lang w:val="es-PE"/>
        </w:rPr>
        <w:t xml:space="preserve"> que, para calcular el valor indemnizable del vehículo siniestrado se deberá tomar en consideración las condiciones de liquidación establecidas en la póliza de seguros; </w:t>
      </w:r>
      <w:r w:rsidRPr="1BCC2512" w:rsidR="00D444FF">
        <w:rPr>
          <w:b w:val="1"/>
          <w:bCs w:val="1"/>
          <w:i w:val="1"/>
          <w:iCs w:val="1"/>
          <w:lang w:val="es-PE"/>
        </w:rPr>
        <w:t>f)</w:t>
      </w:r>
      <w:r w:rsidRPr="1BCC2512" w:rsidR="00D444FF">
        <w:rPr>
          <w:lang w:val="es-PE"/>
        </w:rPr>
        <w:t xml:space="preserve"> que, conforme a la Póliza, y conforme se le </w:t>
      </w:r>
      <w:r w:rsidRPr="1BCC2512" w:rsidR="00D444FF">
        <w:rPr>
          <w:lang w:val="es-PE"/>
        </w:rPr>
        <w:t xml:space="preserve">comunicó en su momento al asegurado, la indemnización por pérdida no se determina sobre sobre la base de la suma asegurada del vehículo, sino sobre el valor comercial del vehículo a la fecha del siniestro; </w:t>
      </w:r>
      <w:r w:rsidRPr="1BCC2512" w:rsidR="00D444FF">
        <w:rPr>
          <w:b w:val="1"/>
          <w:bCs w:val="1"/>
          <w:i w:val="1"/>
          <w:iCs w:val="1"/>
          <w:lang w:val="es-PE"/>
        </w:rPr>
        <w:t>g)</w:t>
      </w:r>
      <w:r w:rsidRPr="1BCC2512" w:rsidR="00D444FF">
        <w:rPr>
          <w:lang w:val="es-PE"/>
        </w:rPr>
        <w:t xml:space="preserve"> que, el vehículo, al momento de la contratación del seguro pudo haber tenido un valor correspondiente al monto reclamado, sin embargo, ello no quiere decir, que con el paso del tiempo el vehículo aún tenga el mismo valor, debido a que el valor comercial de los vehículos va disminuyendo con el paso del tiempo; </w:t>
      </w:r>
      <w:r w:rsidRPr="1BCC2512" w:rsidR="00D444FF">
        <w:rPr>
          <w:b w:val="1"/>
          <w:bCs w:val="1"/>
          <w:i w:val="1"/>
          <w:iCs w:val="1"/>
          <w:lang w:val="es-PE"/>
        </w:rPr>
        <w:t>h)</w:t>
      </w:r>
      <w:r w:rsidRPr="1BCC2512" w:rsidR="00D444FF">
        <w:rPr>
          <w:lang w:val="es-PE"/>
        </w:rPr>
        <w:t xml:space="preserve"> que, es por ello que se determinó que el valor comercial de la unidad siniestrada de acuerdo a sus características asciende a la suma de USD 9 000 (nueve mil dólares americanos y 00/100); y, </w:t>
      </w:r>
      <w:r w:rsidRPr="1BCC2512" w:rsidR="00D444FF">
        <w:rPr>
          <w:b w:val="1"/>
          <w:bCs w:val="1"/>
          <w:i w:val="1"/>
          <w:iCs w:val="1"/>
          <w:lang w:val="es-PE"/>
        </w:rPr>
        <w:t>i)</w:t>
      </w:r>
      <w:r w:rsidRPr="1BCC2512" w:rsidR="00D444FF">
        <w:rPr>
          <w:lang w:val="es-PE"/>
        </w:rPr>
        <w:t xml:space="preserve"> que, en la comunicación enviada al asegurado, incluso se le brindó la oportunidad de presentar a </w:t>
      </w:r>
      <w:r w:rsidRPr="1BCC2512" w:rsidR="7AD16365">
        <w:rPr>
          <w:lang w:val="es-PE"/>
        </w:rPr>
        <w:t>...............</w:t>
      </w:r>
      <w:r w:rsidRPr="1BCC2512" w:rsidR="00D444FF">
        <w:rPr>
          <w:lang w:val="es-PE"/>
        </w:rPr>
        <w:t xml:space="preserve"> una cotización del concesionario de la marca del vehículo, tomando en consideración el modelo y año del vehículo asegurado.</w:t>
      </w:r>
    </w:p>
    <w:p w:rsidRPr="00D444FF" w:rsidR="00D444FF" w:rsidP="00D444FF" w:rsidRDefault="00D444FF" w14:paraId="2F887414" w14:textId="77777777">
      <w:pPr>
        <w:jc w:val="both"/>
        <w:outlineLvl w:val="0"/>
        <w:rPr>
          <w:lang w:val="es-PE"/>
        </w:rPr>
      </w:pPr>
    </w:p>
    <w:p w:rsidR="00D444FF" w:rsidP="00D444FF" w:rsidRDefault="00D444FF" w14:paraId="175AF5A7" w14:textId="15828DC1">
      <w:pPr>
        <w:jc w:val="both"/>
        <w:outlineLvl w:val="0"/>
        <w:rPr>
          <w:lang w:val="es-PE"/>
        </w:rPr>
      </w:pPr>
      <w:r w:rsidRPr="1BCC2512" w:rsidR="00D444FF">
        <w:rPr>
          <w:lang w:val="es-PE"/>
        </w:rPr>
        <w:t xml:space="preserve">Que, con su reclamación, </w:t>
      </w:r>
      <w:r w:rsidRPr="1BCC2512" w:rsidR="7AD16365">
        <w:rPr>
          <w:lang w:val="es-PE"/>
        </w:rPr>
        <w:t>...............</w:t>
      </w:r>
      <w:r w:rsidRPr="1BCC2512" w:rsidR="00D444FF">
        <w:rPr>
          <w:lang w:val="es-PE"/>
        </w:rPr>
        <w:t xml:space="preserve"> presentó una copia de la Transacción.   </w:t>
      </w:r>
    </w:p>
    <w:p w:rsidRPr="00D444FF" w:rsidR="00D444FF" w:rsidP="00D444FF" w:rsidRDefault="00D444FF" w14:paraId="613AFB3E" w14:textId="77777777">
      <w:pPr>
        <w:jc w:val="both"/>
        <w:outlineLvl w:val="0"/>
        <w:rPr>
          <w:lang w:val="es-PE"/>
        </w:rPr>
      </w:pPr>
    </w:p>
    <w:p w:rsidR="00D444FF" w:rsidP="00D444FF" w:rsidRDefault="00D444FF" w14:paraId="178EC569" w14:textId="77777777">
      <w:pPr>
        <w:jc w:val="both"/>
        <w:outlineLvl w:val="0"/>
        <w:rPr>
          <w:lang w:val="es-PE"/>
        </w:rPr>
      </w:pPr>
      <w:r w:rsidRPr="00D444FF">
        <w:rPr>
          <w:lang w:val="es-PE"/>
        </w:rPr>
        <w:t xml:space="preserve">Que, el 2 de junio de 2025 se realizó a través de </w:t>
      </w:r>
      <w:bookmarkStart w:name="_Hlk199292738" w:id="1"/>
      <w:r w:rsidRPr="00D444FF">
        <w:rPr>
          <w:lang w:val="es-PE"/>
        </w:rPr>
        <w:t>videoconferencia</w:t>
      </w:r>
      <w:bookmarkEnd w:id="1"/>
      <w:r w:rsidRPr="00D444FF">
        <w:rPr>
          <w:lang w:val="es-PE"/>
        </w:rPr>
        <w:t xml:space="preserve"> la audiencia de informe oral con la participación del reclamante, el cual tuvo la oportunidad de exponer sus argumentos y absolver las preguntas formuladas por los miembros de la Defensoría. Que con la finalidad de tener mayores elementos de juicio para resolver la controversia la Defensoría otorgó un plazo de tres (3) días hábiles al reclamante para que presente copia de los siguientes documentos: </w:t>
      </w:r>
      <w:r w:rsidRPr="00D444FF">
        <w:rPr>
          <w:b/>
          <w:bCs/>
          <w:i/>
          <w:iCs/>
          <w:lang w:val="es-PE"/>
        </w:rPr>
        <w:t xml:space="preserve">(i) </w:t>
      </w:r>
      <w:r w:rsidRPr="00D444FF">
        <w:rPr>
          <w:lang w:val="es-PE"/>
        </w:rPr>
        <w:t xml:space="preserve">copia del acta de transferencia del vehículo siniestrado, </w:t>
      </w:r>
      <w:r w:rsidRPr="00D444FF">
        <w:rPr>
          <w:b/>
          <w:bCs/>
          <w:i/>
          <w:iCs/>
          <w:lang w:val="es-PE"/>
        </w:rPr>
        <w:t>(</w:t>
      </w:r>
      <w:proofErr w:type="spellStart"/>
      <w:r w:rsidRPr="00D444FF">
        <w:rPr>
          <w:b/>
          <w:bCs/>
          <w:i/>
          <w:iCs/>
          <w:lang w:val="es-PE"/>
        </w:rPr>
        <w:t>ii</w:t>
      </w:r>
      <w:proofErr w:type="spellEnd"/>
      <w:r w:rsidRPr="00D444FF">
        <w:rPr>
          <w:b/>
          <w:bCs/>
          <w:i/>
          <w:iCs/>
          <w:lang w:val="es-PE"/>
        </w:rPr>
        <w:t>)</w:t>
      </w:r>
      <w:r w:rsidRPr="00D444FF">
        <w:rPr>
          <w:lang w:val="es-PE"/>
        </w:rPr>
        <w:t xml:space="preserve"> copia de la factura que se le dio por la compra del vehículo; y, </w:t>
      </w:r>
      <w:r w:rsidRPr="00D444FF">
        <w:rPr>
          <w:b/>
          <w:bCs/>
          <w:i/>
          <w:iCs/>
          <w:lang w:val="es-PE"/>
        </w:rPr>
        <w:t>(</w:t>
      </w:r>
      <w:proofErr w:type="spellStart"/>
      <w:r w:rsidRPr="00D444FF">
        <w:rPr>
          <w:b/>
          <w:bCs/>
          <w:i/>
          <w:iCs/>
          <w:lang w:val="es-PE"/>
        </w:rPr>
        <w:t>iii</w:t>
      </w:r>
      <w:proofErr w:type="spellEnd"/>
      <w:r w:rsidRPr="00D444FF">
        <w:rPr>
          <w:b/>
          <w:bCs/>
          <w:i/>
          <w:iCs/>
          <w:lang w:val="es-PE"/>
        </w:rPr>
        <w:t>)</w:t>
      </w:r>
      <w:r w:rsidRPr="00D444FF">
        <w:rPr>
          <w:lang w:val="es-PE"/>
        </w:rPr>
        <w:t xml:space="preserve"> copia de la reclamación sobre estos hechos presentada ante Indecopi. Asimismo, se otorgó el mismo plazo a la Compañía para que presente la póliza con su respectivo cargo de entrega.</w:t>
      </w:r>
    </w:p>
    <w:p w:rsidRPr="00D444FF" w:rsidR="00D444FF" w:rsidP="00D444FF" w:rsidRDefault="00D444FF" w14:paraId="67CD7266" w14:textId="77777777">
      <w:pPr>
        <w:jc w:val="both"/>
        <w:outlineLvl w:val="0"/>
        <w:rPr>
          <w:lang w:val="es-PE"/>
        </w:rPr>
      </w:pPr>
    </w:p>
    <w:p w:rsidR="00D444FF" w:rsidP="00D444FF" w:rsidRDefault="00D444FF" w14:paraId="5B381A65" w14:textId="7F70334F">
      <w:pPr>
        <w:jc w:val="both"/>
        <w:outlineLvl w:val="0"/>
        <w:rPr>
          <w:lang w:val="es-PE"/>
        </w:rPr>
      </w:pPr>
      <w:r w:rsidRPr="1BCC2512" w:rsidR="00D444FF">
        <w:rPr>
          <w:lang w:val="es-PE"/>
        </w:rPr>
        <w:t xml:space="preserve">Que, el señor </w:t>
      </w:r>
      <w:r w:rsidRPr="1BCC2512" w:rsidR="705958AE">
        <w:rPr>
          <w:lang w:val="es-PE"/>
        </w:rPr>
        <w:t>......................................................................................</w:t>
      </w:r>
      <w:r w:rsidRPr="1BCC2512" w:rsidR="00D444FF">
        <w:rPr>
          <w:lang w:val="es-PE"/>
        </w:rPr>
        <w:t xml:space="preserve"> no presentó la documentación requerida en la audiencia de informe oral. </w:t>
      </w:r>
    </w:p>
    <w:p w:rsidRPr="00D444FF" w:rsidR="00D444FF" w:rsidP="00D444FF" w:rsidRDefault="00D444FF" w14:paraId="5D6A792C" w14:textId="77777777">
      <w:pPr>
        <w:jc w:val="both"/>
        <w:outlineLvl w:val="0"/>
        <w:rPr>
          <w:lang w:val="es-PE"/>
        </w:rPr>
      </w:pPr>
    </w:p>
    <w:p w:rsidR="00D444FF" w:rsidP="00D444FF" w:rsidRDefault="00D444FF" w14:paraId="125978F3" w14:textId="10CBAB10">
      <w:pPr>
        <w:jc w:val="both"/>
        <w:outlineLvl w:val="0"/>
        <w:rPr>
          <w:lang w:val="es-PE"/>
        </w:rPr>
      </w:pPr>
      <w:r w:rsidRPr="1BCC2512" w:rsidR="00D444FF">
        <w:rPr>
          <w:lang w:val="es-PE"/>
        </w:rPr>
        <w:t xml:space="preserve">Que, con fecha 4 de junio de 2025, </w:t>
      </w:r>
      <w:r w:rsidRPr="1BCC2512" w:rsidR="7AD16365">
        <w:rPr>
          <w:lang w:val="es-PE"/>
        </w:rPr>
        <w:t>...............</w:t>
      </w:r>
      <w:r w:rsidRPr="1BCC2512" w:rsidR="00D444FF">
        <w:rPr>
          <w:lang w:val="es-PE"/>
        </w:rPr>
        <w:t xml:space="preserve"> cumplió con presentar una copia de la Póliza, no </w:t>
      </w:r>
      <w:r w:rsidRPr="1BCC2512" w:rsidR="00D444FF">
        <w:rPr>
          <w:lang w:val="es-PE"/>
        </w:rPr>
        <w:t>obstante</w:t>
      </w:r>
      <w:r w:rsidRPr="1BCC2512" w:rsidR="00D444FF">
        <w:rPr>
          <w:lang w:val="es-PE"/>
        </w:rPr>
        <w:t xml:space="preserve"> no presentó el cargo de entrega de </w:t>
      </w:r>
      <w:r w:rsidRPr="1BCC2512" w:rsidR="00D444FF">
        <w:rPr>
          <w:lang w:val="es-PE"/>
        </w:rPr>
        <w:t>la misma</w:t>
      </w:r>
      <w:r w:rsidRPr="1BCC2512" w:rsidR="00D444FF">
        <w:rPr>
          <w:lang w:val="es-PE"/>
        </w:rPr>
        <w:t xml:space="preserve"> al asegurado.  </w:t>
      </w:r>
    </w:p>
    <w:p w:rsidRPr="00D444FF" w:rsidR="00D444FF" w:rsidP="00D444FF" w:rsidRDefault="00D444FF" w14:paraId="1071ACFF" w14:textId="77777777">
      <w:pPr>
        <w:jc w:val="both"/>
        <w:outlineLvl w:val="0"/>
        <w:rPr>
          <w:lang w:val="es-PE"/>
        </w:rPr>
      </w:pPr>
    </w:p>
    <w:p w:rsidR="00D444FF" w:rsidP="00D444FF" w:rsidRDefault="00D444FF" w14:paraId="0D81B71B" w14:textId="77777777">
      <w:pPr>
        <w:jc w:val="both"/>
        <w:outlineLvl w:val="0"/>
        <w:rPr>
          <w:lang w:val="es-PE"/>
        </w:rPr>
      </w:pPr>
      <w:r w:rsidRPr="00D444FF">
        <w:rPr>
          <w:lang w:val="es-PE"/>
        </w:rPr>
        <w:t>Al resolver, este Colegiado toma en cuenta las argumentaciones de las partes expresadas a lo largo del procedimiento.</w:t>
      </w:r>
    </w:p>
    <w:p w:rsidRPr="00D444FF" w:rsidR="00D444FF" w:rsidP="00D444FF" w:rsidRDefault="00D444FF" w14:paraId="37F210E5" w14:textId="77777777">
      <w:pPr>
        <w:jc w:val="both"/>
        <w:outlineLvl w:val="0"/>
        <w:rPr>
          <w:lang w:val="es-PE"/>
        </w:rPr>
      </w:pPr>
    </w:p>
    <w:p w:rsidR="00D444FF" w:rsidP="00D444FF" w:rsidRDefault="00D444FF" w14:paraId="445A3C75" w14:textId="77777777">
      <w:pPr>
        <w:jc w:val="both"/>
        <w:outlineLvl w:val="0"/>
        <w:rPr>
          <w:b/>
          <w:bCs/>
          <w:lang w:val="es-MX"/>
        </w:rPr>
      </w:pPr>
      <w:r w:rsidRPr="00D444FF">
        <w:rPr>
          <w:b/>
          <w:bCs/>
          <w:lang w:val="es-MX"/>
        </w:rPr>
        <w:t>CONSIDERANDO:</w:t>
      </w:r>
    </w:p>
    <w:p w:rsidRPr="00D444FF" w:rsidR="007C4E66" w:rsidP="00D444FF" w:rsidRDefault="007C4E66" w14:paraId="301AD57A" w14:textId="77777777">
      <w:pPr>
        <w:jc w:val="both"/>
        <w:outlineLvl w:val="0"/>
        <w:rPr>
          <w:b/>
          <w:bCs/>
          <w:lang w:val="es-MX"/>
        </w:rPr>
      </w:pPr>
    </w:p>
    <w:p w:rsidRPr="00D444FF" w:rsidR="00D444FF" w:rsidP="00D444FF" w:rsidRDefault="00D444FF" w14:paraId="54CE3071" w14:textId="77777777">
      <w:pPr>
        <w:jc w:val="both"/>
        <w:outlineLvl w:val="0"/>
        <w:rPr>
          <w:lang w:val="es-PE"/>
        </w:rPr>
      </w:pPr>
      <w:r w:rsidRPr="00D444FF" w:rsidR="00D444FF">
        <w:rPr>
          <w:b w:val="1"/>
          <w:bCs w:val="1"/>
          <w:u w:val="single"/>
          <w:lang w:val="es-PE"/>
        </w:rPr>
        <w:t>PRIMERO</w:t>
      </w:r>
      <w:r w:rsidRPr="00D444FF" w:rsidR="00D444FF">
        <w:rPr>
          <w:lang w:val="es-PE"/>
        </w:rPr>
        <w:t>: Conforme al Reglamento (el “Reglamento”)</w:t>
      </w:r>
      <w:r w:rsidRPr="00D444FF">
        <w:rPr>
          <w:vertAlign w:val="superscript"/>
          <w:lang w:val="en-US"/>
        </w:rPr>
        <w:footnoteReference w:id="1"/>
      </w:r>
      <w:r w:rsidRPr="00D444FF" w:rsidR="00D444FF">
        <w:rPr>
          <w:lang w:val="es-PE"/>
        </w:rPr>
        <w:t>, esta Defensoría sólo es competente para resolver aquellos reclamos indemnizatorios de los asegurados, que hubiesen sido sometidos a su conocimiento, sobre la base de la documentación obrante en el expediente y con arreglo a derecho, siempre y cuando los mismos cumplan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aspectos ajenos a la competencia funcional de esta Defensoría; y, por lo tanto, deberán discutirse ante las instancias competentes.</w:t>
      </w:r>
    </w:p>
    <w:p w:rsidR="1BCC2512" w:rsidP="1BCC2512" w:rsidRDefault="1BCC2512" w14:paraId="78125C33" w14:textId="17F996C0">
      <w:pPr>
        <w:jc w:val="both"/>
        <w:outlineLvl w:val="0"/>
        <w:rPr>
          <w:lang w:val="es-PE"/>
        </w:rPr>
      </w:pPr>
    </w:p>
    <w:p w:rsidR="00D444FF" w:rsidP="00D444FF" w:rsidRDefault="00D444FF" w14:paraId="05253406" w14:textId="77777777">
      <w:pPr>
        <w:jc w:val="both"/>
        <w:outlineLvl w:val="0"/>
        <w:rPr>
          <w:lang w:val="es-PE"/>
        </w:rPr>
      </w:pPr>
      <w:r w:rsidRPr="00D444FF">
        <w:rPr>
          <w:b/>
          <w:bCs/>
          <w:u w:val="single"/>
          <w:lang w:val="es-PE"/>
        </w:rPr>
        <w:t>SEGUNDO</w:t>
      </w:r>
      <w:r w:rsidRPr="00D444FF">
        <w:rPr>
          <w:lang w:val="es-PE"/>
        </w:rPr>
        <w:t xml:space="preserve">: De acuerdo con el Reglamento, las resoluciones emitidas por la sala colegiada de la DEFASEG que queden </w:t>
      </w:r>
      <w:proofErr w:type="gramStart"/>
      <w:r w:rsidRPr="00D444FF">
        <w:rPr>
          <w:lang w:val="es-PE"/>
        </w:rPr>
        <w:t>firmes,</w:t>
      </w:r>
      <w:proofErr w:type="gramEnd"/>
      <w:r w:rsidRPr="00D444FF">
        <w:rPr>
          <w:lang w:val="es-PE"/>
        </w:rPr>
        <w:t xml:space="preserve"> son vinculantes para las empresas aseguradoras, cuando son favorables para los asegurados, las cuales deberán proceder conforme a lo ordenado en ellas en un plazo máximo de quince días hábiles de notificada la resolución. </w:t>
      </w:r>
    </w:p>
    <w:p w:rsidRPr="00D444FF" w:rsidR="007C4E66" w:rsidP="00D444FF" w:rsidRDefault="007C4E66" w14:paraId="1164E8BA" w14:textId="77777777">
      <w:pPr>
        <w:jc w:val="both"/>
        <w:outlineLvl w:val="0"/>
        <w:rPr>
          <w:lang w:val="es-PE"/>
        </w:rPr>
      </w:pPr>
    </w:p>
    <w:p w:rsidR="00D444FF" w:rsidP="00D444FF" w:rsidRDefault="00D444FF" w14:paraId="7F497CE7" w14:textId="77777777">
      <w:pPr>
        <w:jc w:val="both"/>
        <w:outlineLvl w:val="0"/>
        <w:rPr>
          <w:lang w:val="es-PE"/>
        </w:rPr>
      </w:pPr>
      <w:r w:rsidRPr="00D444FF">
        <w:rPr>
          <w:b/>
          <w:bCs/>
          <w:u w:val="single"/>
          <w:lang w:val="es-PE"/>
        </w:rPr>
        <w:t>TERCERO</w:t>
      </w:r>
      <w:r w:rsidRPr="00D444FF">
        <w:rPr>
          <w:lang w:val="es-PE"/>
        </w:rPr>
        <w:t>: El artículo 1 de la Ley del Contrato de Seguro</w:t>
      </w:r>
      <w:r w:rsidRPr="00D444FF">
        <w:rPr>
          <w:vertAlign w:val="superscript"/>
          <w:lang w:val="es-PE"/>
        </w:rPr>
        <w:footnoteReference w:id="2"/>
      </w:r>
      <w:r w:rsidRPr="00D444FF">
        <w:rPr>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de una póliza que la empresa aseguradora deberá entregar al asegurado al momento de la contratación y cuyos requisitos están previstos en el artículo 26 de la Ley señalada.</w:t>
      </w:r>
    </w:p>
    <w:p w:rsidRPr="00D444FF" w:rsidR="008048C4" w:rsidP="00D444FF" w:rsidRDefault="008048C4" w14:paraId="037AAAD0" w14:textId="77777777">
      <w:pPr>
        <w:jc w:val="both"/>
        <w:outlineLvl w:val="0"/>
        <w:rPr>
          <w:lang w:val="es-PE"/>
        </w:rPr>
      </w:pPr>
    </w:p>
    <w:p w:rsidR="00D444FF" w:rsidP="00D444FF" w:rsidRDefault="00D444FF" w14:paraId="4149A8FF" w14:textId="77777777">
      <w:pPr>
        <w:jc w:val="both"/>
        <w:outlineLvl w:val="0"/>
        <w:rPr>
          <w:lang w:val="es-PE"/>
        </w:rPr>
      </w:pPr>
      <w:r w:rsidRPr="00D444FF">
        <w:rPr>
          <w:b/>
          <w:bCs/>
          <w:u w:val="single"/>
          <w:lang w:val="es-PE"/>
        </w:rPr>
        <w:t>CUARTO</w:t>
      </w:r>
      <w:r w:rsidRPr="00D444FF">
        <w:rPr>
          <w:lang w:val="es-PE"/>
        </w:rPr>
        <w:t>: Que, el artículo 1361 del Código Civil</w:t>
      </w:r>
      <w:r w:rsidRPr="00D444FF">
        <w:rPr>
          <w:vertAlign w:val="superscript"/>
          <w:lang w:val="es-PE"/>
        </w:rPr>
        <w:footnoteReference w:id="3"/>
      </w:r>
      <w:r w:rsidRPr="00D444FF">
        <w:rPr>
          <w:lang w:val="es-PE"/>
        </w:rPr>
        <w:t xml:space="preserve"> establece que los contratos son obligatorios en cuanto se encuentre expresado en ellos, presumiéndose que lo declarado en ellos corresponde a la voluntad de las partes, de manera que la parte que sostenga lo contrario a lo establecido expresamente en ellos deberá probarlo.</w:t>
      </w:r>
    </w:p>
    <w:p w:rsidRPr="00D444FF" w:rsidR="008048C4" w:rsidP="00D444FF" w:rsidRDefault="008048C4" w14:paraId="1E348AF2" w14:textId="77777777">
      <w:pPr>
        <w:jc w:val="both"/>
        <w:outlineLvl w:val="0"/>
        <w:rPr>
          <w:lang w:val="es-PE"/>
        </w:rPr>
      </w:pPr>
    </w:p>
    <w:p w:rsidR="00D444FF" w:rsidP="00D444FF" w:rsidRDefault="00D444FF" w14:paraId="41E51AE0" w14:textId="77777777">
      <w:pPr>
        <w:jc w:val="both"/>
        <w:outlineLvl w:val="0"/>
        <w:rPr>
          <w:lang w:val="es-PE"/>
        </w:rPr>
      </w:pPr>
      <w:r w:rsidRPr="00D444FF">
        <w:rPr>
          <w:b/>
          <w:bCs/>
          <w:u w:val="single"/>
          <w:lang w:val="es-PE"/>
        </w:rPr>
        <w:t>QUINTO</w:t>
      </w:r>
      <w:r w:rsidRPr="00D444FF">
        <w:rPr>
          <w:lang w:val="es-PE"/>
        </w:rPr>
        <w:t>: Que, en materia procesal, corresponde a quien invoque los hechos probar su existencia; carga a la que se refiere el artículo 196 del Código Procesal Civil</w:t>
      </w:r>
      <w:r w:rsidRPr="00D444FF">
        <w:rPr>
          <w:vertAlign w:val="superscript"/>
          <w:lang w:val="es-PE"/>
        </w:rPr>
        <w:footnoteReference w:id="4"/>
      </w:r>
      <w:r w:rsidRPr="00D444FF">
        <w:rPr>
          <w:lang w:val="es-PE"/>
        </w:rPr>
        <w:t>, salvo que se acoja a alguna presunción legal de carácter relativa o absoluta contemplada expresamente en la legislación pertinente.</w:t>
      </w:r>
    </w:p>
    <w:p w:rsidRPr="00D444FF" w:rsidR="009942A4" w:rsidP="00D444FF" w:rsidRDefault="009942A4" w14:paraId="761A4030" w14:textId="77777777">
      <w:pPr>
        <w:jc w:val="both"/>
        <w:outlineLvl w:val="0"/>
        <w:rPr>
          <w:lang w:val="es-PE"/>
        </w:rPr>
      </w:pPr>
    </w:p>
    <w:p w:rsidR="00D444FF" w:rsidP="00D444FF" w:rsidRDefault="00D444FF" w14:paraId="0D44CDDB" w14:textId="77777777">
      <w:pPr>
        <w:jc w:val="both"/>
        <w:outlineLvl w:val="0"/>
        <w:rPr>
          <w:lang w:val="es-PE"/>
        </w:rPr>
      </w:pPr>
      <w:r w:rsidRPr="00D444FF">
        <w:rPr>
          <w:b/>
          <w:bCs/>
          <w:u w:val="single"/>
          <w:lang w:val="es-PE"/>
        </w:rPr>
        <w:t>SEXTO</w:t>
      </w:r>
      <w:r w:rsidRPr="00D444FF">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D444FF" w:rsidR="009942A4" w:rsidP="00D444FF" w:rsidRDefault="009942A4" w14:paraId="4C1EF804" w14:textId="77777777">
      <w:pPr>
        <w:jc w:val="both"/>
        <w:outlineLvl w:val="0"/>
        <w:rPr>
          <w:lang w:val="es-PE"/>
        </w:rPr>
      </w:pPr>
    </w:p>
    <w:p w:rsidR="00D444FF" w:rsidP="00D444FF" w:rsidRDefault="00D444FF" w14:paraId="239A132B" w14:textId="77777777">
      <w:pPr>
        <w:jc w:val="both"/>
        <w:outlineLvl w:val="0"/>
        <w:rPr>
          <w:lang w:val="es-PE"/>
        </w:rPr>
      </w:pPr>
      <w:bookmarkStart w:name="_Hlk200061658" w:id="2"/>
      <w:r w:rsidRPr="00D444FF">
        <w:rPr>
          <w:b/>
          <w:bCs/>
          <w:u w:val="single"/>
          <w:lang w:val="es-PE"/>
        </w:rPr>
        <w:t>SÉPTIMO</w:t>
      </w:r>
      <w:r w:rsidRPr="00D444FF">
        <w:rPr>
          <w:lang w:val="es-PE"/>
        </w:rPr>
        <w:t xml:space="preserve">: El Reglamento de la DEFASEG dispone en su artículo 4 que, la Defensoría es competente para resolver aquellas controversias suscitadas entre asegurados y empresas de seguros, siempre que se cumplan con los siguientes requisitos de materia, plazo y cuantía de manera concurrente: </w:t>
      </w:r>
      <w:r w:rsidRPr="00D444FF">
        <w:rPr>
          <w:b/>
          <w:bCs/>
          <w:i/>
          <w:iCs/>
          <w:lang w:val="es-PE"/>
        </w:rPr>
        <w:t>(i)</w:t>
      </w:r>
      <w:r w:rsidRPr="00D444FF">
        <w:rPr>
          <w:lang w:val="es-PE"/>
        </w:rPr>
        <w:t xml:space="preserve"> por un rechazo o liquidación de un siniestro por parte de una empresa de seguros; </w:t>
      </w:r>
      <w:r w:rsidRPr="00D444FF">
        <w:rPr>
          <w:b/>
          <w:bCs/>
          <w:i/>
          <w:iCs/>
          <w:lang w:val="es-PE"/>
        </w:rPr>
        <w:t>(</w:t>
      </w:r>
      <w:proofErr w:type="spellStart"/>
      <w:r w:rsidRPr="00D444FF">
        <w:rPr>
          <w:b/>
          <w:bCs/>
          <w:i/>
          <w:iCs/>
          <w:lang w:val="es-PE"/>
        </w:rPr>
        <w:t>ii</w:t>
      </w:r>
      <w:proofErr w:type="spellEnd"/>
      <w:r w:rsidRPr="00D444FF">
        <w:rPr>
          <w:b/>
          <w:bCs/>
          <w:i/>
          <w:iCs/>
          <w:lang w:val="es-PE"/>
        </w:rPr>
        <w:t>)</w:t>
      </w:r>
      <w:r w:rsidRPr="00D444FF">
        <w:rPr>
          <w:lang w:val="es-PE"/>
        </w:rPr>
        <w:t xml:space="preserve"> el reclamo debe presentarse dentro del plazo de dos años desde el día siguiente de recibida la primera notificación en que es rechazada la pretensión de </w:t>
      </w:r>
      <w:r w:rsidRPr="00D444FF">
        <w:rPr>
          <w:lang w:val="es-PE"/>
        </w:rPr>
        <w:t xml:space="preserve">cobertura por parte de la empresa de seguros; y, </w:t>
      </w:r>
      <w:r w:rsidRPr="00D444FF">
        <w:rPr>
          <w:b/>
          <w:bCs/>
          <w:i/>
          <w:iCs/>
          <w:lang w:val="es-PE"/>
        </w:rPr>
        <w:t>(</w:t>
      </w:r>
      <w:proofErr w:type="spellStart"/>
      <w:r w:rsidRPr="00D444FF">
        <w:rPr>
          <w:b/>
          <w:bCs/>
          <w:i/>
          <w:iCs/>
          <w:lang w:val="es-PE"/>
        </w:rPr>
        <w:t>iii</w:t>
      </w:r>
      <w:proofErr w:type="spellEnd"/>
      <w:r w:rsidRPr="00D444FF">
        <w:rPr>
          <w:b/>
          <w:bCs/>
          <w:i/>
          <w:iCs/>
          <w:lang w:val="es-PE"/>
        </w:rPr>
        <w:t>)</w:t>
      </w:r>
      <w:r w:rsidRPr="00D444FF">
        <w:rPr>
          <w:lang w:val="es-PE"/>
        </w:rPr>
        <w:t xml:space="preserve"> el total de la indemnización exigida por el asegurado a la empresa de seguros no debe exceder los USD 50 000 (cincuenta mil dólares americanos y 00/100)</w:t>
      </w:r>
      <w:r w:rsidRPr="00D444FF">
        <w:rPr>
          <w:vertAlign w:val="superscript"/>
          <w:lang w:val="es-PE"/>
        </w:rPr>
        <w:footnoteReference w:id="5"/>
      </w:r>
      <w:r w:rsidRPr="00D444FF">
        <w:rPr>
          <w:lang w:val="es-PE"/>
        </w:rPr>
        <w:t xml:space="preserve">.  </w:t>
      </w:r>
    </w:p>
    <w:p w:rsidRPr="00D444FF" w:rsidR="009942A4" w:rsidP="00D444FF" w:rsidRDefault="009942A4" w14:paraId="16DD34C6" w14:textId="77777777">
      <w:pPr>
        <w:jc w:val="both"/>
        <w:outlineLvl w:val="0"/>
        <w:rPr>
          <w:lang w:val="es-PE"/>
        </w:rPr>
      </w:pPr>
    </w:p>
    <w:p w:rsidR="00D444FF" w:rsidP="00D444FF" w:rsidRDefault="00D444FF" w14:paraId="68DE0C78" w14:textId="20104483">
      <w:pPr>
        <w:jc w:val="both"/>
        <w:outlineLvl w:val="0"/>
        <w:rPr>
          <w:lang w:val="es-PE"/>
        </w:rPr>
      </w:pPr>
      <w:r w:rsidRPr="1BCC2512" w:rsidR="00D444FF">
        <w:rPr>
          <w:b w:val="1"/>
          <w:bCs w:val="1"/>
          <w:u w:val="single"/>
          <w:lang w:val="es-PE"/>
        </w:rPr>
        <w:t>OCTAVO</w:t>
      </w:r>
      <w:r w:rsidRPr="1BCC2512" w:rsidR="00D444FF">
        <w:rPr>
          <w:lang w:val="es-PE"/>
        </w:rPr>
        <w:t xml:space="preserve">: De los documentos presentados por las partes en esta controversia, este Colegiado considera que la materia controvertida consiste en determinar la validez de la liquidación del siniestro por parte de </w:t>
      </w:r>
      <w:r w:rsidRPr="1BCC2512" w:rsidR="7AD16365">
        <w:rPr>
          <w:lang w:val="es-PE"/>
        </w:rPr>
        <w:t>...............</w:t>
      </w:r>
      <w:r w:rsidRPr="1BCC2512" w:rsidR="00D444FF">
        <w:rPr>
          <w:lang w:val="es-PE"/>
        </w:rPr>
        <w:t xml:space="preserve">, en el sentido si corresponde que la indemnización otorgada al señor </w:t>
      </w:r>
      <w:r w:rsidRPr="1BCC2512" w:rsidR="02DFA0BB">
        <w:rPr>
          <w:lang w:val="es-PE"/>
        </w:rPr>
        <w:t>......................................................................................</w:t>
      </w:r>
      <w:r w:rsidRPr="1BCC2512" w:rsidR="00D444FF">
        <w:rPr>
          <w:lang w:val="es-PE"/>
        </w:rPr>
        <w:t xml:space="preserve"> alcance la suma de USD 13 490 (trece mil cuatrocientos noventa dólares americanos y 00/100).  </w:t>
      </w:r>
    </w:p>
    <w:p w:rsidRPr="00D444FF" w:rsidR="009942A4" w:rsidP="00D444FF" w:rsidRDefault="009942A4" w14:paraId="71378B19" w14:textId="77777777">
      <w:pPr>
        <w:jc w:val="both"/>
        <w:outlineLvl w:val="0"/>
        <w:rPr>
          <w:lang w:val="es-PE"/>
        </w:rPr>
      </w:pPr>
    </w:p>
    <w:p w:rsidR="00D444FF" w:rsidP="00D444FF" w:rsidRDefault="00D444FF" w14:paraId="29914C1C" w14:textId="4F706992">
      <w:pPr>
        <w:jc w:val="both"/>
        <w:outlineLvl w:val="0"/>
        <w:rPr>
          <w:lang w:val="es-PE"/>
        </w:rPr>
      </w:pPr>
      <w:r w:rsidRPr="1BCC2512" w:rsidR="00D444FF">
        <w:rPr>
          <w:b w:val="1"/>
          <w:bCs w:val="1"/>
          <w:u w:val="single"/>
          <w:lang w:val="es-PE"/>
        </w:rPr>
        <w:t>NOVENO:</w:t>
      </w:r>
      <w:r w:rsidRPr="1BCC2512" w:rsidR="00D444FF">
        <w:rPr>
          <w:lang w:val="es-PE"/>
        </w:rPr>
        <w:t xml:space="preserve"> El reclamo fue presentado por el señor </w:t>
      </w:r>
      <w:r w:rsidRPr="1BCC2512" w:rsidR="02DFA0BB">
        <w:rPr>
          <w:lang w:val="es-PE"/>
        </w:rPr>
        <w:t>......................................................................................</w:t>
      </w:r>
      <w:r w:rsidRPr="1BCC2512" w:rsidR="00D444FF">
        <w:rPr>
          <w:lang w:val="es-PE"/>
        </w:rPr>
        <w:t xml:space="preserve"> el 19 de febrero de 2025, por lo tanto, nos encontramos dentro del plazo perentorio para su presentación contemplado en el Reglamento de la DEFASEG. </w:t>
      </w:r>
    </w:p>
    <w:p w:rsidRPr="00D444FF" w:rsidR="009942A4" w:rsidP="00D444FF" w:rsidRDefault="009942A4" w14:paraId="05A8C061" w14:textId="77777777">
      <w:pPr>
        <w:jc w:val="both"/>
        <w:outlineLvl w:val="0"/>
        <w:rPr>
          <w:lang w:val="es-PE"/>
        </w:rPr>
      </w:pPr>
    </w:p>
    <w:p w:rsidR="00D444FF" w:rsidP="00D444FF" w:rsidRDefault="00D444FF" w14:paraId="462192F5" w14:textId="303C9888">
      <w:pPr>
        <w:jc w:val="both"/>
        <w:outlineLvl w:val="0"/>
        <w:rPr>
          <w:lang w:val="es-PE"/>
        </w:rPr>
      </w:pPr>
      <w:r w:rsidRPr="1BCC2512" w:rsidR="00D444FF">
        <w:rPr>
          <w:b w:val="1"/>
          <w:bCs w:val="1"/>
          <w:u w:val="single"/>
          <w:lang w:val="es-PE"/>
        </w:rPr>
        <w:t>DÉCIMO:</w:t>
      </w:r>
      <w:r w:rsidRPr="1BCC2512" w:rsidR="00D444FF">
        <w:rPr>
          <w:lang w:val="es-PE"/>
        </w:rPr>
        <w:t xml:space="preserve"> El monto solicitado por la reclamante asciende a la suma de USD 4,490 (cuatro mil cuatrocientos y noventa dólares americanos y 00/100) al ser dicha la diferencia ente el monto que aparece en la Póliza como suma asegurada y el monto que el señor </w:t>
      </w:r>
      <w:r w:rsidRPr="1BCC2512" w:rsidR="02DFA0BB">
        <w:rPr>
          <w:lang w:val="es-PE"/>
        </w:rPr>
        <w:t>......................................................................................</w:t>
      </w:r>
      <w:r w:rsidRPr="1BCC2512" w:rsidR="00D444FF">
        <w:rPr>
          <w:lang w:val="es-PE"/>
        </w:rPr>
        <w:t xml:space="preserve"> recibió como indemnización por el siniestro. De acuerdo con lo señalado, el reclamo se encuentra dentro de los límites por cuantía de la competencia establecida por el Reglamento de la DEFASEG.</w:t>
      </w:r>
    </w:p>
    <w:p w:rsidRPr="00D444FF" w:rsidR="009942A4" w:rsidP="00D444FF" w:rsidRDefault="009942A4" w14:paraId="46A6C4FB" w14:textId="77777777">
      <w:pPr>
        <w:jc w:val="both"/>
        <w:outlineLvl w:val="0"/>
        <w:rPr>
          <w:lang w:val="es-PE"/>
        </w:rPr>
      </w:pPr>
    </w:p>
    <w:p w:rsidR="00D444FF" w:rsidP="00D444FF" w:rsidRDefault="00D444FF" w14:paraId="110F911B" w14:textId="5B80E41F">
      <w:pPr>
        <w:jc w:val="both"/>
        <w:outlineLvl w:val="0"/>
        <w:rPr>
          <w:lang w:val="es-PE"/>
        </w:rPr>
      </w:pPr>
      <w:r w:rsidRPr="1BCC2512" w:rsidR="00D444FF">
        <w:rPr>
          <w:b w:val="1"/>
          <w:bCs w:val="1"/>
          <w:u w:val="single"/>
          <w:lang w:val="es-PE"/>
        </w:rPr>
        <w:t>UNDÉCIMO:</w:t>
      </w:r>
      <w:r w:rsidRPr="1BCC2512" w:rsidR="00D444FF">
        <w:rPr>
          <w:lang w:val="es-PE"/>
        </w:rPr>
        <w:t xml:space="preserve"> Siendo que el reclamo presentado por el señor </w:t>
      </w:r>
      <w:r w:rsidRPr="1BCC2512" w:rsidR="02DFA0BB">
        <w:rPr>
          <w:lang w:val="es-PE"/>
        </w:rPr>
        <w:t>......................................................................................</w:t>
      </w:r>
      <w:r w:rsidRPr="1BCC2512" w:rsidR="00D444FF">
        <w:rPr>
          <w:lang w:val="es-PE"/>
        </w:rPr>
        <w:t xml:space="preserve"> cumple con los requisitos reglamentarios de materia, plazo y cuantía, esta Defensoría es competente para pronunciarse sobre el fondo de la controversia planteada el 19 de febrero de 2025. </w:t>
      </w:r>
    </w:p>
    <w:p w:rsidRPr="00D444FF" w:rsidR="009942A4" w:rsidP="00D444FF" w:rsidRDefault="009942A4" w14:paraId="4BEAAB49" w14:textId="77777777">
      <w:pPr>
        <w:jc w:val="both"/>
        <w:outlineLvl w:val="0"/>
        <w:rPr>
          <w:lang w:val="es-PE"/>
        </w:rPr>
      </w:pPr>
    </w:p>
    <w:p w:rsidR="00D444FF" w:rsidP="00D444FF" w:rsidRDefault="00D444FF" w14:paraId="1D3E72F5" w14:textId="77777777">
      <w:pPr>
        <w:jc w:val="both"/>
        <w:outlineLvl w:val="0"/>
        <w:rPr>
          <w:lang w:val="es-PE"/>
        </w:rPr>
      </w:pPr>
      <w:r w:rsidRPr="00D444FF">
        <w:rPr>
          <w:b/>
          <w:bCs/>
          <w:u w:val="single"/>
          <w:lang w:val="es-PE"/>
        </w:rPr>
        <w:t>DUODÉCIMO</w:t>
      </w:r>
      <w:r w:rsidRPr="00D444FF">
        <w:rPr>
          <w:lang w:val="es-PE"/>
        </w:rPr>
        <w:t xml:space="preserve">: Que, el Reglamento de DEFASEG dispone en su numeral 10 que, «[…] </w:t>
      </w:r>
      <w:r w:rsidRPr="00D444FF">
        <w:rPr>
          <w:i/>
          <w:iCs/>
          <w:lang w:val="es-PE"/>
        </w:rPr>
        <w:t>el reclamo debe contener la determinación de la pretensión y la documentación pertinente que sustente lo reclamado</w:t>
      </w:r>
      <w:r w:rsidRPr="00D444FF">
        <w:rPr>
          <w:lang w:val="es-PE"/>
        </w:rPr>
        <w:t xml:space="preserve">». En dicho sentido, se entiende </w:t>
      </w:r>
      <w:proofErr w:type="gramStart"/>
      <w:r w:rsidRPr="00D444FF">
        <w:rPr>
          <w:lang w:val="es-PE"/>
        </w:rPr>
        <w:t>que</w:t>
      </w:r>
      <w:proofErr w:type="gramEnd"/>
      <w:r w:rsidRPr="00D444FF">
        <w:rPr>
          <w:lang w:val="es-PE"/>
        </w:rPr>
        <w:t xml:space="preserve"> en todo proceso o procedimiento, ya sea judicial, administrativo o voluntario -como es este caso-, el petitorio debería expresar de forma clara la solicitud principal, sin ambigüedades; asimismo, el objeto del reclamo debiera estar claramente delimitado y los hechos que sustentan el petitorio presentado de forma clara y ordenada. </w:t>
      </w:r>
    </w:p>
    <w:p w:rsidRPr="00D444FF" w:rsidR="009942A4" w:rsidP="00D444FF" w:rsidRDefault="009942A4" w14:paraId="6B00C2AE" w14:textId="77777777">
      <w:pPr>
        <w:jc w:val="both"/>
        <w:outlineLvl w:val="0"/>
        <w:rPr>
          <w:lang w:val="es-PE"/>
        </w:rPr>
      </w:pPr>
    </w:p>
    <w:p w:rsidR="00D444FF" w:rsidP="00D444FF" w:rsidRDefault="00D444FF" w14:paraId="7FCCD2AE" w14:textId="1C560B7D">
      <w:pPr>
        <w:jc w:val="both"/>
        <w:outlineLvl w:val="0"/>
        <w:rPr>
          <w:lang w:val="es-PE"/>
        </w:rPr>
      </w:pPr>
      <w:r w:rsidRPr="1BCC2512" w:rsidR="00D444FF">
        <w:rPr>
          <w:lang w:val="es-PE"/>
        </w:rPr>
        <w:t xml:space="preserve">En el presente caso, el reclamo del señor </w:t>
      </w:r>
      <w:r w:rsidRPr="1BCC2512" w:rsidR="02DFA0BB">
        <w:rPr>
          <w:lang w:val="es-PE"/>
        </w:rPr>
        <w:t>......................................................................................</w:t>
      </w:r>
      <w:r w:rsidRPr="1BCC2512" w:rsidR="00D444FF">
        <w:rPr>
          <w:lang w:val="es-PE"/>
        </w:rPr>
        <w:t xml:space="preserve">, no cumple con el estándar de claridad, objeto y fundamentación necesarios para obtener una decisión fundamentada en Derecho por parte de este Colegiado. No </w:t>
      </w:r>
      <w:r w:rsidRPr="1BCC2512" w:rsidR="00D444FF">
        <w:rPr>
          <w:lang w:val="es-PE"/>
        </w:rPr>
        <w:t>obstante</w:t>
      </w:r>
      <w:r w:rsidRPr="1BCC2512" w:rsidR="00D444FF">
        <w:rPr>
          <w:lang w:val="es-PE"/>
        </w:rPr>
        <w:t xml:space="preserve"> cabe determinar, si es que, a pesar de las deficiencias que presenta el reclamo, es posible que este Colegiado se pronuncie sobre el fondo de la controversia planteada. </w:t>
      </w:r>
    </w:p>
    <w:p w:rsidRPr="00D444FF" w:rsidR="009942A4" w:rsidP="00D444FF" w:rsidRDefault="009942A4" w14:paraId="10FC666B" w14:textId="77777777">
      <w:pPr>
        <w:jc w:val="both"/>
        <w:outlineLvl w:val="0"/>
        <w:rPr>
          <w:lang w:val="es-PE"/>
        </w:rPr>
      </w:pPr>
    </w:p>
    <w:p w:rsidR="00D444FF" w:rsidP="00D444FF" w:rsidRDefault="00D444FF" w14:paraId="6FBB4775" w14:textId="77777777">
      <w:pPr>
        <w:jc w:val="both"/>
        <w:outlineLvl w:val="0"/>
        <w:rPr>
          <w:lang w:val="es-PE"/>
        </w:rPr>
      </w:pPr>
      <w:r w:rsidRPr="00D444FF">
        <w:rPr>
          <w:lang w:val="es-PE"/>
        </w:rPr>
        <w:t>Tal como ha señalado este Colegiado, el objeto del procedimiento voluntario que se sigue ante esta Defensoría es mejorar la confianza del público en general, y de los asegurados en particular, con relación al sistema asegurador privado</w:t>
      </w:r>
      <w:r w:rsidRPr="00D444FF">
        <w:rPr>
          <w:vertAlign w:val="superscript"/>
          <w:lang w:val="es-PE"/>
        </w:rPr>
        <w:footnoteReference w:id="6"/>
      </w:r>
      <w:r w:rsidRPr="00D444FF">
        <w:rPr>
          <w:lang w:val="es-PE"/>
        </w:rPr>
        <w:t xml:space="preserve">. Es por ello, </w:t>
      </w:r>
      <w:proofErr w:type="gramStart"/>
      <w:r w:rsidRPr="00D444FF">
        <w:rPr>
          <w:lang w:val="es-PE"/>
        </w:rPr>
        <w:t>que</w:t>
      </w:r>
      <w:proofErr w:type="gramEnd"/>
      <w:r w:rsidRPr="00D444FF">
        <w:rPr>
          <w:lang w:val="es-PE"/>
        </w:rPr>
        <w:t xml:space="preserve"> sin invocarlo directamente, el procedimiento regulado en el Reglamento de DEFASEG tiende a la informalidad, </w:t>
      </w:r>
      <w:proofErr w:type="gramStart"/>
      <w:r w:rsidRPr="00D444FF">
        <w:rPr>
          <w:lang w:val="es-PE"/>
        </w:rPr>
        <w:t>pues</w:t>
      </w:r>
      <w:proofErr w:type="gramEnd"/>
      <w:r w:rsidRPr="00D444FF">
        <w:rPr>
          <w:lang w:val="es-PE"/>
        </w:rPr>
        <w:t xml:space="preserve"> por ejemplo, dispone que para la presentación de un reclamo no es necesario que el mismo se encuentre autorizado por un abogado colegiado. Por otro lado, si bien sería recomendable que las reclamaciones cumplan con el estándar de claridad, objeto y fundamentación que sí contemplan otras regulaciones procesales, lo cierto es que el Reglamento de DEFASEG no regula el estándar que debieran cumplir los escritos presentados por los reclamantes. Es claro entonces, que con la finalidad de reducir los costos de presentación de los reclamos por parte de quienes tengan legítimo interés en hacerlo, es que la política de esta Defensoría se ha orientado hacia el informalismo, aunque -como se ha señalado- dicho sano principio no se encuentre regulado explícitamente en el Reglamento de DEFASEG. Abona en favor de esta interpretación, el hecho que la Ley del contrato de seguro consagre el principio </w:t>
      </w:r>
      <w:proofErr w:type="gramStart"/>
      <w:r w:rsidRPr="00D444FF">
        <w:rPr>
          <w:lang w:val="es-PE"/>
        </w:rPr>
        <w:t>pro consumidor</w:t>
      </w:r>
      <w:proofErr w:type="gramEnd"/>
      <w:r w:rsidRPr="00D444FF">
        <w:rPr>
          <w:lang w:val="es-PE"/>
        </w:rPr>
        <w:t xml:space="preserve"> como un criterio de interpretación de las relaciones jurídicas entre asegurados y empresas aseguradoras. </w:t>
      </w:r>
    </w:p>
    <w:p w:rsidRPr="00D444FF" w:rsidR="009942A4" w:rsidP="00D444FF" w:rsidRDefault="009942A4" w14:paraId="03A9BEF1" w14:textId="77777777">
      <w:pPr>
        <w:jc w:val="both"/>
        <w:outlineLvl w:val="0"/>
        <w:rPr>
          <w:lang w:val="es-PE"/>
        </w:rPr>
      </w:pPr>
    </w:p>
    <w:p w:rsidR="00D444FF" w:rsidP="00D444FF" w:rsidRDefault="00D444FF" w14:paraId="7EB14338" w14:textId="77777777">
      <w:pPr>
        <w:jc w:val="both"/>
        <w:outlineLvl w:val="0"/>
        <w:rPr>
          <w:lang w:val="es-PE"/>
        </w:rPr>
      </w:pPr>
      <w:r w:rsidRPr="00D444FF">
        <w:rPr>
          <w:lang w:val="es-PE"/>
        </w:rPr>
        <w:t xml:space="preserve">Por lo señalado, este Colegiado considera que en aplicación del principio de informalismo puede avocarse a resolver el caso presentado si, de los actuados es posible establecer cuál es la pretensión del reclamante y, si a partir de este análisis el petitorio determinado se encuentra en sintonía con los requisitos de materia, plazo y cuantía establecidos en el numeral 4 del Reglamento de DEFASEG. Aspectos que ya han sido analizados precedentemente por este Colegiado. </w:t>
      </w:r>
    </w:p>
    <w:p w:rsidRPr="00D444FF" w:rsidR="009942A4" w:rsidP="00D444FF" w:rsidRDefault="009942A4" w14:paraId="2F9B0ADC" w14:textId="77777777">
      <w:pPr>
        <w:jc w:val="both"/>
        <w:outlineLvl w:val="0"/>
        <w:rPr>
          <w:lang w:val="es-PE"/>
        </w:rPr>
      </w:pPr>
    </w:p>
    <w:p w:rsidR="00D444FF" w:rsidP="00D444FF" w:rsidRDefault="00D444FF" w14:paraId="716CB4F3" w14:textId="77777777">
      <w:pPr>
        <w:jc w:val="both"/>
        <w:outlineLvl w:val="0"/>
        <w:rPr>
          <w:lang w:val="es-PE"/>
        </w:rPr>
      </w:pPr>
      <w:r w:rsidRPr="00D444FF">
        <w:rPr>
          <w:b/>
          <w:bCs/>
          <w:u w:val="single"/>
          <w:lang w:val="es-PE"/>
        </w:rPr>
        <w:t>DÉCIMO TERCERO</w:t>
      </w:r>
      <w:r w:rsidRPr="00D444FF">
        <w:rPr>
          <w:lang w:val="es-PE"/>
        </w:rPr>
        <w:t xml:space="preserve">: El tema del valor de un bien en materia de seguros es un aspecto que ha sido ampliamente debatido por la doctrina, como se señala, </w:t>
      </w:r>
      <w:bookmarkEnd w:id="2"/>
      <w:r w:rsidRPr="00D444FF">
        <w:rPr>
          <w:lang w:val="es-PE"/>
        </w:rPr>
        <w:t>el </w:t>
      </w:r>
      <w:hyperlink w:tgtFrame="_self" w:history="1" r:id="rId8">
        <w:r w:rsidRPr="00D444FF">
          <w:rPr>
            <w:rStyle w:val="Hipervnculo"/>
            <w:lang w:val="es-PE"/>
          </w:rPr>
          <w:t xml:space="preserve">valor de una </w:t>
        </w:r>
      </w:hyperlink>
      <w:r w:rsidRPr="00D444FF">
        <w:rPr>
          <w:lang w:val="es-PE"/>
        </w:rPr>
        <w:t>automóvil es la base para calcular las indemnizaciones en casos de pérdida total, ya sea por accidente, incendio o robo. Esto significa que la cantidad que recibirá el asegurado no se sustenta en el precio original que pagó por el vehículo, sino en su valor actual en el mercado. Como es evidente, este valor puede ser significativamente inferior al precio de compra.</w:t>
      </w:r>
      <w:r w:rsidRPr="00D444FF">
        <w:rPr>
          <w:vertAlign w:val="superscript"/>
          <w:lang w:val="es-PE"/>
        </w:rPr>
        <w:footnoteReference w:id="7"/>
      </w:r>
    </w:p>
    <w:p w:rsidRPr="00D444FF" w:rsidR="007037EC" w:rsidP="00D444FF" w:rsidRDefault="007037EC" w14:paraId="3C0BB5FC" w14:textId="77777777">
      <w:pPr>
        <w:jc w:val="both"/>
        <w:outlineLvl w:val="0"/>
        <w:rPr>
          <w:lang w:val="es-PE"/>
        </w:rPr>
      </w:pPr>
    </w:p>
    <w:p w:rsidR="00D444FF" w:rsidP="00D444FF" w:rsidRDefault="00D444FF" w14:paraId="7266C6FC" w14:textId="77777777">
      <w:pPr>
        <w:jc w:val="both"/>
        <w:outlineLvl w:val="0"/>
        <w:rPr>
          <w:lang w:val="es-PE"/>
        </w:rPr>
      </w:pPr>
      <w:r w:rsidRPr="00D444FF">
        <w:rPr>
          <w:lang w:val="es-PE"/>
        </w:rPr>
        <w:t xml:space="preserve">Esta es la línea que sigue la Ley del contrato de seguro cuando señala en su artículo 85 </w:t>
      </w:r>
      <w:proofErr w:type="gramStart"/>
      <w:r w:rsidRPr="00D444FF">
        <w:rPr>
          <w:lang w:val="es-PE"/>
        </w:rPr>
        <w:t>que</w:t>
      </w:r>
      <w:proofErr w:type="gramEnd"/>
      <w:r w:rsidRPr="00D444FF">
        <w:rPr>
          <w:lang w:val="es-PE"/>
        </w:rPr>
        <w:t xml:space="preserve"> si al momento del siniestro el valor asegurado excede el valor asegurable, el asegurador sólo está obligado a resarcir al asegurado por el daño efectivamente sufrido.</w:t>
      </w:r>
      <w:r w:rsidRPr="00D444FF">
        <w:rPr>
          <w:vertAlign w:val="superscript"/>
          <w:lang w:val="es-PE"/>
        </w:rPr>
        <w:footnoteReference w:id="8"/>
      </w:r>
    </w:p>
    <w:p w:rsidRPr="00D444FF" w:rsidR="007037EC" w:rsidP="00D444FF" w:rsidRDefault="007037EC" w14:paraId="50F2D7ED" w14:textId="77777777">
      <w:pPr>
        <w:jc w:val="both"/>
        <w:outlineLvl w:val="0"/>
        <w:rPr>
          <w:lang w:val="es-PE"/>
        </w:rPr>
      </w:pPr>
    </w:p>
    <w:p w:rsidR="00D444FF" w:rsidP="00D444FF" w:rsidRDefault="00D444FF" w14:paraId="6BECA35C" w14:textId="77777777">
      <w:pPr>
        <w:jc w:val="both"/>
        <w:outlineLvl w:val="0"/>
        <w:rPr>
          <w:lang w:val="es-PE"/>
        </w:rPr>
      </w:pPr>
      <w:r w:rsidRPr="00D444FF">
        <w:rPr>
          <w:b/>
          <w:bCs/>
          <w:u w:val="single"/>
          <w:lang w:val="es-PE"/>
        </w:rPr>
        <w:t>DÉCIMO CUARTO</w:t>
      </w:r>
      <w:r w:rsidRPr="00D444FF">
        <w:rPr>
          <w:lang w:val="es-PE"/>
        </w:rPr>
        <w:t xml:space="preserve">: Que, las Condiciones particulares de la Póliza cuando señalan la suma asegurada del vehículo contienen una anotación respecto de que este monto tiene un valor referencial. En dicho sentido, es importante acudir a las demás condiciones de la Póliza para establecer el real alcance de esta alerta. </w:t>
      </w:r>
    </w:p>
    <w:p w:rsidRPr="00D444FF" w:rsidR="007037EC" w:rsidP="00D444FF" w:rsidRDefault="007037EC" w14:paraId="6A9FF93A" w14:textId="77777777">
      <w:pPr>
        <w:jc w:val="both"/>
        <w:outlineLvl w:val="0"/>
        <w:rPr>
          <w:lang w:val="es-PE"/>
        </w:rPr>
      </w:pPr>
    </w:p>
    <w:p w:rsidR="00D444FF" w:rsidP="00D444FF" w:rsidRDefault="00D444FF" w14:paraId="7043FD53" w14:textId="77777777">
      <w:pPr>
        <w:jc w:val="both"/>
        <w:outlineLvl w:val="0"/>
        <w:rPr>
          <w:lang w:val="es-PE"/>
        </w:rPr>
      </w:pPr>
      <w:r w:rsidRPr="00D444FF">
        <w:rPr>
          <w:lang w:val="es-PE"/>
        </w:rPr>
        <w:t>El numeral 11 de las Condiciones generales de la Póliza establece como límite de la responsabilidad de la empresa aseguradora por cobertura de daño propio, que la indemnización no podrá ser superior al valor comercial del vehículo asegurado a la fecha del siniestro o a la suma asegurada que figura en las Condiciones particulares de la Póliza, la que sea menor.</w:t>
      </w:r>
    </w:p>
    <w:p w:rsidRPr="00D444FF" w:rsidR="007037EC" w:rsidP="00D444FF" w:rsidRDefault="007037EC" w14:paraId="41AB9440" w14:textId="77777777">
      <w:pPr>
        <w:jc w:val="both"/>
        <w:outlineLvl w:val="0"/>
        <w:rPr>
          <w:lang w:val="es-PE"/>
        </w:rPr>
      </w:pPr>
    </w:p>
    <w:p w:rsidR="00D444FF" w:rsidP="00D444FF" w:rsidRDefault="00D444FF" w14:paraId="7B5A518F" w14:textId="77777777">
      <w:pPr>
        <w:jc w:val="both"/>
        <w:outlineLvl w:val="0"/>
        <w:rPr>
          <w:lang w:val="es-PE"/>
        </w:rPr>
      </w:pPr>
      <w:r w:rsidRPr="00D444FF">
        <w:rPr>
          <w:lang w:val="es-PE"/>
        </w:rPr>
        <w:t xml:space="preserve">Asimismo, el acápite de Definiciones de las Condiciones generales de la </w:t>
      </w:r>
      <w:proofErr w:type="gramStart"/>
      <w:r w:rsidRPr="00D444FF">
        <w:rPr>
          <w:lang w:val="es-PE"/>
        </w:rPr>
        <w:t>Póliza,</w:t>
      </w:r>
      <w:proofErr w:type="gramEnd"/>
      <w:r w:rsidRPr="00D444FF">
        <w:rPr>
          <w:lang w:val="es-PE"/>
        </w:rPr>
        <w:t xml:space="preserve"> señala lo siguiente con relación al valor comercial: </w:t>
      </w:r>
    </w:p>
    <w:p w:rsidRPr="00D444FF" w:rsidR="007037EC" w:rsidP="007037EC" w:rsidRDefault="007037EC" w14:paraId="703796AB" w14:textId="77777777">
      <w:pPr>
        <w:ind w:left="1440"/>
        <w:jc w:val="both"/>
        <w:outlineLvl w:val="0"/>
        <w:rPr>
          <w:lang w:val="es-PE"/>
        </w:rPr>
      </w:pPr>
    </w:p>
    <w:p w:rsidRPr="00D444FF" w:rsidR="00D444FF" w:rsidP="007037EC" w:rsidRDefault="00D444FF" w14:paraId="52F7D741" w14:textId="77777777">
      <w:pPr>
        <w:ind w:left="1440"/>
        <w:jc w:val="both"/>
        <w:outlineLvl w:val="0"/>
        <w:rPr>
          <w:i/>
          <w:iCs/>
          <w:lang w:val="es-PE"/>
        </w:rPr>
      </w:pPr>
      <w:r w:rsidRPr="00D444FF">
        <w:rPr>
          <w:i/>
          <w:iCs/>
          <w:lang w:val="es-PE"/>
        </w:rPr>
        <w:t xml:space="preserve">«Es el </w:t>
      </w:r>
      <w:r w:rsidRPr="00D444FF">
        <w:rPr>
          <w:b/>
          <w:bCs/>
          <w:i/>
          <w:iCs/>
          <w:u w:val="single"/>
          <w:lang w:val="es-PE"/>
        </w:rPr>
        <w:t>valor de mercado de un vehículo de la misma marca, año, modelo y estado de conservación que el vehículo asegurado en mercado peruano</w:t>
      </w:r>
      <w:r w:rsidRPr="00D444FF">
        <w:rPr>
          <w:i/>
          <w:iCs/>
          <w:lang w:val="es-PE"/>
        </w:rPr>
        <w:t xml:space="preserve"> en el momento que se especifique en las presentes Condiciones Generales u otra parte de la Póliza.</w:t>
      </w:r>
    </w:p>
    <w:p w:rsidR="00D444FF" w:rsidP="007037EC" w:rsidRDefault="00D444FF" w14:paraId="0909BFA5" w14:textId="77777777">
      <w:pPr>
        <w:ind w:left="1440"/>
        <w:jc w:val="both"/>
        <w:outlineLvl w:val="0"/>
        <w:rPr>
          <w:lang w:val="es-PE"/>
        </w:rPr>
      </w:pPr>
      <w:r w:rsidRPr="00D444FF">
        <w:rPr>
          <w:i/>
          <w:iCs/>
          <w:lang w:val="es-PE"/>
        </w:rPr>
        <w:t xml:space="preserve">Si en el mercado peruano no hubiera un vehículo de similares características a las del vehículo asegurado, el Valor Comercial corresponderá a su valor nuevo menos la depreciación que le corresponda por su antigüedad, uso, estado de conservación y obsolescencia en el momento que se especifique en las presentes Condiciones Generales u otra parte de la Póliza.» </w:t>
      </w:r>
      <w:r w:rsidRPr="00D444FF">
        <w:rPr>
          <w:lang w:val="es-PE"/>
        </w:rPr>
        <w:t>(el énfasis es agregado)</w:t>
      </w:r>
    </w:p>
    <w:p w:rsidRPr="00D444FF" w:rsidR="007037EC" w:rsidP="00D444FF" w:rsidRDefault="007037EC" w14:paraId="43A5E381" w14:textId="77777777">
      <w:pPr>
        <w:jc w:val="both"/>
        <w:outlineLvl w:val="0"/>
        <w:rPr>
          <w:i/>
          <w:iCs/>
          <w:lang w:val="es-PE"/>
        </w:rPr>
      </w:pPr>
    </w:p>
    <w:p w:rsidR="00D444FF" w:rsidP="00D444FF" w:rsidRDefault="00D444FF" w14:paraId="5609C70D" w14:textId="77777777">
      <w:pPr>
        <w:jc w:val="both"/>
        <w:outlineLvl w:val="0"/>
        <w:rPr>
          <w:lang w:val="es-PE"/>
        </w:rPr>
      </w:pPr>
      <w:r w:rsidRPr="00D444FF">
        <w:rPr>
          <w:b/>
          <w:bCs/>
          <w:u w:val="single"/>
          <w:lang w:val="es-PE"/>
        </w:rPr>
        <w:t>DÉCIMO QUINTO</w:t>
      </w:r>
      <w:r w:rsidRPr="00D444FF">
        <w:rPr>
          <w:lang w:val="es-PE"/>
        </w:rPr>
        <w:t>: Cómo ha señalado en anteriores oportunidades este Colegiado,  la indemnización a pagarse en caso de siniestro se estima o calcula en función al valor comercial del vehículo, lo cual se justifica según práctica de la industria aseguradora en el principio que la indemnización permite que el asegurado (bajo la noción de comunidad de intereses) pueda reponer el bien siniestrado atendiendo a su valor con ocasión de su pérdida o deterioro (que es precisamente la afectación cierta a su interés patrimonial), y no lucrar u obtener un mayor beneficio que sería entendido como un enriquecimiento indebido.</w:t>
      </w:r>
      <w:r w:rsidRPr="00D444FF">
        <w:rPr>
          <w:vertAlign w:val="superscript"/>
          <w:lang w:val="es-PE"/>
        </w:rPr>
        <w:footnoteReference w:id="9"/>
      </w:r>
      <w:r w:rsidRPr="00D444FF">
        <w:rPr>
          <w:lang w:val="es-PE"/>
        </w:rPr>
        <w:t xml:space="preserve">  </w:t>
      </w:r>
    </w:p>
    <w:p w:rsidRPr="00D444FF" w:rsidR="007037EC" w:rsidP="00D444FF" w:rsidRDefault="007037EC" w14:paraId="2CBCBC02" w14:textId="77777777">
      <w:pPr>
        <w:jc w:val="both"/>
        <w:outlineLvl w:val="0"/>
        <w:rPr>
          <w:lang w:val="es-PE"/>
        </w:rPr>
      </w:pPr>
    </w:p>
    <w:p w:rsidR="00D444FF" w:rsidP="00D444FF" w:rsidRDefault="00D444FF" w14:paraId="50261AB5" w14:textId="77777777">
      <w:pPr>
        <w:jc w:val="both"/>
        <w:outlineLvl w:val="0"/>
        <w:rPr>
          <w:lang w:val="es-PE"/>
        </w:rPr>
      </w:pPr>
      <w:proofErr w:type="gramStart"/>
      <w:r w:rsidRPr="00D444FF">
        <w:rPr>
          <w:lang w:val="es-PE"/>
        </w:rPr>
        <w:t>De acuerdo a</w:t>
      </w:r>
      <w:proofErr w:type="gramEnd"/>
      <w:r w:rsidRPr="00D444FF">
        <w:rPr>
          <w:lang w:val="es-PE"/>
        </w:rPr>
        <w:t xml:space="preserve"> lo mencionado, es claro que el importe de la suma asegurada registrado en las Condiciones particulares de la Póliza es un valor referencial y que, el monto máximo correspondiente a la indemnización del siniestro declarado como pérdida total, es el del valor comercial de un vehículo de la misma marca, año, modelo y estado de conservación que el del vehículo asegurado, a la fecha de ocurrido el siniestro, o el importe de la suma asegurada, el que sea menor. </w:t>
      </w:r>
    </w:p>
    <w:p w:rsidRPr="00D444FF" w:rsidR="007037EC" w:rsidP="00D444FF" w:rsidRDefault="007037EC" w14:paraId="1AC8B609" w14:textId="77777777">
      <w:pPr>
        <w:jc w:val="both"/>
        <w:outlineLvl w:val="0"/>
        <w:rPr>
          <w:lang w:val="es-PE"/>
        </w:rPr>
      </w:pPr>
    </w:p>
    <w:p w:rsidR="00D444FF" w:rsidP="00D444FF" w:rsidRDefault="00D444FF" w14:paraId="60DB7B8D" w14:textId="5221E357">
      <w:pPr>
        <w:jc w:val="both"/>
        <w:outlineLvl w:val="0"/>
        <w:rPr>
          <w:lang w:val="es-PE"/>
        </w:rPr>
      </w:pPr>
      <w:r w:rsidRPr="1BCC2512" w:rsidR="00D444FF">
        <w:rPr>
          <w:lang w:val="es-PE"/>
        </w:rPr>
        <w:t xml:space="preserve">Que, el reclamante no ha presentado en el presente caso ninguna prueba que sustente que el valor que reclama sea equivalente al valor comercial del vehículo asegurado a la fecha del siniestro, aun cuando el propio asegurado reconoció en la audiencia de informe oral que </w:t>
      </w:r>
      <w:r w:rsidRPr="1BCC2512" w:rsidR="7AD16365">
        <w:rPr>
          <w:lang w:val="es-PE"/>
        </w:rPr>
        <w:t>...............</w:t>
      </w:r>
      <w:r w:rsidRPr="1BCC2512" w:rsidR="00D444FF">
        <w:rPr>
          <w:lang w:val="es-PE"/>
        </w:rPr>
        <w:t xml:space="preserve"> le dio la oportunidad de presentar una cotización alternativa del concesionario de la marca del vehículo tomando en consideración la marca, modelo, año del vehículo asegurado tal como señala la Póliza. </w:t>
      </w:r>
    </w:p>
    <w:p w:rsidRPr="00D444FF" w:rsidR="007037EC" w:rsidP="00D444FF" w:rsidRDefault="007037EC" w14:paraId="06C3FEC2" w14:textId="77777777">
      <w:pPr>
        <w:jc w:val="both"/>
        <w:outlineLvl w:val="0"/>
        <w:rPr>
          <w:lang w:val="es-PE"/>
        </w:rPr>
      </w:pPr>
    </w:p>
    <w:p w:rsidR="00D444FF" w:rsidP="00D444FF" w:rsidRDefault="00D444FF" w14:paraId="5F1FBC58" w14:textId="20A7A4B3">
      <w:pPr>
        <w:jc w:val="both"/>
        <w:outlineLvl w:val="0"/>
        <w:rPr>
          <w:lang w:val="es-PE"/>
        </w:rPr>
      </w:pPr>
      <w:r w:rsidRPr="1BCC2512" w:rsidR="00D444FF">
        <w:rPr>
          <w:lang w:val="es-PE"/>
        </w:rPr>
        <w:t xml:space="preserve">Sobre el particular, el propio asegurado señaló que no pudo recabar dicha información por circunstancias que no pueden ser atribuibles a </w:t>
      </w:r>
      <w:r w:rsidRPr="1BCC2512" w:rsidR="7AD16365">
        <w:rPr>
          <w:lang w:val="es-PE"/>
        </w:rPr>
        <w:t>...............</w:t>
      </w:r>
      <w:r w:rsidRPr="1BCC2512" w:rsidR="00D444FF">
        <w:rPr>
          <w:lang w:val="es-PE"/>
        </w:rPr>
        <w:t xml:space="preserve">, como la falta de confianza en la persona de asegurado por parte del concesionario debido a problemas con las instituciones bancarias. Sin embargo, en el mercado peruano existen numerosas fuentes de información respecto del valor de mercado de automóviles usados como revistas, catálogos y páginas web especializadas, sin embargo, el asegurado tampoco recurrió a ellos, tan sólo se limitó a solicitar el total del monto contemplado como suma asegurada en las Condiciones particulares de la póliza, monto que como hemos señalado, sólo tiene un valor referencial para supuestos indemnizatorios por siniestros declarados como pérdida total.  </w:t>
      </w:r>
    </w:p>
    <w:p w:rsidRPr="00D444FF" w:rsidR="005408F4" w:rsidP="00D444FF" w:rsidRDefault="005408F4" w14:paraId="554DF14F" w14:textId="77777777">
      <w:pPr>
        <w:jc w:val="both"/>
        <w:outlineLvl w:val="0"/>
        <w:rPr>
          <w:lang w:val="es-PE"/>
        </w:rPr>
      </w:pPr>
    </w:p>
    <w:p w:rsidR="00D444FF" w:rsidP="00D444FF" w:rsidRDefault="00D444FF" w14:paraId="5F8959ED" w14:textId="7EC05B4B">
      <w:pPr>
        <w:jc w:val="both"/>
        <w:outlineLvl w:val="0"/>
        <w:rPr>
          <w:lang w:val="es-PE"/>
        </w:rPr>
      </w:pPr>
      <w:r w:rsidRPr="1BCC2512" w:rsidR="00D444FF">
        <w:rPr>
          <w:lang w:val="es-PE"/>
        </w:rPr>
        <w:t xml:space="preserve">Que, en atención a lo señalado, este Colegiado considera que no se han aportado elementos probatorios que permitan rebatir el monto de la indemnización otorgada por la empresa aseguradora al señor </w:t>
      </w:r>
      <w:r w:rsidRPr="1BCC2512" w:rsidR="02DFA0BB">
        <w:rPr>
          <w:lang w:val="es-PE"/>
        </w:rPr>
        <w:t>......................................................................................</w:t>
      </w:r>
      <w:r w:rsidRPr="1BCC2512" w:rsidR="00D444FF">
        <w:rPr>
          <w:lang w:val="es-PE"/>
        </w:rPr>
        <w:t>.</w:t>
      </w:r>
    </w:p>
    <w:p w:rsidRPr="00D444FF" w:rsidR="005408F4" w:rsidP="00D444FF" w:rsidRDefault="005408F4" w14:paraId="72B75906" w14:textId="77777777">
      <w:pPr>
        <w:jc w:val="both"/>
        <w:outlineLvl w:val="0"/>
        <w:rPr>
          <w:lang w:val="es-PE"/>
        </w:rPr>
      </w:pPr>
    </w:p>
    <w:p w:rsidR="00D444FF" w:rsidP="00D444FF" w:rsidRDefault="00D444FF" w14:paraId="334BD0C2" w14:textId="6E92E373">
      <w:pPr>
        <w:jc w:val="both"/>
        <w:outlineLvl w:val="0"/>
        <w:rPr>
          <w:lang w:val="es-PE"/>
        </w:rPr>
      </w:pPr>
      <w:r w:rsidRPr="1BCC2512" w:rsidR="00D444FF">
        <w:rPr>
          <w:b w:val="1"/>
          <w:bCs w:val="1"/>
          <w:u w:val="single"/>
          <w:lang w:val="es-PE"/>
        </w:rPr>
        <w:t>DÉCIMO SEXTO</w:t>
      </w:r>
      <w:r w:rsidRPr="1BCC2512" w:rsidR="00D444FF">
        <w:rPr>
          <w:lang w:val="es-PE"/>
        </w:rPr>
        <w:t xml:space="preserve">: No </w:t>
      </w:r>
      <w:r w:rsidRPr="1BCC2512" w:rsidR="00D444FF">
        <w:rPr>
          <w:lang w:val="es-PE"/>
        </w:rPr>
        <w:t>obstante</w:t>
      </w:r>
      <w:r w:rsidRPr="1BCC2512" w:rsidR="00D444FF">
        <w:rPr>
          <w:lang w:val="es-PE"/>
        </w:rPr>
        <w:t xml:space="preserve"> lo señalado en el considerando anterior, el hecho que el señor </w:t>
      </w:r>
      <w:r w:rsidRPr="1BCC2512" w:rsidR="6CAF038E">
        <w:rPr>
          <w:lang w:val="es-PE"/>
        </w:rPr>
        <w:t>..................................................</w:t>
      </w:r>
      <w:r w:rsidRPr="1BCC2512" w:rsidR="00D444FF">
        <w:rPr>
          <w:lang w:val="es-PE"/>
        </w:rPr>
        <w:t xml:space="preserve"> no haya probado que el valor del vehículo asegurado es mayor a la suma que le fue entregada por </w:t>
      </w:r>
      <w:r w:rsidRPr="1BCC2512" w:rsidR="7AD16365">
        <w:rPr>
          <w:lang w:val="es-PE"/>
        </w:rPr>
        <w:t>...............</w:t>
      </w:r>
      <w:r w:rsidRPr="1BCC2512" w:rsidR="00D444FF">
        <w:rPr>
          <w:lang w:val="es-PE"/>
        </w:rPr>
        <w:t xml:space="preserve"> como indemnización, ello no quiere decir que la empresa aseguradora pueda establecer arbitrariamente cuál es el valor de mercado del vehículo asegurado. </w:t>
      </w:r>
    </w:p>
    <w:p w:rsidRPr="00D444FF" w:rsidR="005408F4" w:rsidP="00D444FF" w:rsidRDefault="005408F4" w14:paraId="5449781B" w14:textId="77777777">
      <w:pPr>
        <w:jc w:val="both"/>
        <w:outlineLvl w:val="0"/>
        <w:rPr>
          <w:lang w:val="es-PE"/>
        </w:rPr>
      </w:pPr>
    </w:p>
    <w:p w:rsidR="00D444FF" w:rsidP="00D444FF" w:rsidRDefault="00D444FF" w14:paraId="7E947F62" w14:textId="77777777">
      <w:pPr>
        <w:jc w:val="both"/>
        <w:outlineLvl w:val="0"/>
        <w:rPr>
          <w:lang w:val="es-PE"/>
        </w:rPr>
      </w:pPr>
      <w:r w:rsidRPr="00D444FF">
        <w:rPr>
          <w:lang w:val="es-PE"/>
        </w:rPr>
        <w:t xml:space="preserve">Efectivamente, el numeral 12 de las Condiciones generales de la Póliza señala que en caso de pérdida total (como es en este el caso) la empresa aseguradora puede proceder al pago de la indemnización de las siguientes formas: </w:t>
      </w:r>
      <w:r w:rsidRPr="00D444FF">
        <w:rPr>
          <w:b/>
          <w:bCs/>
          <w:i/>
          <w:iCs/>
          <w:lang w:val="es-PE"/>
        </w:rPr>
        <w:t>(i)</w:t>
      </w:r>
      <w:r w:rsidRPr="00D444FF">
        <w:rPr>
          <w:lang w:val="es-PE"/>
        </w:rPr>
        <w:t xml:space="preserve"> pagando directamente al asegurado; o </w:t>
      </w:r>
      <w:r w:rsidRPr="00D444FF">
        <w:rPr>
          <w:b/>
          <w:bCs/>
          <w:i/>
          <w:iCs/>
          <w:lang w:val="es-PE"/>
        </w:rPr>
        <w:t>(</w:t>
      </w:r>
      <w:proofErr w:type="spellStart"/>
      <w:r w:rsidRPr="00D444FF">
        <w:rPr>
          <w:b/>
          <w:bCs/>
          <w:i/>
          <w:iCs/>
          <w:lang w:val="es-PE"/>
        </w:rPr>
        <w:t>ii</w:t>
      </w:r>
      <w:proofErr w:type="spellEnd"/>
      <w:r w:rsidRPr="00D444FF">
        <w:rPr>
          <w:b/>
          <w:bCs/>
          <w:i/>
          <w:iCs/>
          <w:lang w:val="es-PE"/>
        </w:rPr>
        <w:t>)</w:t>
      </w:r>
      <w:r w:rsidRPr="00D444FF">
        <w:rPr>
          <w:lang w:val="es-PE"/>
        </w:rPr>
        <w:t xml:space="preserve"> reponiendo el vehículo asegurado destruido o perdido por otro de equivalente condición y estado al que tenía dicho bien al momento del siniestro, se entiende "equivalente condición y estado" a un vehículo de similares características tomando en consideración el año de fabricación, valor comercial al momento del siniestro tomando como referencia la información contenida y actualizada en la revista especializada “</w:t>
      </w:r>
      <w:proofErr w:type="spellStart"/>
      <w:r w:rsidRPr="00D444FF">
        <w:rPr>
          <w:lang w:val="es-PE"/>
        </w:rPr>
        <w:t>Automás</w:t>
      </w:r>
      <w:proofErr w:type="spellEnd"/>
      <w:r w:rsidRPr="00D444FF">
        <w:rPr>
          <w:lang w:val="es-PE"/>
        </w:rPr>
        <w:t>” para vehículos de segunda mano.</w:t>
      </w:r>
    </w:p>
    <w:p w:rsidRPr="00D444FF" w:rsidR="005408F4" w:rsidP="00D444FF" w:rsidRDefault="005408F4" w14:paraId="691A721B" w14:textId="77777777">
      <w:pPr>
        <w:jc w:val="both"/>
        <w:outlineLvl w:val="0"/>
        <w:rPr>
          <w:lang w:val="es-PE"/>
        </w:rPr>
      </w:pPr>
    </w:p>
    <w:p w:rsidR="00D444FF" w:rsidP="00D444FF" w:rsidRDefault="00D444FF" w14:paraId="21E7DBCC" w14:textId="77777777">
      <w:pPr>
        <w:jc w:val="both"/>
        <w:outlineLvl w:val="0"/>
        <w:rPr>
          <w:lang w:val="es-PE"/>
        </w:rPr>
      </w:pPr>
      <w:r w:rsidRPr="00D444FF">
        <w:rPr>
          <w:lang w:val="es-PE"/>
        </w:rPr>
        <w:t xml:space="preserve">Es claro que el literal </w:t>
      </w:r>
      <w:r w:rsidRPr="00D444FF">
        <w:rPr>
          <w:b/>
          <w:bCs/>
          <w:i/>
          <w:iCs/>
          <w:lang w:val="es-PE"/>
        </w:rPr>
        <w:t>(</w:t>
      </w:r>
      <w:proofErr w:type="spellStart"/>
      <w:r w:rsidRPr="00D444FF">
        <w:rPr>
          <w:b/>
          <w:bCs/>
          <w:i/>
          <w:iCs/>
          <w:lang w:val="es-PE"/>
        </w:rPr>
        <w:t>ii</w:t>
      </w:r>
      <w:proofErr w:type="spellEnd"/>
      <w:r w:rsidRPr="00D444FF">
        <w:rPr>
          <w:b/>
          <w:bCs/>
          <w:i/>
          <w:iCs/>
          <w:lang w:val="es-PE"/>
        </w:rPr>
        <w:t>)</w:t>
      </w:r>
      <w:r w:rsidRPr="00D444FF">
        <w:rPr>
          <w:lang w:val="es-PE"/>
        </w:rPr>
        <w:t xml:space="preserve"> del numeral 12 de las Condiciones generales de la Póliza se refiere a la valorización del vehículo en caso se opte por reponer al asegurado el vehículo siniestrado en estado de pérdida total por causa distinta de robo total, en los términos señalados en el numeral 9 de las Condiciones generales de la Póliza. Sin embargo, a falta de cláusula expresa que indique cuál es el método de valoración en caso de pérdida total por robo total, la empresa aseguradora debió emplear también el mecanismo el literal </w:t>
      </w:r>
      <w:r w:rsidRPr="00D444FF">
        <w:rPr>
          <w:b/>
          <w:bCs/>
          <w:i/>
          <w:iCs/>
          <w:lang w:val="es-PE"/>
        </w:rPr>
        <w:t>(</w:t>
      </w:r>
      <w:proofErr w:type="spellStart"/>
      <w:r w:rsidRPr="00D444FF">
        <w:rPr>
          <w:b/>
          <w:bCs/>
          <w:i/>
          <w:iCs/>
          <w:lang w:val="es-PE"/>
        </w:rPr>
        <w:t>ii</w:t>
      </w:r>
      <w:proofErr w:type="spellEnd"/>
      <w:r w:rsidRPr="00D444FF">
        <w:rPr>
          <w:b/>
          <w:bCs/>
          <w:i/>
          <w:iCs/>
          <w:lang w:val="es-PE"/>
        </w:rPr>
        <w:t>)</w:t>
      </w:r>
      <w:r w:rsidRPr="00D444FF">
        <w:rPr>
          <w:lang w:val="es-PE"/>
        </w:rPr>
        <w:t xml:space="preserve"> para establecer cuál es el valor de mercado del vehículo siniestrado, e informar este hecho al asegurado. </w:t>
      </w:r>
    </w:p>
    <w:p w:rsidRPr="00D444FF" w:rsidR="005408F4" w:rsidP="00D444FF" w:rsidRDefault="005408F4" w14:paraId="12335FEB" w14:textId="77777777">
      <w:pPr>
        <w:jc w:val="both"/>
        <w:outlineLvl w:val="0"/>
        <w:rPr>
          <w:lang w:val="es-PE"/>
        </w:rPr>
      </w:pPr>
    </w:p>
    <w:p w:rsidR="00D444FF" w:rsidP="00D444FF" w:rsidRDefault="00D444FF" w14:paraId="56E7EB10" w14:textId="5A0306BD">
      <w:pPr>
        <w:jc w:val="both"/>
        <w:outlineLvl w:val="0"/>
        <w:rPr>
          <w:lang w:val="es-PE"/>
        </w:rPr>
      </w:pPr>
      <w:r w:rsidRPr="1BCC2512" w:rsidR="00D444FF">
        <w:rPr>
          <w:lang w:val="es-PE"/>
        </w:rPr>
        <w:t xml:space="preserve">Efectivamente, si bien este Colegiado coincide con </w:t>
      </w:r>
      <w:r w:rsidRPr="1BCC2512" w:rsidR="7AD16365">
        <w:rPr>
          <w:lang w:val="es-PE"/>
        </w:rPr>
        <w:t>...............</w:t>
      </w:r>
      <w:r w:rsidRPr="1BCC2512" w:rsidR="00D444FF">
        <w:rPr>
          <w:lang w:val="es-PE"/>
        </w:rPr>
        <w:t xml:space="preserve"> en el hecho que la indemnización por el robo total del vehículo debe ajustarse al del valor de mercado, no puede estimar que la empresa aseguradora posee legitimidad para fijar arbitraria o unilateralmente, una vez producido el siniestro, el valor comercial del vehículo, máxime cuando el propio contrato establece un criterio para fijar cierta y objetivamente, el valor del monto a pagar por concepto de indemnización.</w:t>
      </w:r>
    </w:p>
    <w:p w:rsidRPr="00D444FF" w:rsidR="005408F4" w:rsidP="00D444FF" w:rsidRDefault="005408F4" w14:paraId="3461C61F" w14:textId="77777777">
      <w:pPr>
        <w:jc w:val="both"/>
        <w:outlineLvl w:val="0"/>
        <w:rPr>
          <w:lang w:val="es-PE"/>
        </w:rPr>
      </w:pPr>
    </w:p>
    <w:p w:rsidR="00D444FF" w:rsidP="00D444FF" w:rsidRDefault="00D444FF" w14:paraId="1A31A95E" w14:textId="60522F8D">
      <w:pPr>
        <w:jc w:val="both"/>
        <w:outlineLvl w:val="0"/>
        <w:rPr>
          <w:lang w:val="es-PE"/>
        </w:rPr>
      </w:pPr>
      <w:r w:rsidRPr="1BCC2512" w:rsidR="00D444FF">
        <w:rPr>
          <w:lang w:val="es-PE"/>
        </w:rPr>
        <w:t xml:space="preserve">No obstante, </w:t>
      </w:r>
      <w:r w:rsidRPr="1BCC2512" w:rsidR="7AD16365">
        <w:rPr>
          <w:lang w:val="es-PE"/>
        </w:rPr>
        <w:t>...............</w:t>
      </w:r>
      <w:r w:rsidRPr="1BCC2512" w:rsidR="00D444FF">
        <w:rPr>
          <w:lang w:val="es-PE"/>
        </w:rPr>
        <w:t xml:space="preserve"> no ha presentado a lo largo del presente procedimiento, cuál fue el mecanismo que utilizó para determinar el valor de mercado del vehículo asegurado siniestrado, en dicho sentido, no existe certeza si cumplió con lo establecido en la Póliza sobre el particular, por lo que corresponde que </w:t>
      </w:r>
      <w:r w:rsidRPr="1BCC2512" w:rsidR="7AD16365">
        <w:rPr>
          <w:lang w:val="es-PE"/>
        </w:rPr>
        <w:t>...............</w:t>
      </w:r>
      <w:r w:rsidRPr="1BCC2512" w:rsidR="00D444FF">
        <w:rPr>
          <w:lang w:val="es-PE"/>
        </w:rPr>
        <w:t xml:space="preserve"> aplique dicho mecanismo, y, -de ser el caso- iguale dicho monto en caso dicha suma sea superior al monto efectivo de la indemnización pagada al asegurado y contemplada en la Transacción.   </w:t>
      </w:r>
    </w:p>
    <w:p w:rsidRPr="00D444FF" w:rsidR="005408F4" w:rsidP="00D444FF" w:rsidRDefault="005408F4" w14:paraId="10FF29BA" w14:textId="77777777">
      <w:pPr>
        <w:jc w:val="both"/>
        <w:outlineLvl w:val="0"/>
        <w:rPr>
          <w:lang w:val="es-PE"/>
        </w:rPr>
      </w:pPr>
    </w:p>
    <w:p w:rsidR="00D444FF" w:rsidP="00D444FF" w:rsidRDefault="00D444FF" w14:paraId="7E3B4BD8" w14:textId="77777777">
      <w:pPr>
        <w:jc w:val="both"/>
        <w:outlineLvl w:val="0"/>
        <w:rPr>
          <w:lang w:val="es-PE"/>
        </w:rPr>
      </w:pPr>
      <w:r w:rsidRPr="00D444FF">
        <w:rPr>
          <w:lang w:val="es-PE"/>
        </w:rPr>
        <w:t>Que, en consecuencia, esta Defensoría del Asegurado concluye su apreciación razonada y conjunta al amparo de lo establecido en su Reglamento, por lo que:</w:t>
      </w:r>
    </w:p>
    <w:p w:rsidRPr="00D444FF" w:rsidR="005408F4" w:rsidP="00D444FF" w:rsidRDefault="005408F4" w14:paraId="50B5A4F6" w14:textId="77777777">
      <w:pPr>
        <w:jc w:val="both"/>
        <w:outlineLvl w:val="0"/>
        <w:rPr>
          <w:lang w:val="es-PE"/>
        </w:rPr>
      </w:pPr>
    </w:p>
    <w:p w:rsidR="00D444FF" w:rsidP="00D444FF" w:rsidRDefault="00D444FF" w14:paraId="43D98F5C" w14:textId="77777777">
      <w:pPr>
        <w:jc w:val="both"/>
        <w:outlineLvl w:val="0"/>
        <w:rPr>
          <w:b/>
          <w:bCs/>
          <w:lang w:val="es-PE"/>
        </w:rPr>
      </w:pPr>
      <w:r w:rsidRPr="00D444FF">
        <w:rPr>
          <w:b/>
          <w:bCs/>
          <w:lang w:val="es-PE"/>
        </w:rPr>
        <w:t>RESUELVE:</w:t>
      </w:r>
    </w:p>
    <w:p w:rsidRPr="00D444FF" w:rsidR="005408F4" w:rsidP="00D444FF" w:rsidRDefault="005408F4" w14:paraId="30E64E9A" w14:textId="77777777">
      <w:pPr>
        <w:jc w:val="both"/>
        <w:outlineLvl w:val="0"/>
        <w:rPr>
          <w:b/>
          <w:bCs/>
          <w:u w:val="single"/>
          <w:lang w:val="es-PE"/>
        </w:rPr>
      </w:pPr>
    </w:p>
    <w:p w:rsidRPr="00D444FF" w:rsidR="00D444FF" w:rsidP="00D444FF" w:rsidRDefault="00D444FF" w14:paraId="0C5D99DC" w14:textId="2B746D80">
      <w:pPr>
        <w:jc w:val="both"/>
        <w:outlineLvl w:val="0"/>
        <w:rPr>
          <w:lang w:val="es-PE"/>
        </w:rPr>
      </w:pPr>
      <w:r w:rsidRPr="1BCC2512" w:rsidR="00D444FF">
        <w:rPr>
          <w:lang w:val="es-PE"/>
        </w:rPr>
        <w:t xml:space="preserve">Declarar </w:t>
      </w:r>
      <w:r w:rsidRPr="1BCC2512" w:rsidR="00D444FF">
        <w:rPr>
          <w:b w:val="1"/>
          <w:bCs w:val="1"/>
          <w:lang w:val="es-PE"/>
        </w:rPr>
        <w:t>FUNDADO EN PARTE</w:t>
      </w:r>
      <w:r w:rsidRPr="1BCC2512" w:rsidR="00D444FF">
        <w:rPr>
          <w:lang w:val="es-PE"/>
        </w:rPr>
        <w:t xml:space="preserve"> el reclamo presentado por el señor </w:t>
      </w:r>
      <w:r w:rsidRPr="1BCC2512" w:rsidR="51FB0B15">
        <w:rPr>
          <w:b w:val="1"/>
          <w:bCs w:val="1"/>
          <w:lang w:val="es-PE"/>
        </w:rPr>
        <w:t>......................................................................................</w:t>
      </w:r>
      <w:r w:rsidRPr="1BCC2512" w:rsidR="00D444FF">
        <w:rPr>
          <w:b w:val="1"/>
          <w:bCs w:val="1"/>
          <w:lang w:val="es-PE"/>
        </w:rPr>
        <w:t xml:space="preserve"> </w:t>
      </w:r>
      <w:r w:rsidRPr="1BCC2512" w:rsidR="00D444FF">
        <w:rPr>
          <w:lang w:val="es-PE"/>
        </w:rPr>
        <w:t xml:space="preserve">contra </w:t>
      </w:r>
      <w:r w:rsidRPr="1BCC2512" w:rsidR="4B3EA0B8">
        <w:rPr>
          <w:b w:val="1"/>
          <w:bCs w:val="1"/>
          <w:lang w:val="es-PE"/>
        </w:rPr>
        <w:t>...............................................................................</w:t>
      </w:r>
      <w:r w:rsidRPr="1BCC2512" w:rsidR="00D444FF">
        <w:rPr>
          <w:b w:val="1"/>
          <w:bCs w:val="1"/>
          <w:lang w:val="es-PE"/>
        </w:rPr>
        <w:t xml:space="preserve">, </w:t>
      </w:r>
      <w:r w:rsidRPr="1BCC2512" w:rsidR="00D444FF">
        <w:rPr>
          <w:lang w:val="es-PE"/>
        </w:rPr>
        <w:t xml:space="preserve">en el extremo que, </w:t>
      </w:r>
      <w:r w:rsidRPr="1BCC2512" w:rsidR="7AD16365">
        <w:rPr>
          <w:lang w:val="es-PE"/>
        </w:rPr>
        <w:t>...............</w:t>
      </w:r>
      <w:r w:rsidRPr="1BCC2512" w:rsidR="00D444FF">
        <w:rPr>
          <w:lang w:val="es-PE"/>
        </w:rPr>
        <w:t xml:space="preserve"> deberá aplicar el numeral 12 de las Condiciones generales de la Póliza para calcular el valor de la indemnización por el vehículo asegurado siniestrado; y, de ser el caso, cancelar la diferencia al asegurado. </w:t>
      </w:r>
    </w:p>
    <w:p w:rsidRPr="00020D94" w:rsidR="00D444FF" w:rsidP="00F239F4" w:rsidRDefault="00D444FF" w14:paraId="5DFEEAE8" w14:textId="77777777">
      <w:pPr>
        <w:jc w:val="both"/>
        <w:outlineLvl w:val="0"/>
        <w:rPr>
          <w:lang w:val="es-PE"/>
        </w:rPr>
      </w:pPr>
    </w:p>
    <w:p w:rsidRPr="00BC4D72" w:rsidR="00804FBA" w:rsidP="00425565" w:rsidRDefault="00F15FBA" w14:paraId="0B8F9BB3" w14:textId="02E706A3">
      <w:pPr>
        <w:jc w:val="right"/>
        <w:outlineLvl w:val="0"/>
        <w:rPr>
          <w:lang w:val="es-PE"/>
        </w:rPr>
      </w:pPr>
      <w:r w:rsidRPr="00BC4D72">
        <w:rPr>
          <w:lang w:val="es-PE"/>
        </w:rPr>
        <w:t>Lima,</w:t>
      </w:r>
      <w:r w:rsidRPr="00BC4D72" w:rsidR="009D4785">
        <w:rPr>
          <w:lang w:val="es-PE"/>
        </w:rPr>
        <w:t xml:space="preserve"> </w:t>
      </w:r>
      <w:r w:rsidR="009C3AB7">
        <w:rPr>
          <w:lang w:val="es-PE"/>
        </w:rPr>
        <w:t>21</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Pr="00BC4D72" w:rsidR="00804FBA" w:rsidP="00425565" w:rsidRDefault="00804FBA" w14:paraId="2C8A5CBC" w14:textId="77777777">
      <w:pPr>
        <w:jc w:val="both"/>
        <w:rPr>
          <w:b/>
          <w:bCs/>
          <w:i/>
          <w:iCs/>
          <w:lang w:val="es-ES_tradnl"/>
        </w:rPr>
      </w:pPr>
    </w:p>
    <w:p w:rsidRPr="00BC4D72" w:rsidR="003F73A8" w:rsidP="00425565" w:rsidRDefault="003F73A8" w14:paraId="00714C2C" w14:textId="77777777">
      <w:pPr>
        <w:jc w:val="both"/>
        <w:rPr>
          <w:b/>
          <w:bCs/>
          <w:i/>
          <w:iCs/>
          <w:lang w:val="es-ES_tradnl"/>
        </w:rPr>
      </w:pPr>
      <w:r w:rsidRPr="00BC4D72">
        <w:rPr>
          <w:b/>
          <w:bCs/>
          <w:i/>
          <w:iCs/>
          <w:lang w:val="es-ES_tradnl"/>
        </w:rPr>
        <w:t>La Secretaría Técnica certifica que la presente resolución cuenta con el voto de los vocales cuyos nombres figuran en el presente documento.</w:t>
      </w:r>
    </w:p>
    <w:p w:rsidRPr="00BC4D72" w:rsidR="00707C3F" w:rsidP="00247BE2" w:rsidRDefault="00707C3F" w14:paraId="52D37E4A" w14:textId="77777777">
      <w:pPr>
        <w:spacing w:line="360" w:lineRule="auto"/>
        <w:jc w:val="both"/>
        <w:rPr>
          <w:b/>
          <w:bCs/>
          <w:i/>
          <w:iCs/>
          <w:lang w:val="es-ES_tradnl"/>
        </w:rPr>
      </w:pPr>
    </w:p>
    <w:p w:rsidRPr="00BC4D72" w:rsidR="00707C3F" w:rsidP="00247BE2" w:rsidRDefault="00707C3F" w14:paraId="30ED2D98" w14:textId="547A44C6">
      <w:pPr>
        <w:spacing w:line="360" w:lineRule="auto"/>
        <w:jc w:val="center"/>
        <w:rPr>
          <w:b/>
          <w:bCs/>
        </w:rPr>
      </w:pPr>
      <w:r w:rsidRPr="00BC4D72">
        <w:rPr>
          <w:b/>
          <w:bCs/>
        </w:rPr>
        <w:t xml:space="preserve">Rolando Eyzaguirre </w:t>
      </w:r>
      <w:proofErr w:type="spellStart"/>
      <w:r w:rsidRPr="00BC4D72">
        <w:rPr>
          <w:b/>
          <w:bCs/>
        </w:rPr>
        <w:t>Maccan</w:t>
      </w:r>
      <w:proofErr w:type="spellEnd"/>
      <w:r w:rsidRPr="00BC4D72">
        <w:rPr>
          <w:b/>
          <w:bCs/>
        </w:rPr>
        <w:t xml:space="preserve"> – </w:t>
      </w:r>
      <w:proofErr w:type="gramStart"/>
      <w:r w:rsidRPr="00BC4D72" w:rsidR="00E4456F">
        <w:rPr>
          <w:b/>
          <w:bCs/>
        </w:rPr>
        <w:t>Presidente</w:t>
      </w:r>
      <w:proofErr w:type="gramEnd"/>
    </w:p>
    <w:p w:rsidRPr="00BC4D72" w:rsidR="00BB4CEC" w:rsidP="00247BE2" w:rsidRDefault="00BB4CEC" w14:paraId="01720D6D" w14:textId="7AD41673">
      <w:pPr>
        <w:spacing w:line="360" w:lineRule="auto"/>
        <w:jc w:val="center"/>
        <w:rPr>
          <w:b/>
          <w:bCs/>
        </w:rPr>
      </w:pPr>
      <w:r w:rsidRPr="00BC4D72">
        <w:rPr>
          <w:b/>
          <w:bCs/>
        </w:rPr>
        <w:t>María Eugenia Valdez Fernández Baca –</w:t>
      </w:r>
      <w:r w:rsidRPr="00BC4D72" w:rsidR="00E4456F">
        <w:rPr>
          <w:b/>
          <w:bCs/>
        </w:rPr>
        <w:t xml:space="preserve"> Vocal</w:t>
      </w:r>
      <w:r w:rsidRPr="00BC4D72">
        <w:rPr>
          <w:b/>
          <w:bCs/>
        </w:rPr>
        <w:t xml:space="preserve"> </w:t>
      </w:r>
    </w:p>
    <w:p w:rsidRPr="00BC4D72" w:rsidR="00DD0E29" w:rsidP="00247BE2" w:rsidRDefault="00AD20C0" w14:paraId="487074CF" w14:textId="11EAC2F0">
      <w:pPr>
        <w:spacing w:line="360" w:lineRule="auto"/>
        <w:jc w:val="center"/>
        <w:rPr>
          <w:b/>
          <w:bCs/>
        </w:rPr>
      </w:pPr>
      <w:r w:rsidRPr="00BC4D72">
        <w:rPr>
          <w:b/>
          <w:bCs/>
        </w:rPr>
        <w:t>Antonio José Rodríguez Lobatón – Vocal</w:t>
      </w:r>
    </w:p>
    <w:p w:rsidRPr="00BC4D7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366D7" w:rsidP="005F148C" w:rsidRDefault="004366D7" w14:paraId="6B08FD52" w14:textId="77777777">
      <w:r>
        <w:separator/>
      </w:r>
    </w:p>
  </w:endnote>
  <w:endnote w:type="continuationSeparator" w:id="0">
    <w:p w:rsidR="004366D7" w:rsidP="005F148C" w:rsidRDefault="004366D7" w14:paraId="22F658B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366D7" w:rsidP="005F148C" w:rsidRDefault="004366D7" w14:paraId="16E19B44" w14:textId="77777777">
      <w:r>
        <w:separator/>
      </w:r>
    </w:p>
  </w:footnote>
  <w:footnote w:type="continuationSeparator" w:id="0">
    <w:p w:rsidR="004366D7" w:rsidP="005F148C" w:rsidRDefault="004366D7" w14:paraId="03E81C39" w14:textId="77777777">
      <w:r>
        <w:continuationSeparator/>
      </w:r>
    </w:p>
  </w:footnote>
  <w:footnote w:id="1">
    <w:p w:rsidRPr="005408F4" w:rsidR="00D444FF" w:rsidP="00D444FF" w:rsidRDefault="00D444FF" w14:paraId="7DE453CD" w14:textId="77777777">
      <w:pPr>
        <w:pStyle w:val="Textonotapie"/>
        <w:tabs>
          <w:tab w:val="left" w:pos="284"/>
        </w:tabs>
        <w:spacing w:after="120"/>
        <w:ind w:left="284" w:hanging="284"/>
        <w:rPr>
          <w:sz w:val="18"/>
          <w:szCs w:val="18"/>
          <w:lang w:val="es-MX"/>
        </w:rPr>
      </w:pPr>
      <w:r w:rsidRPr="005408F4">
        <w:rPr>
          <w:rStyle w:val="Refdenotaalpie"/>
          <w:sz w:val="18"/>
          <w:szCs w:val="18"/>
        </w:rPr>
        <w:footnoteRef/>
      </w:r>
      <w:r w:rsidRPr="005408F4">
        <w:rPr>
          <w:sz w:val="18"/>
          <w:szCs w:val="18"/>
        </w:rPr>
        <w:t xml:space="preserve"> </w:t>
      </w:r>
      <w:r w:rsidRPr="005408F4">
        <w:rPr>
          <w:sz w:val="18"/>
          <w:szCs w:val="18"/>
        </w:rPr>
        <w:tab/>
      </w:r>
      <w:hyperlink w:history="1" r:id="rId1">
        <w:r w:rsidRPr="005408F4">
          <w:rPr>
            <w:rStyle w:val="Hipervnculo"/>
            <w:rFonts w:eastAsia="Arial Unicode MS"/>
            <w:sz w:val="18"/>
            <w:szCs w:val="18"/>
            <w:lang w:val="es-PE"/>
          </w:rPr>
          <w:t>http://www.defaseg.com.pe/reglamento</w:t>
        </w:r>
      </w:hyperlink>
      <w:r w:rsidRPr="005408F4">
        <w:rPr>
          <w:rFonts w:eastAsia="Arial Unicode MS"/>
          <w:sz w:val="18"/>
          <w:szCs w:val="18"/>
          <w:lang w:val="es-PE"/>
        </w:rPr>
        <w:t xml:space="preserve"> </w:t>
      </w:r>
    </w:p>
  </w:footnote>
  <w:footnote w:id="2">
    <w:p w:rsidRPr="005408F4" w:rsidR="00D444FF" w:rsidP="00D444FF" w:rsidRDefault="00D444FF" w14:paraId="3B6FD93B" w14:textId="77777777">
      <w:pPr>
        <w:pStyle w:val="Textonotapie"/>
        <w:tabs>
          <w:tab w:val="left" w:pos="284"/>
        </w:tabs>
        <w:spacing w:after="60"/>
        <w:ind w:left="284" w:hanging="284"/>
        <w:rPr>
          <w:rStyle w:val="Hipervnculo"/>
          <w:color w:val="000000" w:themeColor="text1"/>
          <w:sz w:val="18"/>
          <w:szCs w:val="18"/>
          <w:lang w:val="es-PE"/>
        </w:rPr>
      </w:pPr>
      <w:r w:rsidRPr="005408F4">
        <w:rPr>
          <w:rStyle w:val="Refdenotaalpie"/>
          <w:sz w:val="18"/>
          <w:szCs w:val="18"/>
        </w:rPr>
        <w:footnoteRef/>
      </w:r>
      <w:r w:rsidRPr="005408F4">
        <w:rPr>
          <w:sz w:val="18"/>
          <w:szCs w:val="18"/>
          <w:lang w:val="es-PE"/>
        </w:rPr>
        <w:t xml:space="preserve"> </w:t>
      </w:r>
      <w:r w:rsidRPr="005408F4">
        <w:rPr>
          <w:sz w:val="18"/>
          <w:szCs w:val="18"/>
          <w:lang w:val="es-PE"/>
        </w:rPr>
        <w:tab/>
      </w:r>
      <w:r w:rsidRPr="005408F4">
        <w:rPr>
          <w:rStyle w:val="Hipervnculo"/>
          <w:b/>
          <w:bCs/>
          <w:color w:val="000000" w:themeColor="text1"/>
          <w:sz w:val="18"/>
          <w:szCs w:val="18"/>
          <w:lang w:val="es-PE"/>
        </w:rPr>
        <w:t>Ley del Contrato de Seguro</w:t>
      </w:r>
    </w:p>
    <w:p w:rsidRPr="005408F4" w:rsidR="00D444FF" w:rsidP="00D444FF" w:rsidRDefault="00D444FF" w14:paraId="4CED8CB7" w14:textId="77777777">
      <w:pPr>
        <w:pStyle w:val="Textonotapie"/>
        <w:tabs>
          <w:tab w:val="left" w:pos="284"/>
        </w:tabs>
        <w:spacing w:after="60"/>
        <w:ind w:left="284" w:hanging="284"/>
        <w:rPr>
          <w:rStyle w:val="Hipervnculo"/>
          <w:b/>
          <w:bCs/>
          <w:color w:val="000000" w:themeColor="text1"/>
          <w:sz w:val="18"/>
          <w:szCs w:val="18"/>
          <w:lang w:val="es-PE"/>
        </w:rPr>
      </w:pPr>
      <w:r w:rsidRPr="005408F4">
        <w:rPr>
          <w:rStyle w:val="Hipervnculo"/>
          <w:b/>
          <w:bCs/>
          <w:color w:val="000000" w:themeColor="text1"/>
          <w:sz w:val="18"/>
          <w:szCs w:val="18"/>
          <w:lang w:val="es-PE"/>
        </w:rPr>
        <w:tab/>
      </w:r>
      <w:r w:rsidRPr="005408F4">
        <w:rPr>
          <w:rStyle w:val="Hipervnculo"/>
          <w:b/>
          <w:bCs/>
          <w:color w:val="000000" w:themeColor="text1"/>
          <w:sz w:val="18"/>
          <w:szCs w:val="18"/>
          <w:lang w:val="es-PE"/>
        </w:rPr>
        <w:t>Artículo 1.- Definición</w:t>
      </w:r>
    </w:p>
    <w:p w:rsidRPr="005408F4" w:rsidR="00D444FF" w:rsidP="00D444FF" w:rsidRDefault="00D444FF" w14:paraId="503C31FB" w14:textId="77777777">
      <w:pPr>
        <w:pStyle w:val="Textonotapie"/>
        <w:tabs>
          <w:tab w:val="left" w:pos="284"/>
        </w:tabs>
        <w:spacing w:after="120"/>
        <w:ind w:left="284" w:hanging="284"/>
        <w:rPr>
          <w:rStyle w:val="Hipervnculo"/>
          <w:color w:val="000000" w:themeColor="text1"/>
          <w:sz w:val="18"/>
          <w:szCs w:val="18"/>
          <w:lang w:val="es-PE"/>
        </w:rPr>
      </w:pPr>
      <w:r w:rsidRPr="005408F4">
        <w:rPr>
          <w:rStyle w:val="Hipervnculo"/>
          <w:color w:val="000000" w:themeColor="text1"/>
          <w:sz w:val="18"/>
          <w:szCs w:val="18"/>
          <w:lang w:val="es-PE"/>
        </w:rPr>
        <w:tab/>
      </w:r>
      <w:r w:rsidRPr="005408F4">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3">
    <w:p w:rsidRPr="005408F4" w:rsidR="00D444FF" w:rsidP="00D444FF" w:rsidRDefault="00D444FF" w14:paraId="30563A6F" w14:textId="77777777">
      <w:pPr>
        <w:pStyle w:val="Textonotapie"/>
        <w:tabs>
          <w:tab w:val="left" w:pos="284"/>
        </w:tabs>
        <w:spacing w:after="120"/>
        <w:ind w:left="284" w:hanging="284"/>
        <w:rPr>
          <w:b/>
          <w:bCs/>
          <w:sz w:val="18"/>
          <w:szCs w:val="18"/>
        </w:rPr>
      </w:pPr>
      <w:r w:rsidRPr="005408F4">
        <w:rPr>
          <w:rStyle w:val="Refdenotaalpie"/>
          <w:sz w:val="18"/>
          <w:szCs w:val="18"/>
        </w:rPr>
        <w:footnoteRef/>
      </w:r>
      <w:r w:rsidRPr="005408F4">
        <w:rPr>
          <w:sz w:val="18"/>
          <w:szCs w:val="18"/>
          <w:lang w:val="es-PE"/>
        </w:rPr>
        <w:t xml:space="preserve"> </w:t>
      </w:r>
      <w:r w:rsidRPr="005408F4">
        <w:rPr>
          <w:sz w:val="18"/>
          <w:szCs w:val="18"/>
          <w:lang w:val="es-PE"/>
        </w:rPr>
        <w:tab/>
      </w:r>
      <w:r w:rsidRPr="005408F4">
        <w:rPr>
          <w:b/>
          <w:bCs/>
          <w:sz w:val="18"/>
          <w:szCs w:val="18"/>
          <w:lang w:val="es-PE"/>
        </w:rPr>
        <w:t>Código Civil</w:t>
      </w:r>
    </w:p>
    <w:p w:rsidRPr="005408F4" w:rsidR="00D444FF" w:rsidP="00D444FF" w:rsidRDefault="00D444FF" w14:paraId="770C7C67" w14:textId="77777777">
      <w:pPr>
        <w:pStyle w:val="Textonotapie"/>
        <w:tabs>
          <w:tab w:val="left" w:pos="284"/>
        </w:tabs>
        <w:spacing w:after="120"/>
        <w:ind w:left="284" w:hanging="284"/>
        <w:rPr>
          <w:sz w:val="18"/>
          <w:szCs w:val="18"/>
          <w:lang w:val="es-PE"/>
        </w:rPr>
      </w:pPr>
      <w:r w:rsidRPr="005408F4">
        <w:rPr>
          <w:b/>
          <w:bCs/>
          <w:sz w:val="18"/>
          <w:szCs w:val="18"/>
          <w:lang w:val="es-PE"/>
        </w:rPr>
        <w:tab/>
      </w:r>
      <w:r w:rsidRPr="005408F4">
        <w:rPr>
          <w:b/>
          <w:bCs/>
          <w:sz w:val="18"/>
          <w:szCs w:val="18"/>
          <w:lang w:val="es-PE"/>
        </w:rPr>
        <w:t>Artículo 1361.-</w:t>
      </w:r>
      <w:r w:rsidRPr="005408F4">
        <w:rPr>
          <w:sz w:val="18"/>
          <w:szCs w:val="18"/>
          <w:lang w:val="es-PE"/>
        </w:rPr>
        <w:t> Los contratos son obligatorios en cuanto se haya expresado en ellos.</w:t>
      </w:r>
    </w:p>
    <w:p w:rsidRPr="005408F4" w:rsidR="00D444FF" w:rsidP="00D444FF" w:rsidRDefault="00D444FF" w14:paraId="350D7195" w14:textId="77777777">
      <w:pPr>
        <w:pStyle w:val="Textonotapie"/>
        <w:tabs>
          <w:tab w:val="left" w:pos="284"/>
        </w:tabs>
        <w:spacing w:after="120"/>
        <w:ind w:left="284" w:hanging="284"/>
        <w:rPr>
          <w:sz w:val="18"/>
          <w:szCs w:val="18"/>
          <w:lang w:val="es-PE"/>
        </w:rPr>
      </w:pPr>
      <w:r w:rsidRPr="005408F4">
        <w:rPr>
          <w:sz w:val="18"/>
          <w:szCs w:val="18"/>
          <w:lang w:val="es-PE"/>
        </w:rPr>
        <w:tab/>
      </w:r>
      <w:r w:rsidRPr="005408F4">
        <w:rPr>
          <w:sz w:val="18"/>
          <w:szCs w:val="18"/>
          <w:lang w:val="es-PE"/>
        </w:rPr>
        <w:t>Se presume que la declaración expresada en el contrato responde a la voluntad común de las partes y quien niegue esa coincidencia debe probarla.</w:t>
      </w:r>
    </w:p>
  </w:footnote>
  <w:footnote w:id="4">
    <w:p w:rsidRPr="005408F4" w:rsidR="00D444FF" w:rsidP="00D444FF" w:rsidRDefault="00D444FF" w14:paraId="5FCB25D6" w14:textId="77777777">
      <w:pPr>
        <w:pStyle w:val="Textonotapie"/>
        <w:tabs>
          <w:tab w:val="left" w:pos="284"/>
        </w:tabs>
        <w:spacing w:after="120"/>
        <w:ind w:left="284" w:hanging="284"/>
        <w:rPr>
          <w:b/>
          <w:bCs/>
          <w:sz w:val="18"/>
          <w:szCs w:val="18"/>
          <w:lang w:val="es-MX"/>
        </w:rPr>
      </w:pPr>
      <w:r w:rsidRPr="005408F4">
        <w:rPr>
          <w:rStyle w:val="Refdenotaalpie"/>
          <w:sz w:val="18"/>
          <w:szCs w:val="18"/>
        </w:rPr>
        <w:footnoteRef/>
      </w:r>
      <w:r w:rsidRPr="005408F4">
        <w:rPr>
          <w:sz w:val="18"/>
          <w:szCs w:val="18"/>
          <w:lang w:val="es-PE"/>
        </w:rPr>
        <w:t xml:space="preserve"> </w:t>
      </w:r>
      <w:r w:rsidRPr="005408F4">
        <w:rPr>
          <w:sz w:val="18"/>
          <w:szCs w:val="18"/>
          <w:lang w:val="es-PE"/>
        </w:rPr>
        <w:tab/>
      </w:r>
      <w:r w:rsidRPr="005408F4">
        <w:rPr>
          <w:b/>
          <w:bCs/>
          <w:sz w:val="18"/>
          <w:szCs w:val="18"/>
          <w:lang w:val="es-MX"/>
        </w:rPr>
        <w:t>Código Procesal Civil</w:t>
      </w:r>
    </w:p>
    <w:p w:rsidRPr="005408F4" w:rsidR="00D444FF" w:rsidP="00D444FF" w:rsidRDefault="00D444FF" w14:paraId="0F77723D" w14:textId="77777777">
      <w:pPr>
        <w:pStyle w:val="Textonotapie"/>
        <w:tabs>
          <w:tab w:val="left" w:pos="284"/>
        </w:tabs>
        <w:spacing w:after="120"/>
        <w:ind w:left="284" w:hanging="284"/>
        <w:rPr>
          <w:sz w:val="18"/>
          <w:szCs w:val="18"/>
          <w:lang w:val="es-MX"/>
        </w:rPr>
      </w:pPr>
      <w:r w:rsidRPr="005408F4">
        <w:rPr>
          <w:b/>
          <w:bCs/>
          <w:sz w:val="18"/>
          <w:szCs w:val="18"/>
          <w:lang w:val="es-MX"/>
        </w:rPr>
        <w:tab/>
      </w:r>
      <w:r w:rsidRPr="005408F4">
        <w:rPr>
          <w:b/>
          <w:bCs/>
          <w:sz w:val="18"/>
          <w:szCs w:val="18"/>
          <w:lang w:val="es-MX"/>
        </w:rPr>
        <w:t xml:space="preserve">Artículo 196.- Carga de la </w:t>
      </w:r>
      <w:proofErr w:type="gramStart"/>
      <w:r w:rsidRPr="005408F4">
        <w:rPr>
          <w:b/>
          <w:bCs/>
          <w:sz w:val="18"/>
          <w:szCs w:val="18"/>
          <w:lang w:val="es-MX"/>
        </w:rPr>
        <w:t>prueba.-</w:t>
      </w:r>
      <w:proofErr w:type="gramEnd"/>
      <w:r w:rsidRPr="005408F4">
        <w:rPr>
          <w:sz w:val="18"/>
          <w:szCs w:val="18"/>
          <w:lang w:val="es-MX"/>
        </w:rPr>
        <w:t xml:space="preserve"> Salvo disposición legal diferente, la carga de probar corresponde a quien afirma hechos que configuran su pretensión, o a quien los contradice alegando nuevos hechos.</w:t>
      </w:r>
    </w:p>
  </w:footnote>
  <w:footnote w:id="5">
    <w:p w:rsidRPr="005408F4" w:rsidR="00D444FF" w:rsidP="00D444FF" w:rsidRDefault="00D444FF" w14:paraId="74664C6C" w14:textId="77777777">
      <w:pPr>
        <w:pStyle w:val="Textonotapie"/>
        <w:tabs>
          <w:tab w:val="left" w:pos="284"/>
        </w:tabs>
        <w:spacing w:after="120"/>
        <w:ind w:left="284" w:hanging="284"/>
        <w:rPr>
          <w:b/>
          <w:bCs/>
          <w:sz w:val="18"/>
          <w:szCs w:val="18"/>
          <w:lang w:val="es-MX"/>
        </w:rPr>
      </w:pPr>
      <w:r w:rsidRPr="005408F4">
        <w:rPr>
          <w:rStyle w:val="Refdenotaalpie"/>
          <w:sz w:val="18"/>
          <w:szCs w:val="18"/>
        </w:rPr>
        <w:footnoteRef/>
      </w:r>
      <w:r w:rsidRPr="005408F4">
        <w:rPr>
          <w:sz w:val="18"/>
          <w:szCs w:val="18"/>
        </w:rPr>
        <w:t xml:space="preserve"> </w:t>
      </w:r>
      <w:r w:rsidRPr="005408F4">
        <w:rPr>
          <w:sz w:val="18"/>
          <w:szCs w:val="18"/>
        </w:rPr>
        <w:tab/>
      </w:r>
      <w:r w:rsidRPr="005408F4">
        <w:rPr>
          <w:b/>
          <w:bCs/>
          <w:sz w:val="18"/>
          <w:szCs w:val="18"/>
        </w:rPr>
        <w:t>Reglamento de la DEFASEG</w:t>
      </w:r>
    </w:p>
    <w:p w:rsidRPr="005408F4" w:rsidR="00D444FF" w:rsidP="00D444FF" w:rsidRDefault="00D444FF" w14:paraId="138EC944" w14:textId="77777777">
      <w:pPr>
        <w:pStyle w:val="Textonotapie"/>
        <w:tabs>
          <w:tab w:val="left" w:pos="284"/>
        </w:tabs>
        <w:spacing w:after="120"/>
        <w:ind w:left="284" w:hanging="284"/>
        <w:rPr>
          <w:rStyle w:val="Hipervnculo"/>
          <w:color w:val="000000" w:themeColor="text1"/>
          <w:sz w:val="18"/>
          <w:szCs w:val="18"/>
          <w:lang w:val="es-PE"/>
        </w:rPr>
      </w:pPr>
      <w:r w:rsidRPr="005408F4">
        <w:rPr>
          <w:rStyle w:val="Hipervnculo"/>
          <w:b/>
          <w:bCs/>
          <w:color w:val="000000" w:themeColor="text1"/>
          <w:sz w:val="18"/>
          <w:szCs w:val="18"/>
          <w:lang w:val="es-PE"/>
        </w:rPr>
        <w:tab/>
      </w:r>
      <w:r w:rsidRPr="005408F4">
        <w:rPr>
          <w:rStyle w:val="Hipervnculo"/>
          <w:b/>
          <w:bCs/>
          <w:color w:val="000000" w:themeColor="text1"/>
          <w:sz w:val="18"/>
          <w:szCs w:val="18"/>
          <w:lang w:val="es-PE"/>
        </w:rPr>
        <w:t xml:space="preserve">4. Competencia </w:t>
      </w:r>
    </w:p>
    <w:p w:rsidRPr="005408F4" w:rsidR="00D444FF" w:rsidP="00D444FF" w:rsidRDefault="00D444FF" w14:paraId="67CBFD42" w14:textId="77777777">
      <w:pPr>
        <w:pStyle w:val="Textonotapie"/>
        <w:tabs>
          <w:tab w:val="left" w:pos="284"/>
        </w:tabs>
        <w:spacing w:after="120"/>
        <w:ind w:left="284" w:hanging="284"/>
        <w:rPr>
          <w:rStyle w:val="Hipervnculo"/>
          <w:color w:val="000000" w:themeColor="text1"/>
          <w:sz w:val="18"/>
          <w:szCs w:val="18"/>
          <w:lang w:val="es-PE"/>
        </w:rPr>
      </w:pP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5408F4" w:rsidR="00D444FF" w:rsidP="00D444FF" w:rsidRDefault="00D444FF" w14:paraId="17BFB8BA" w14:textId="77777777">
      <w:pPr>
        <w:pStyle w:val="Textonotapie"/>
        <w:tabs>
          <w:tab w:val="left" w:pos="284"/>
          <w:tab w:val="left" w:pos="567"/>
        </w:tabs>
        <w:spacing w:after="120"/>
        <w:ind w:left="567" w:hanging="567"/>
        <w:rPr>
          <w:rStyle w:val="Hipervnculo"/>
          <w:color w:val="000000" w:themeColor="text1"/>
          <w:sz w:val="18"/>
          <w:szCs w:val="18"/>
          <w:lang w:val="es-PE"/>
        </w:rPr>
      </w:pP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1. </w:t>
      </w: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5408F4" w:rsidR="00D444FF" w:rsidP="00D444FF" w:rsidRDefault="00D444FF" w14:paraId="311E72B1" w14:textId="77777777">
      <w:pPr>
        <w:pStyle w:val="Textonotapie"/>
        <w:tabs>
          <w:tab w:val="left" w:pos="284"/>
          <w:tab w:val="left" w:pos="567"/>
        </w:tabs>
        <w:spacing w:after="120"/>
        <w:ind w:left="567" w:hanging="567"/>
        <w:rPr>
          <w:rStyle w:val="Hipervnculo"/>
          <w:color w:val="000000" w:themeColor="text1"/>
          <w:sz w:val="18"/>
          <w:szCs w:val="18"/>
          <w:lang w:val="es-PE"/>
        </w:rPr>
      </w:pP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2. </w:t>
      </w: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5408F4" w:rsidR="00D444FF" w:rsidP="00D444FF" w:rsidRDefault="00D444FF" w14:paraId="7822AFD6" w14:textId="77777777">
      <w:pPr>
        <w:pStyle w:val="Textonotapie"/>
        <w:tabs>
          <w:tab w:val="left" w:pos="284"/>
          <w:tab w:val="left" w:pos="567"/>
        </w:tabs>
        <w:spacing w:after="120"/>
        <w:ind w:left="567" w:hanging="567"/>
        <w:rPr>
          <w:rStyle w:val="Hipervnculo"/>
          <w:color w:val="000000" w:themeColor="text1"/>
          <w:sz w:val="18"/>
          <w:szCs w:val="18"/>
          <w:lang w:val="es-PE"/>
        </w:rPr>
      </w:pP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3. </w:t>
      </w:r>
      <w:r w:rsidRPr="005408F4">
        <w:rPr>
          <w:rStyle w:val="Hipervnculo"/>
          <w:color w:val="000000" w:themeColor="text1"/>
          <w:sz w:val="18"/>
          <w:szCs w:val="18"/>
          <w:lang w:val="es-PE"/>
        </w:rPr>
        <w:tab/>
      </w:r>
      <w:r w:rsidRPr="005408F4">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rsidRPr="005408F4" w:rsidR="00D444FF" w:rsidP="00D444FF" w:rsidRDefault="00D444FF" w14:paraId="65C0A624" w14:textId="77777777">
      <w:pPr>
        <w:pStyle w:val="Textonotapie"/>
        <w:tabs>
          <w:tab w:val="left" w:pos="284"/>
        </w:tabs>
        <w:spacing w:after="120"/>
        <w:ind w:left="284" w:hanging="284"/>
        <w:rPr>
          <w:sz w:val="18"/>
          <w:szCs w:val="18"/>
          <w:lang w:val="es-MX"/>
        </w:rPr>
      </w:pPr>
      <w:r w:rsidRPr="005408F4">
        <w:rPr>
          <w:rStyle w:val="Refdenotaalpie"/>
          <w:sz w:val="18"/>
          <w:szCs w:val="18"/>
        </w:rPr>
        <w:footnoteRef/>
      </w:r>
      <w:r w:rsidRPr="005408F4">
        <w:rPr>
          <w:sz w:val="18"/>
          <w:szCs w:val="18"/>
        </w:rPr>
        <w:t xml:space="preserve"> </w:t>
      </w:r>
      <w:r w:rsidRPr="005408F4">
        <w:rPr>
          <w:sz w:val="18"/>
          <w:szCs w:val="18"/>
        </w:rPr>
        <w:tab/>
      </w:r>
      <w:r w:rsidRPr="005408F4">
        <w:rPr>
          <w:sz w:val="18"/>
          <w:szCs w:val="18"/>
        </w:rPr>
        <w:t xml:space="preserve">DEFASEG, </w:t>
      </w:r>
      <w:r w:rsidRPr="005408F4">
        <w:rPr>
          <w:i/>
          <w:iCs/>
          <w:sz w:val="18"/>
          <w:szCs w:val="18"/>
        </w:rPr>
        <w:t>Informe anual correspondiente al año 2001</w:t>
      </w:r>
      <w:r w:rsidRPr="005408F4">
        <w:rPr>
          <w:sz w:val="18"/>
          <w:szCs w:val="18"/>
        </w:rPr>
        <w:t>.</w:t>
      </w:r>
    </w:p>
  </w:footnote>
  <w:footnote w:id="7">
    <w:p w:rsidRPr="005408F4" w:rsidR="00D444FF" w:rsidP="00D444FF" w:rsidRDefault="00D444FF" w14:paraId="2AB2A798" w14:textId="77777777">
      <w:pPr>
        <w:pStyle w:val="Textonotapie"/>
        <w:tabs>
          <w:tab w:val="left" w:pos="284"/>
        </w:tabs>
        <w:spacing w:after="120"/>
        <w:ind w:left="284" w:hanging="284"/>
        <w:rPr>
          <w:sz w:val="18"/>
          <w:szCs w:val="18"/>
          <w:lang w:val="en-US"/>
        </w:rPr>
      </w:pPr>
      <w:r w:rsidRPr="005408F4">
        <w:rPr>
          <w:rStyle w:val="Refdenotaalpie"/>
          <w:sz w:val="18"/>
          <w:szCs w:val="18"/>
        </w:rPr>
        <w:footnoteRef/>
      </w:r>
      <w:r w:rsidRPr="005408F4">
        <w:rPr>
          <w:sz w:val="18"/>
          <w:szCs w:val="18"/>
        </w:rPr>
        <w:t xml:space="preserve"> </w:t>
      </w:r>
      <w:r w:rsidRPr="005408F4">
        <w:rPr>
          <w:sz w:val="18"/>
          <w:szCs w:val="18"/>
        </w:rPr>
        <w:tab/>
      </w:r>
      <w:r w:rsidRPr="005408F4">
        <w:rPr>
          <w:noProof/>
          <w:sz w:val="18"/>
          <w:szCs w:val="18"/>
          <w:lang w:val="es-PE"/>
        </w:rPr>
        <w:t>«</w:t>
      </w:r>
      <w:r w:rsidRPr="005408F4">
        <w:rPr>
          <w:sz w:val="18"/>
          <w:szCs w:val="18"/>
        </w:rPr>
        <w:t>Valor venal», en:  Diccionario Allianz, &lt;https://www.allianz.es/descubre-allianz/mediadores/diccionario-de-seguros.html</w:t>
      </w:r>
      <w:proofErr w:type="gramStart"/>
      <w:r w:rsidRPr="005408F4">
        <w:rPr>
          <w:sz w:val="18"/>
          <w:szCs w:val="18"/>
        </w:rPr>
        <w:t>][</w:t>
      </w:r>
      <w:proofErr w:type="gramEnd"/>
      <w:r w:rsidRPr="005408F4">
        <w:rPr>
          <w:sz w:val="18"/>
          <w:szCs w:val="18"/>
        </w:rPr>
        <w:t>Consulta: 20 de junio de 2025] &gt;</w:t>
      </w:r>
    </w:p>
  </w:footnote>
  <w:footnote w:id="8">
    <w:p w:rsidRPr="005408F4" w:rsidR="00D444FF" w:rsidP="00D444FF" w:rsidRDefault="00D444FF" w14:paraId="22D43701" w14:textId="77777777">
      <w:pPr>
        <w:pStyle w:val="Textonotapie"/>
        <w:tabs>
          <w:tab w:val="left" w:pos="284"/>
        </w:tabs>
        <w:spacing w:after="120"/>
        <w:ind w:left="284" w:hanging="284"/>
        <w:rPr>
          <w:b/>
          <w:bCs/>
          <w:sz w:val="18"/>
          <w:szCs w:val="18"/>
        </w:rPr>
      </w:pPr>
      <w:r w:rsidRPr="005408F4">
        <w:rPr>
          <w:rStyle w:val="Refdenotaalpie"/>
          <w:sz w:val="18"/>
          <w:szCs w:val="18"/>
        </w:rPr>
        <w:footnoteRef/>
      </w:r>
      <w:r w:rsidRPr="005408F4">
        <w:rPr>
          <w:sz w:val="18"/>
          <w:szCs w:val="18"/>
        </w:rPr>
        <w:t xml:space="preserve"> </w:t>
      </w:r>
      <w:r w:rsidRPr="005408F4">
        <w:rPr>
          <w:sz w:val="18"/>
          <w:szCs w:val="18"/>
        </w:rPr>
        <w:tab/>
      </w:r>
      <w:r w:rsidRPr="005408F4">
        <w:rPr>
          <w:b/>
          <w:bCs/>
          <w:sz w:val="18"/>
          <w:szCs w:val="18"/>
        </w:rPr>
        <w:t>Ley del Contrato de Seguro</w:t>
      </w:r>
    </w:p>
    <w:p w:rsidRPr="005408F4" w:rsidR="00D444FF" w:rsidP="00D444FF" w:rsidRDefault="00D444FF" w14:paraId="424EF176" w14:textId="77777777">
      <w:pPr>
        <w:pStyle w:val="Textonotapie"/>
        <w:tabs>
          <w:tab w:val="left" w:pos="284"/>
        </w:tabs>
        <w:spacing w:after="120"/>
        <w:ind w:left="284" w:hanging="284"/>
        <w:rPr>
          <w:b/>
          <w:bCs/>
          <w:sz w:val="18"/>
          <w:szCs w:val="18"/>
        </w:rPr>
      </w:pPr>
      <w:r w:rsidRPr="005408F4">
        <w:rPr>
          <w:b/>
          <w:bCs/>
          <w:sz w:val="18"/>
          <w:szCs w:val="18"/>
        </w:rPr>
        <w:tab/>
      </w:r>
      <w:r w:rsidRPr="005408F4">
        <w:rPr>
          <w:b/>
          <w:bCs/>
          <w:sz w:val="18"/>
          <w:szCs w:val="18"/>
        </w:rPr>
        <w:t>Artículo 85.- Sobreseguro</w:t>
      </w:r>
    </w:p>
    <w:p w:rsidRPr="005408F4" w:rsidR="00D444FF" w:rsidP="00D444FF" w:rsidRDefault="00D444FF" w14:paraId="69921C5F" w14:textId="77777777">
      <w:pPr>
        <w:pStyle w:val="Textonotapie"/>
        <w:tabs>
          <w:tab w:val="left" w:pos="284"/>
        </w:tabs>
        <w:spacing w:after="120"/>
        <w:ind w:left="284" w:hanging="284"/>
        <w:rPr>
          <w:sz w:val="18"/>
          <w:szCs w:val="18"/>
        </w:rPr>
      </w:pPr>
      <w:r w:rsidRPr="005408F4">
        <w:rPr>
          <w:sz w:val="18"/>
          <w:szCs w:val="18"/>
        </w:rPr>
        <w:tab/>
      </w:r>
      <w:r w:rsidRPr="005408F4">
        <w:rPr>
          <w:sz w:val="18"/>
          <w:szCs w:val="18"/>
        </w:rPr>
        <w:t>Si al tiempo del siniestro el valor asegurado excede el valor asegurable, el asegurador sólo está obligado a resarcir el daño efectivamente sufrido.</w:t>
      </w:r>
    </w:p>
    <w:p w:rsidRPr="005408F4" w:rsidR="00D444FF" w:rsidP="00D444FF" w:rsidRDefault="00D444FF" w14:paraId="255766EB" w14:textId="77777777">
      <w:pPr>
        <w:pStyle w:val="Textonotapie"/>
        <w:tabs>
          <w:tab w:val="left" w:pos="284"/>
        </w:tabs>
        <w:spacing w:after="120"/>
        <w:ind w:left="284" w:hanging="284"/>
        <w:rPr>
          <w:sz w:val="18"/>
          <w:szCs w:val="18"/>
        </w:rPr>
      </w:pPr>
      <w:r w:rsidRPr="005408F4">
        <w:rPr>
          <w:sz w:val="18"/>
          <w:szCs w:val="18"/>
        </w:rPr>
        <w:tab/>
      </w:r>
      <w:r w:rsidRPr="005408F4">
        <w:rPr>
          <w:sz w:val="18"/>
          <w:szCs w:val="18"/>
        </w:rPr>
        <w:t>Si hubo intención manifiesta del contratante o del asegurado de enriquecerse a costa del asegurador, el contrato de seguro es nulo. El asegurador que actuó de buena fe queda libre de cualquier obligación indemnizatoria y gana la prima entera.</w:t>
      </w:r>
    </w:p>
  </w:footnote>
  <w:footnote w:id="9">
    <w:p w:rsidR="00D444FF" w:rsidP="00D444FF" w:rsidRDefault="00D444FF" w14:paraId="25140942" w14:textId="77777777">
      <w:pPr>
        <w:pStyle w:val="Textonotapie"/>
        <w:tabs>
          <w:tab w:val="left" w:pos="284"/>
        </w:tabs>
        <w:spacing w:after="120"/>
        <w:ind w:left="284" w:hanging="284"/>
        <w:rPr>
          <w:rFonts w:ascii="Georgia" w:hAnsi="Georgia"/>
        </w:rPr>
      </w:pPr>
      <w:r w:rsidRPr="005408F4">
        <w:rPr>
          <w:rStyle w:val="Refdenotaalpie"/>
          <w:sz w:val="18"/>
          <w:szCs w:val="18"/>
        </w:rPr>
        <w:footnoteRef/>
      </w:r>
      <w:r w:rsidRPr="005408F4">
        <w:rPr>
          <w:sz w:val="18"/>
          <w:szCs w:val="18"/>
        </w:rPr>
        <w:t xml:space="preserve"> </w:t>
      </w:r>
      <w:r w:rsidRPr="005408F4">
        <w:rPr>
          <w:sz w:val="18"/>
          <w:szCs w:val="18"/>
        </w:rPr>
        <w:tab/>
      </w:r>
      <w:r w:rsidRPr="005408F4">
        <w:rPr>
          <w:sz w:val="18"/>
          <w:szCs w:val="18"/>
        </w:rPr>
        <w:t xml:space="preserve">Resolución DEFASEG </w:t>
      </w:r>
      <w:proofErr w:type="spellStart"/>
      <w:r w:rsidRPr="005408F4">
        <w:rPr>
          <w:sz w:val="18"/>
          <w:szCs w:val="18"/>
        </w:rPr>
        <w:t>n.°</w:t>
      </w:r>
      <w:proofErr w:type="spellEnd"/>
      <w:r w:rsidRPr="005408F4">
        <w:rPr>
          <w:sz w:val="18"/>
          <w:szCs w:val="18"/>
        </w:rPr>
        <w:t xml:space="preserve"> 133/15 del 9 de noviembre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7"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2"/>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5"/>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0"/>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5"/>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2"/>
  </w:num>
  <w:num w:numId="42" w16cid:durableId="1367632935">
    <w:abstractNumId w:val="56"/>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1"/>
  </w:num>
  <w:num w:numId="52" w16cid:durableId="2045446585">
    <w:abstractNumId w:val="26"/>
  </w:num>
  <w:num w:numId="53" w16cid:durableId="236061337">
    <w:abstractNumId w:val="5"/>
  </w:num>
  <w:num w:numId="54" w16cid:durableId="908076149">
    <w:abstractNumId w:val="2"/>
  </w:num>
  <w:num w:numId="55" w16cid:durableId="1301306779">
    <w:abstractNumId w:val="12"/>
  </w:num>
  <w:num w:numId="56" w16cid:durableId="1375540179">
    <w:abstractNumId w:val="54"/>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725787118">
    <w:abstractNumId w:val="1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2DFA0BB"/>
    <w:rsid w:val="0452E21E"/>
    <w:rsid w:val="065F61C0"/>
    <w:rsid w:val="1BCC2512"/>
    <w:rsid w:val="1E86F523"/>
    <w:rsid w:val="23CF7061"/>
    <w:rsid w:val="2F7DD142"/>
    <w:rsid w:val="309B8344"/>
    <w:rsid w:val="37925ABB"/>
    <w:rsid w:val="3FCCD2A2"/>
    <w:rsid w:val="446D127E"/>
    <w:rsid w:val="4B3EA0B8"/>
    <w:rsid w:val="4DD6D8FE"/>
    <w:rsid w:val="51FB0B15"/>
    <w:rsid w:val="55158BC6"/>
    <w:rsid w:val="655F6813"/>
    <w:rsid w:val="69D66457"/>
    <w:rsid w:val="6CAF038E"/>
    <w:rsid w:val="705958AE"/>
    <w:rsid w:val="73294A50"/>
    <w:rsid w:val="74E1F9AE"/>
    <w:rsid w:val="7546DD38"/>
    <w:rsid w:val="7AD1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llianz.es/seguro-de-moto/consejos-seguro-de-moto/valor-venal-mo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318C743-8CDD-4DF1-96F0-8BAF919AD6B8}"/>
</file>

<file path=customXml/itemProps3.xml><?xml version="1.0" encoding="utf-8"?>
<ds:datastoreItem xmlns:ds="http://schemas.openxmlformats.org/officeDocument/2006/customXml" ds:itemID="{BA402D65-5781-4096-9735-DBF6A4B05B09}"/>
</file>

<file path=customXml/itemProps4.xml><?xml version="1.0" encoding="utf-8"?>
<ds:datastoreItem xmlns:ds="http://schemas.openxmlformats.org/officeDocument/2006/customXml" ds:itemID="{48AD185F-80D6-4147-9A9E-BEBB6BDDA1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643</cp:revision>
  <cp:lastPrinted>2025-07-31T18:28:00Z</cp:lastPrinted>
  <dcterms:created xsi:type="dcterms:W3CDTF">2023-06-22T13:57:00Z</dcterms:created>
  <dcterms:modified xsi:type="dcterms:W3CDTF">2026-04-13T17:14:03Z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