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45AE" w:rsidR="00E145AE" w:rsidP="00E145AE" w:rsidRDefault="00F15FBA" w14:paraId="1EAC0989" w14:textId="1B62F11B">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w:t>
      </w:r>
      <w:r w:rsidR="00DA107A">
        <w:rPr>
          <w:lang w:val="es-PE"/>
        </w:rPr>
        <w:t>1</w:t>
      </w:r>
      <w:r w:rsidR="007E57E2">
        <w:rPr>
          <w:lang w:val="es-PE"/>
        </w:rPr>
        <w:t>6</w:t>
      </w:r>
      <w:r w:rsidRPr="00020D94" w:rsidR="001272A9">
        <w:rPr>
          <w:lang w:val="es-PE"/>
        </w:rPr>
        <w:t>/</w:t>
      </w:r>
      <w:r w:rsidRPr="00020D94" w:rsidR="001631D6">
        <w:rPr>
          <w:lang w:val="es-PE"/>
        </w:rPr>
        <w:t>2</w:t>
      </w:r>
      <w:r w:rsidRPr="00020D94" w:rsidR="0073373B">
        <w:rPr>
          <w:lang w:val="es-PE"/>
        </w:rPr>
        <w:t>5</w:t>
      </w:r>
    </w:p>
    <w:p w:rsidRPr="00B70B6B" w:rsidR="00B70B6B" w:rsidP="00B70B6B" w:rsidRDefault="00B70B6B" w14:paraId="72357A3E" w14:textId="77777777">
      <w:pPr>
        <w:jc w:val="both"/>
        <w:outlineLvl w:val="0"/>
        <w:rPr>
          <w:b/>
          <w:bCs/>
          <w:lang w:val="es-MX"/>
        </w:rPr>
      </w:pPr>
    </w:p>
    <w:p w:rsidR="00B70B6B" w:rsidP="00B70B6B" w:rsidRDefault="00B70B6B" w14:paraId="089F7F48" w14:textId="77777777">
      <w:pPr>
        <w:jc w:val="both"/>
        <w:outlineLvl w:val="0"/>
        <w:rPr>
          <w:b/>
          <w:bCs/>
          <w:lang w:val="es-MX"/>
        </w:rPr>
      </w:pPr>
      <w:r w:rsidRPr="00B70B6B">
        <w:rPr>
          <w:b/>
          <w:bCs/>
          <w:lang w:val="es-MX"/>
        </w:rPr>
        <w:t>VISTOS:</w:t>
      </w:r>
    </w:p>
    <w:p w:rsidRPr="00B70B6B" w:rsidR="00AE74E3" w:rsidP="00B70B6B" w:rsidRDefault="00AE74E3" w14:paraId="61B21BA7" w14:textId="77777777">
      <w:pPr>
        <w:jc w:val="both"/>
        <w:outlineLvl w:val="0"/>
        <w:rPr>
          <w:b/>
          <w:bCs/>
          <w:lang w:val="es-MX"/>
        </w:rPr>
      </w:pPr>
    </w:p>
    <w:p w:rsidR="00B70B6B" w:rsidP="00B70B6B" w:rsidRDefault="00B70B6B" w14:paraId="69E2B037" w14:textId="1088C7E2">
      <w:pPr>
        <w:jc w:val="both"/>
        <w:outlineLvl w:val="0"/>
        <w:rPr>
          <w:lang w:val="es-PE"/>
        </w:rPr>
      </w:pPr>
      <w:r w:rsidRPr="31C57A80" w:rsidR="00B70B6B">
        <w:rPr>
          <w:lang w:val="es-PE"/>
        </w:rPr>
        <w:t>Que, con fecha 17 de febrero de 2025</w:t>
      </w:r>
      <w:bookmarkStart w:name="_Hlk107662905" w:id="0"/>
      <w:r w:rsidRPr="31C57A80" w:rsidR="00B70B6B">
        <w:rPr>
          <w:lang w:val="es-PE"/>
        </w:rPr>
        <w:t xml:space="preserve">, la señora </w:t>
      </w:r>
      <w:r w:rsidRPr="31C57A80" w:rsidR="7637A0A6">
        <w:rPr>
          <w:lang w:val="es-PE"/>
        </w:rPr>
        <w:t>....................................................................</w:t>
      </w:r>
      <w:r w:rsidRPr="31C57A80" w:rsidR="00B70B6B">
        <w:rPr>
          <w:lang w:val="es-PE"/>
        </w:rPr>
        <w:t xml:space="preserve"> identificada con documento nacional de identidad </w:t>
      </w:r>
      <w:r w:rsidRPr="31C57A80" w:rsidR="00B70B6B">
        <w:rPr>
          <w:lang w:val="es-PE"/>
        </w:rPr>
        <w:t>n.°</w:t>
      </w:r>
      <w:r w:rsidRPr="31C57A80" w:rsidR="00B70B6B">
        <w:rPr>
          <w:lang w:val="es-PE"/>
        </w:rPr>
        <w:t xml:space="preserve"> </w:t>
      </w:r>
      <w:r w:rsidRPr="31C57A80" w:rsidR="1FA91264">
        <w:rPr>
          <w:lang w:val="es-PE"/>
        </w:rPr>
        <w:t>...................</w:t>
      </w:r>
      <w:r w:rsidRPr="31C57A80" w:rsidR="00B70B6B">
        <w:rPr>
          <w:lang w:val="es-PE"/>
        </w:rPr>
        <w:t xml:space="preserve"> como representante de </w:t>
      </w:r>
      <w:r w:rsidRPr="31C57A80" w:rsidR="64EE36CF">
        <w:rPr>
          <w:b w:val="1"/>
          <w:bCs w:val="1"/>
          <w:lang w:val="es-PE"/>
        </w:rPr>
        <w:t>............................................................</w:t>
      </w:r>
      <w:r w:rsidRPr="31C57A80" w:rsidR="00B70B6B">
        <w:rPr>
          <w:lang w:val="es-PE"/>
        </w:rPr>
        <w:t xml:space="preserve"> (“</w:t>
      </w:r>
      <w:r w:rsidRPr="31C57A80" w:rsidR="669B114D">
        <w:rPr>
          <w:b w:val="1"/>
          <w:bCs w:val="1"/>
          <w:lang w:val="es-PE"/>
        </w:rPr>
        <w:t>............................................</w:t>
      </w:r>
      <w:r w:rsidRPr="31C57A80" w:rsidR="00B70B6B">
        <w:rPr>
          <w:lang w:val="es-PE"/>
        </w:rPr>
        <w:t>”)</w:t>
      </w:r>
      <w:bookmarkEnd w:id="0"/>
      <w:r w:rsidRPr="31C57A80" w:rsidR="00B70B6B">
        <w:rPr>
          <w:lang w:val="es-PE"/>
        </w:rPr>
        <w:t xml:space="preserve"> identificada con registro único del contribuyente </w:t>
      </w:r>
      <w:r w:rsidRPr="31C57A80" w:rsidR="00B70B6B">
        <w:rPr>
          <w:lang w:val="es-PE"/>
        </w:rPr>
        <w:t>n.°</w:t>
      </w:r>
      <w:r w:rsidRPr="31C57A80" w:rsidR="00B70B6B">
        <w:rPr>
          <w:lang w:val="es-PE"/>
        </w:rPr>
        <w:t xml:space="preserve"> </w:t>
      </w:r>
      <w:r w:rsidRPr="31C57A80" w:rsidR="568BB6E9">
        <w:rPr>
          <w:lang w:val="es-PE"/>
        </w:rPr>
        <w:t>...........................</w:t>
      </w:r>
      <w:r w:rsidRPr="31C57A80" w:rsidR="00B70B6B">
        <w:rPr>
          <w:lang w:val="es-PE"/>
        </w:rPr>
        <w:t xml:space="preserve">, interpuso un reclamo ante la Defensoría del Asegurado (“DEFASEG”) solicitando que </w:t>
      </w:r>
      <w:r w:rsidRPr="31C57A80" w:rsidR="2C4F6084">
        <w:rPr>
          <w:b w:val="1"/>
          <w:bCs w:val="1"/>
          <w:lang w:val="es-PE"/>
        </w:rPr>
        <w:t>...............................................................................</w:t>
      </w:r>
      <w:r w:rsidRPr="31C57A80" w:rsidR="00B70B6B">
        <w:rPr>
          <w:lang w:val="es-PE"/>
        </w:rPr>
        <w:t xml:space="preserve"> (“</w:t>
      </w:r>
      <w:r w:rsidRPr="31C57A80" w:rsidR="27FECEA0">
        <w:rPr>
          <w:b w:val="1"/>
          <w:bCs w:val="1"/>
          <w:lang w:val="es-PE"/>
        </w:rPr>
        <w:t>................</w:t>
      </w:r>
      <w:r w:rsidRPr="31C57A80" w:rsidR="00B70B6B">
        <w:rPr>
          <w:lang w:val="es-PE"/>
        </w:rPr>
        <w:t xml:space="preserve">”) de acuerdo con la Póliza </w:t>
      </w:r>
      <w:r w:rsidRPr="31C57A80" w:rsidR="2373BA7C">
        <w:rPr>
          <w:lang w:val="es-PE"/>
        </w:rPr>
        <w:t>............................</w:t>
      </w:r>
      <w:r w:rsidRPr="31C57A80" w:rsidR="00B70B6B">
        <w:rPr>
          <w:lang w:val="es-PE"/>
        </w:rPr>
        <w:t xml:space="preserve"> (la “Póliza”), cumpla con brindarle cobertura respecto del siniestro ocurrido el 5 de febrero del 2024 en el que intervino el vehículo de placa de rodaje </w:t>
      </w:r>
      <w:r w:rsidRPr="31C57A80" w:rsidR="5C3471B8">
        <w:rPr>
          <w:lang w:val="es-PE"/>
        </w:rPr>
        <w:t>..................</w:t>
      </w:r>
      <w:r w:rsidRPr="31C57A80" w:rsidR="00B70B6B">
        <w:rPr>
          <w:lang w:val="es-PE"/>
        </w:rPr>
        <w:t xml:space="preserve"> (“vehículo asegurado”). </w:t>
      </w:r>
    </w:p>
    <w:p w:rsidRPr="00B70B6B" w:rsidR="00AE74E3" w:rsidP="00B70B6B" w:rsidRDefault="00AE74E3" w14:paraId="1D28BA51" w14:textId="77777777">
      <w:pPr>
        <w:jc w:val="both"/>
        <w:outlineLvl w:val="0"/>
        <w:rPr>
          <w:lang w:val="es-PE"/>
        </w:rPr>
      </w:pPr>
    </w:p>
    <w:p w:rsidR="00B70B6B" w:rsidP="00B70B6B" w:rsidRDefault="00B70B6B" w14:paraId="388F1DA0" w14:textId="27036120">
      <w:pPr>
        <w:jc w:val="both"/>
        <w:outlineLvl w:val="0"/>
        <w:rPr>
          <w:lang w:val="es-PE"/>
        </w:rPr>
      </w:pPr>
      <w:r w:rsidRPr="31C57A80" w:rsidR="00B70B6B">
        <w:rPr>
          <w:lang w:val="es-PE"/>
        </w:rPr>
        <w:t xml:space="preserve">Que, </w:t>
      </w:r>
      <w:r w:rsidRPr="31C57A80" w:rsidR="669B114D">
        <w:rPr>
          <w:lang w:val="es-PE"/>
        </w:rPr>
        <w:t>............................................</w:t>
      </w:r>
      <w:r w:rsidRPr="31C57A80" w:rsidR="00B70B6B">
        <w:rPr>
          <w:lang w:val="es-PE"/>
        </w:rPr>
        <w:t xml:space="preserve"> sustenta su reclamo sobre la base de los siguientes hechos y argumentos: </w:t>
      </w:r>
      <w:r w:rsidRPr="31C57A80" w:rsidR="00B70B6B">
        <w:rPr>
          <w:b w:val="1"/>
          <w:bCs w:val="1"/>
          <w:i w:val="1"/>
          <w:iCs w:val="1"/>
          <w:lang w:val="es-PE"/>
        </w:rPr>
        <w:t>a)</w:t>
      </w:r>
      <w:r w:rsidRPr="31C57A80" w:rsidR="00B70B6B">
        <w:rPr>
          <w:lang w:val="es-PE"/>
        </w:rPr>
        <w:t xml:space="preserve"> que, el 5 de febrero de 2024 la unidad de placa de rodaje </w:t>
      </w:r>
      <w:r w:rsidRPr="31C57A80" w:rsidR="5C3471B8">
        <w:rPr>
          <w:lang w:val="es-PE"/>
        </w:rPr>
        <w:t>..................</w:t>
      </w:r>
      <w:r w:rsidRPr="31C57A80" w:rsidR="00B70B6B">
        <w:rPr>
          <w:lang w:val="es-PE"/>
        </w:rPr>
        <w:t xml:space="preserve"> / </w:t>
      </w:r>
      <w:r w:rsidRPr="31C57A80" w:rsidR="2B58F2CE">
        <w:rPr>
          <w:lang w:val="es-PE"/>
        </w:rPr>
        <w:t>................</w:t>
      </w:r>
      <w:r w:rsidRPr="31C57A80" w:rsidR="00B70B6B">
        <w:rPr>
          <w:lang w:val="es-PE"/>
        </w:rPr>
        <w:t xml:space="preserve"> </w:t>
      </w:r>
      <w:r w:rsidRPr="31C57A80" w:rsidR="00B70B6B">
        <w:rPr>
          <w:lang w:val="es-PE"/>
        </w:rPr>
        <w:t xml:space="preserve">conducida por el vehículo asegurado participo en un accidente con una moto lineal, producto del cual falleció el conductor de la misma y resultó con diversas lesiones la ocupante de dicha unidad; </w:t>
      </w:r>
      <w:r w:rsidRPr="31C57A80" w:rsidR="00B70B6B">
        <w:rPr>
          <w:b w:val="1"/>
          <w:bCs w:val="1"/>
          <w:i w:val="1"/>
          <w:iCs w:val="1"/>
          <w:lang w:val="es-PE"/>
        </w:rPr>
        <w:t>b)</w:t>
      </w:r>
      <w:r w:rsidRPr="31C57A80" w:rsidR="00B70B6B">
        <w:rPr>
          <w:lang w:val="es-PE"/>
        </w:rPr>
        <w:t xml:space="preserve"> que, a la fecha del siniestro la asegurada contaba con una póliza vigente con </w:t>
      </w:r>
      <w:r w:rsidRPr="31C57A80" w:rsidR="27FECEA0">
        <w:rPr>
          <w:lang w:val="es-PE"/>
        </w:rPr>
        <w:t>................</w:t>
      </w:r>
      <w:r w:rsidRPr="31C57A80" w:rsidR="00B70B6B">
        <w:rPr>
          <w:lang w:val="es-PE"/>
        </w:rPr>
        <w:t xml:space="preserve"> y un contrato de servicio de asesoramiento e intermediación con “</w:t>
      </w:r>
      <w:r w:rsidRPr="31C57A80" w:rsidR="57FD1FE2">
        <w:rPr>
          <w:lang w:val="es-PE"/>
        </w:rPr>
        <w:t>..........................................................................................</w:t>
      </w:r>
      <w:r w:rsidRPr="31C57A80" w:rsidR="00B70B6B">
        <w:rPr>
          <w:lang w:val="es-PE"/>
        </w:rPr>
        <w:t>." (“</w:t>
      </w:r>
      <w:r w:rsidRPr="31C57A80" w:rsidR="46A975CD">
        <w:rPr>
          <w:lang w:val="es-PE"/>
        </w:rPr>
        <w:t>....................................................</w:t>
      </w:r>
      <w:r w:rsidRPr="31C57A80" w:rsidR="00B70B6B">
        <w:rPr>
          <w:lang w:val="es-PE"/>
        </w:rPr>
        <w:t xml:space="preserve">”), producto de la carta de nombramiento de fecha 23 de abril de 2023 la cual fue puesta en conocimiento de </w:t>
      </w:r>
      <w:r w:rsidRPr="31C57A80" w:rsidR="27FECEA0">
        <w:rPr>
          <w:lang w:val="es-PE"/>
        </w:rPr>
        <w:t>................</w:t>
      </w:r>
      <w:r w:rsidRPr="31C57A80" w:rsidR="00B70B6B">
        <w:rPr>
          <w:lang w:val="es-PE"/>
        </w:rPr>
        <w:t xml:space="preserve"> indicándose las direcciones electrónicas de la mencionada empresa para </w:t>
      </w:r>
      <w:r w:rsidRPr="31C57A80" w:rsidR="00B70B6B">
        <w:rPr>
          <w:lang w:val="es-PE"/>
        </w:rPr>
        <w:t>que  se</w:t>
      </w:r>
      <w:r w:rsidRPr="31C57A80" w:rsidR="00B70B6B">
        <w:rPr>
          <w:lang w:val="es-PE"/>
        </w:rPr>
        <w:t xml:space="preserve"> remitieran las comunicaciones pertinentes; </w:t>
      </w:r>
      <w:r w:rsidRPr="31C57A80" w:rsidR="00B70B6B">
        <w:rPr>
          <w:b w:val="1"/>
          <w:bCs w:val="1"/>
          <w:i w:val="1"/>
          <w:iCs w:val="1"/>
          <w:lang w:val="es-PE"/>
        </w:rPr>
        <w:t>c)</w:t>
      </w:r>
      <w:r w:rsidRPr="31C57A80" w:rsidR="00B70B6B">
        <w:rPr>
          <w:lang w:val="es-PE"/>
        </w:rPr>
        <w:t xml:space="preserve"> que, el 7 de febrero de 2024, el asegurado recibió una comunicación electrónica por parte de </w:t>
      </w:r>
      <w:r w:rsidRPr="31C57A80" w:rsidR="27FECEA0">
        <w:rPr>
          <w:lang w:val="es-PE"/>
        </w:rPr>
        <w:t>................</w:t>
      </w:r>
      <w:r w:rsidRPr="31C57A80" w:rsidR="00B70B6B">
        <w:rPr>
          <w:lang w:val="es-PE"/>
        </w:rPr>
        <w:t xml:space="preserve"> rechazando la cobertura del siniestro, indicando que la Póliza se encontraba suspendida por falta de pago desde el 27 de diciembre de 2023; </w:t>
      </w:r>
      <w:r w:rsidRPr="31C57A80" w:rsidR="00B70B6B">
        <w:rPr>
          <w:b w:val="1"/>
          <w:bCs w:val="1"/>
          <w:i w:val="1"/>
          <w:iCs w:val="1"/>
          <w:lang w:val="es-PE"/>
        </w:rPr>
        <w:t>d)</w:t>
      </w:r>
      <w:r w:rsidRPr="31C57A80" w:rsidR="00B70B6B">
        <w:rPr>
          <w:lang w:val="es-PE"/>
        </w:rPr>
        <w:t xml:space="preserve"> que, </w:t>
      </w:r>
      <w:r w:rsidRPr="31C57A80" w:rsidR="669B114D">
        <w:rPr>
          <w:lang w:val="es-PE"/>
        </w:rPr>
        <w:t>............................................</w:t>
      </w:r>
      <w:r w:rsidRPr="31C57A80" w:rsidR="00B70B6B">
        <w:rPr>
          <w:lang w:val="es-PE"/>
        </w:rPr>
        <w:t xml:space="preserve"> presentó  sus descargos ante la ejecutiva del caso, la cual persistió en el rechazo de cobertura; </w:t>
      </w:r>
      <w:r w:rsidRPr="31C57A80" w:rsidR="00B70B6B">
        <w:rPr>
          <w:b w:val="1"/>
          <w:bCs w:val="1"/>
          <w:i w:val="1"/>
          <w:iCs w:val="1"/>
          <w:lang w:val="es-PE"/>
        </w:rPr>
        <w:t>e)</w:t>
      </w:r>
      <w:r w:rsidRPr="31C57A80" w:rsidR="00B70B6B">
        <w:rPr>
          <w:lang w:val="es-PE"/>
        </w:rPr>
        <w:t xml:space="preserve"> que, </w:t>
      </w:r>
      <w:r w:rsidRPr="31C57A80" w:rsidR="27FECEA0">
        <w:rPr>
          <w:lang w:val="es-PE"/>
        </w:rPr>
        <w:t>................</w:t>
      </w:r>
      <w:r w:rsidRPr="31C57A80" w:rsidR="00B70B6B">
        <w:rPr>
          <w:lang w:val="es-PE"/>
        </w:rPr>
        <w:t xml:space="preserve">, a solicitud de su corredor de seguros, le remitió un aviso automático de cobranza, en el cual se indicaba que se encontraba pendiente de pago el cupón </w:t>
      </w:r>
      <w:r w:rsidRPr="31C57A80" w:rsidR="00B70B6B">
        <w:rPr>
          <w:lang w:val="es-PE"/>
        </w:rPr>
        <w:t>n.°</w:t>
      </w:r>
      <w:r w:rsidRPr="31C57A80" w:rsidR="00B70B6B">
        <w:rPr>
          <w:lang w:val="es-PE"/>
        </w:rPr>
        <w:t xml:space="preserve"> CP-</w:t>
      </w:r>
      <w:r w:rsidRPr="31C57A80" w:rsidR="037EF6D6">
        <w:rPr>
          <w:lang w:val="es-PE"/>
        </w:rPr>
        <w:t>............................</w:t>
      </w:r>
      <w:r w:rsidRPr="31C57A80" w:rsidR="00B70B6B">
        <w:rPr>
          <w:lang w:val="es-PE"/>
        </w:rPr>
        <w:t xml:space="preserve">; </w:t>
      </w:r>
      <w:r w:rsidRPr="31C57A80" w:rsidR="00B70B6B">
        <w:rPr>
          <w:b w:val="1"/>
          <w:bCs w:val="1"/>
          <w:i w:val="1"/>
          <w:iCs w:val="1"/>
          <w:lang w:val="es-PE"/>
        </w:rPr>
        <w:t>f)</w:t>
      </w:r>
      <w:r w:rsidRPr="31C57A80" w:rsidR="00B70B6B">
        <w:rPr>
          <w:lang w:val="es-PE"/>
        </w:rPr>
        <w:t xml:space="preserve"> que, en ningún apartado del aviso se puede apreciar la fecha de envío, aunado a ello, es remitido al correo “</w:t>
      </w:r>
      <w:r w:rsidRPr="31C57A80" w:rsidR="555991E5">
        <w:rPr>
          <w:lang w:val="es-PE"/>
        </w:rPr>
        <w:t>................................................................</w:t>
      </w:r>
      <w:r w:rsidRPr="31C57A80" w:rsidR="00B70B6B">
        <w:rPr>
          <w:lang w:val="es-PE"/>
        </w:rPr>
        <w:t xml:space="preserve">”, dominio que pertenece a su anterior corredor de seguros, Organización Mega Corredores de Seguros SAC (“Mega Corredores”); </w:t>
      </w:r>
      <w:r w:rsidRPr="31C57A80" w:rsidR="00B70B6B">
        <w:rPr>
          <w:b w:val="1"/>
          <w:bCs w:val="1"/>
          <w:i w:val="1"/>
          <w:iCs w:val="1"/>
          <w:lang w:val="es-PE"/>
        </w:rPr>
        <w:t>g)</w:t>
      </w:r>
      <w:r w:rsidRPr="31C57A80" w:rsidR="00B70B6B">
        <w:rPr>
          <w:lang w:val="es-PE"/>
        </w:rPr>
        <w:t xml:space="preserve"> que, desde el 23 de abril de 2023, contaban con el servicio de </w:t>
      </w:r>
      <w:r w:rsidRPr="31C57A80" w:rsidR="46A975CD">
        <w:rPr>
          <w:lang w:val="es-PE"/>
        </w:rPr>
        <w:t>....................................................</w:t>
      </w:r>
      <w:r w:rsidRPr="31C57A80" w:rsidR="00B70B6B">
        <w:rPr>
          <w:lang w:val="es-PE"/>
        </w:rPr>
        <w:t xml:space="preserve">; </w:t>
      </w:r>
      <w:r w:rsidRPr="31C57A80" w:rsidR="00B70B6B">
        <w:rPr>
          <w:b w:val="1"/>
          <w:bCs w:val="1"/>
          <w:i w:val="1"/>
          <w:iCs w:val="1"/>
          <w:lang w:val="es-PE"/>
        </w:rPr>
        <w:t>h)</w:t>
      </w:r>
      <w:r w:rsidRPr="31C57A80" w:rsidR="00B70B6B">
        <w:rPr>
          <w:lang w:val="es-PE"/>
        </w:rPr>
        <w:t xml:space="preserve"> que, de acuerdo al intercambio de correos entre </w:t>
      </w:r>
      <w:r w:rsidRPr="31C57A80" w:rsidR="46A975CD">
        <w:rPr>
          <w:lang w:val="es-PE"/>
        </w:rPr>
        <w:t>....................................................</w:t>
      </w:r>
      <w:r w:rsidRPr="31C57A80" w:rsidR="00B70B6B">
        <w:rPr>
          <w:lang w:val="es-PE"/>
        </w:rPr>
        <w:t xml:space="preserve"> y </w:t>
      </w:r>
      <w:r w:rsidRPr="31C57A80" w:rsidR="27FECEA0">
        <w:rPr>
          <w:lang w:val="es-PE"/>
        </w:rPr>
        <w:t>................</w:t>
      </w:r>
      <w:r w:rsidRPr="31C57A80" w:rsidR="00B70B6B">
        <w:rPr>
          <w:lang w:val="es-PE"/>
        </w:rPr>
        <w:t xml:space="preserve">, anteriores a la fecha del siniestro, la empresa aseguradora tenía conocimiento del cambio de corredor, lo que contraviene al principio de máxima de buena fe que rige al contrato de seguros; </w:t>
      </w:r>
      <w:r w:rsidRPr="31C57A80" w:rsidR="00B70B6B">
        <w:rPr>
          <w:b w:val="1"/>
          <w:bCs w:val="1"/>
          <w:i w:val="1"/>
          <w:iCs w:val="1"/>
          <w:lang w:val="es-PE"/>
        </w:rPr>
        <w:t>i)</w:t>
      </w:r>
      <w:r w:rsidRPr="31C57A80" w:rsidR="00B70B6B">
        <w:rPr>
          <w:lang w:val="es-PE"/>
        </w:rPr>
        <w:t xml:space="preserve"> que, la Ley del contrato de seguro establece en su artículo 24 la regulación de la suspensión de la cobertura por incumplimiento de pago; </w:t>
      </w:r>
      <w:r w:rsidRPr="31C57A80" w:rsidR="00B70B6B">
        <w:rPr>
          <w:b w:val="1"/>
          <w:bCs w:val="1"/>
          <w:i w:val="1"/>
          <w:iCs w:val="1"/>
          <w:lang w:val="es-PE"/>
        </w:rPr>
        <w:t>j)</w:t>
      </w:r>
      <w:r w:rsidRPr="31C57A80" w:rsidR="00B70B6B">
        <w:rPr>
          <w:lang w:val="es-PE"/>
        </w:rPr>
        <w:t xml:space="preserve"> que, la comunicación dirigida a Mega Corredores en relación al aviso de cobranza carece de efectividad al no permitir el pleno, adecuado y oportuno conocimiento por parte de la asegurada, de igual manera, el aviso de cobranza realizado por </w:t>
      </w:r>
      <w:r w:rsidRPr="31C57A80" w:rsidR="27FECEA0">
        <w:rPr>
          <w:lang w:val="es-PE"/>
        </w:rPr>
        <w:t>................</w:t>
      </w:r>
      <w:r w:rsidRPr="31C57A80" w:rsidR="00B70B6B">
        <w:rPr>
          <w:lang w:val="es-PE"/>
        </w:rPr>
        <w:t xml:space="preserve"> carece de fecha cierta; asimismo, el medio empleado por la aseguradora es electrónico, lo cual contraviene la normativa, ya que se debe remitir una conjuntamente una comunicación escrita a la dirección que se encuentra debidamente establecida en la Póliza; </w:t>
      </w:r>
      <w:r w:rsidRPr="31C57A80" w:rsidR="00B70B6B">
        <w:rPr>
          <w:b w:val="1"/>
          <w:bCs w:val="1"/>
          <w:i w:val="1"/>
          <w:iCs w:val="1"/>
          <w:lang w:val="es-PE"/>
        </w:rPr>
        <w:t>k)</w:t>
      </w:r>
      <w:r w:rsidRPr="31C57A80" w:rsidR="00B70B6B">
        <w:rPr>
          <w:lang w:val="es-PE"/>
        </w:rPr>
        <w:t xml:space="preserve"> que, el Reglamento de pago de primas de pólizas de seguro establece en su artículo 8 los requisitos mínimos de la comunicación cierta en caso de incumplimiento de pago, requisitos que no se han cumplido, ya que la comunicación no fue entregada a </w:t>
      </w:r>
      <w:r w:rsidRPr="31C57A80" w:rsidR="669B114D">
        <w:rPr>
          <w:lang w:val="es-PE"/>
        </w:rPr>
        <w:t>............................................</w:t>
      </w:r>
      <w:r w:rsidRPr="31C57A80" w:rsidR="00B70B6B">
        <w:rPr>
          <w:lang w:val="es-PE"/>
        </w:rPr>
        <w:t xml:space="preserve"> ni a su corredor de seguros; </w:t>
      </w:r>
      <w:r w:rsidRPr="31C57A80" w:rsidR="00B70B6B">
        <w:rPr>
          <w:b w:val="1"/>
          <w:bCs w:val="1"/>
          <w:i w:val="1"/>
          <w:iCs w:val="1"/>
          <w:lang w:val="es-PE"/>
        </w:rPr>
        <w:t>l)</w:t>
      </w:r>
      <w:r w:rsidRPr="31C57A80" w:rsidR="00B70B6B">
        <w:rPr>
          <w:lang w:val="es-PE"/>
        </w:rPr>
        <w:t xml:space="preserve"> que, el artículo 25 del </w:t>
      </w:r>
      <w:r w:rsidRPr="31C57A80" w:rsidR="00B70B6B">
        <w:rPr>
          <w:lang w:val="es-PE"/>
        </w:rPr>
        <w:t xml:space="preserve">Reglamento de transparencia de información y contratación de seguros relacionado a las comunicaciones remitidas a los asegurados, establece que las comunicaciones referidas a la póliza intermediada, que corresponda cursar al contratante y asegurado deben remitirse en copia al corredor de seguros que haya sido designado a través de la carta de nombramiento, en el correo electrónico que haya sido indicado para tal efecto; </w:t>
      </w:r>
      <w:r w:rsidRPr="31C57A80" w:rsidR="00B70B6B">
        <w:rPr>
          <w:b w:val="1"/>
          <w:bCs w:val="1"/>
          <w:i w:val="1"/>
          <w:iCs w:val="1"/>
          <w:lang w:val="es-PE"/>
        </w:rPr>
        <w:t>m)</w:t>
      </w:r>
      <w:r w:rsidRPr="31C57A80" w:rsidR="00B70B6B">
        <w:rPr>
          <w:lang w:val="es-PE"/>
        </w:rPr>
        <w:t xml:space="preserve"> que, producto del siniestro la conductora de la unidad tercera falleció en el acto y la ocupante resultó con diversas lesiones corporales; </w:t>
      </w:r>
      <w:r w:rsidRPr="31C57A80" w:rsidR="00B70B6B">
        <w:rPr>
          <w:b w:val="1"/>
          <w:bCs w:val="1"/>
          <w:i w:val="1"/>
          <w:iCs w:val="1"/>
          <w:lang w:val="es-PE"/>
        </w:rPr>
        <w:t xml:space="preserve">n) </w:t>
      </w:r>
      <w:r w:rsidRPr="31C57A80" w:rsidR="00B70B6B">
        <w:rPr>
          <w:lang w:val="es-PE"/>
        </w:rPr>
        <w:t xml:space="preserve">que, </w:t>
      </w:r>
      <w:r w:rsidRPr="31C57A80" w:rsidR="669B114D">
        <w:rPr>
          <w:lang w:val="es-PE"/>
        </w:rPr>
        <w:t>............................................</w:t>
      </w:r>
      <w:r w:rsidRPr="31C57A80" w:rsidR="00B70B6B">
        <w:rPr>
          <w:lang w:val="es-PE"/>
        </w:rPr>
        <w:t xml:space="preserve"> optó por realizar transacciones extrajudiciales con las agraviadas, siendo </w:t>
      </w:r>
      <w:r w:rsidRPr="31C57A80" w:rsidR="00B70B6B">
        <w:rPr>
          <w:lang w:val="es-PE"/>
        </w:rPr>
        <w:t>que</w:t>
      </w:r>
      <w:r w:rsidRPr="31C57A80" w:rsidR="00B70B6B">
        <w:rPr>
          <w:lang w:val="es-PE"/>
        </w:rPr>
        <w:t xml:space="preserve"> por el fallecimiento de la conductora, se acordó un pago de PEN 21 000 (veintiún mil nuevos soles y 00/100) con los herederos beneficiarios, firmándose la transacción el 6 de abril de 2024; </w:t>
      </w:r>
      <w:r w:rsidRPr="31C57A80" w:rsidR="00B70B6B">
        <w:rPr>
          <w:b w:val="1"/>
          <w:bCs w:val="1"/>
          <w:i w:val="1"/>
          <w:iCs w:val="1"/>
          <w:lang w:val="es-PE"/>
        </w:rPr>
        <w:t>ñ)</w:t>
      </w:r>
      <w:r w:rsidRPr="31C57A80" w:rsidR="00B70B6B">
        <w:rPr>
          <w:lang w:val="es-PE"/>
        </w:rPr>
        <w:t xml:space="preserve"> que, con la ocupante, el 22 de abril de 2022, se acordó el pago de la suma de PEN 15,000.00 (quince mil soles y 00/100); y, </w:t>
      </w:r>
      <w:r w:rsidRPr="31C57A80" w:rsidR="00B70B6B">
        <w:rPr>
          <w:b w:val="1"/>
          <w:bCs w:val="1"/>
          <w:i w:val="1"/>
          <w:iCs w:val="1"/>
          <w:lang w:val="es-PE"/>
        </w:rPr>
        <w:t>o)</w:t>
      </w:r>
      <w:r w:rsidRPr="31C57A80" w:rsidR="00B70B6B">
        <w:rPr>
          <w:lang w:val="es-PE"/>
        </w:rPr>
        <w:t xml:space="preserve"> que, </w:t>
      </w:r>
      <w:r w:rsidRPr="31C57A80" w:rsidR="27FECEA0">
        <w:rPr>
          <w:lang w:val="es-PE"/>
        </w:rPr>
        <w:t>................</w:t>
      </w:r>
      <w:r w:rsidRPr="31C57A80" w:rsidR="00B70B6B">
        <w:rPr>
          <w:lang w:val="es-PE"/>
        </w:rPr>
        <w:t xml:space="preserve"> debe cumplir con la devolución de la suma de PEN 36,000 (treinta y seis mil soles y 00/100) derivados de la indemnización por los daños ocasionados a los ocupantes de la unidad tercera.</w:t>
      </w:r>
    </w:p>
    <w:p w:rsidRPr="00B70B6B" w:rsidR="00AE74E3" w:rsidP="00B70B6B" w:rsidRDefault="00AE74E3" w14:paraId="258BA15D" w14:textId="77777777">
      <w:pPr>
        <w:jc w:val="both"/>
        <w:outlineLvl w:val="0"/>
        <w:rPr>
          <w:lang w:val="es-PE"/>
        </w:rPr>
      </w:pPr>
    </w:p>
    <w:p w:rsidR="00B70B6B" w:rsidP="00B70B6B" w:rsidRDefault="00B70B6B" w14:paraId="65704F53" w14:textId="69897B14">
      <w:pPr>
        <w:jc w:val="both"/>
        <w:outlineLvl w:val="0"/>
        <w:rPr>
          <w:lang w:val="es-PE"/>
        </w:rPr>
      </w:pPr>
      <w:r w:rsidRPr="31C57A80" w:rsidR="00B70B6B">
        <w:rPr>
          <w:lang w:val="es-PE"/>
        </w:rPr>
        <w:t xml:space="preserve">Que, con su reclamación, </w:t>
      </w:r>
      <w:r w:rsidRPr="31C57A80" w:rsidR="669B114D">
        <w:rPr>
          <w:lang w:val="es-PE"/>
        </w:rPr>
        <w:t>............................................</w:t>
      </w:r>
      <w:r w:rsidRPr="31C57A80" w:rsidR="00B70B6B">
        <w:rPr>
          <w:lang w:val="es-PE"/>
        </w:rPr>
        <w:t xml:space="preserve"> presentó los siguientes documentos: </w:t>
      </w:r>
      <w:r w:rsidRPr="31C57A80" w:rsidR="00B70B6B">
        <w:rPr>
          <w:b w:val="1"/>
          <w:bCs w:val="1"/>
          <w:i w:val="1"/>
          <w:iCs w:val="1"/>
          <w:lang w:val="es-PE"/>
        </w:rPr>
        <w:t>(i)</w:t>
      </w:r>
      <w:r w:rsidRPr="31C57A80" w:rsidR="00B70B6B">
        <w:rPr>
          <w:lang w:val="es-PE"/>
        </w:rPr>
        <w:t xml:space="preserve"> copia del documento nacional de identidad del representante legal de </w:t>
      </w:r>
      <w:r w:rsidRPr="31C57A80" w:rsidR="669B114D">
        <w:rPr>
          <w:lang w:val="es-PE"/>
        </w:rPr>
        <w:t>............................................</w:t>
      </w:r>
      <w:r w:rsidRPr="31C57A80" w:rsidR="00B70B6B">
        <w:rPr>
          <w:lang w:val="es-PE"/>
        </w:rPr>
        <w:t xml:space="preserve">; </w:t>
      </w:r>
      <w:r w:rsidRPr="31C57A80" w:rsidR="00B70B6B">
        <w:rPr>
          <w:b w:val="1"/>
          <w:bCs w:val="1"/>
          <w:i w:val="1"/>
          <w:iCs w:val="1"/>
          <w:lang w:val="es-PE"/>
        </w:rPr>
        <w:t>(</w:t>
      </w:r>
      <w:r w:rsidRPr="31C57A80" w:rsidR="00B70B6B">
        <w:rPr>
          <w:b w:val="1"/>
          <w:bCs w:val="1"/>
          <w:i w:val="1"/>
          <w:iCs w:val="1"/>
          <w:lang w:val="es-PE"/>
        </w:rPr>
        <w:t>ii</w:t>
      </w:r>
      <w:r w:rsidRPr="31C57A80" w:rsidR="00B70B6B">
        <w:rPr>
          <w:b w:val="1"/>
          <w:bCs w:val="1"/>
          <w:i w:val="1"/>
          <w:iCs w:val="1"/>
          <w:lang w:val="es-PE"/>
        </w:rPr>
        <w:t>)</w:t>
      </w:r>
      <w:r w:rsidRPr="31C57A80" w:rsidR="00B70B6B">
        <w:rPr>
          <w:lang w:val="es-PE"/>
        </w:rPr>
        <w:t xml:space="preserve"> copia de la vigencia de poder de la representante de </w:t>
      </w:r>
      <w:r w:rsidRPr="31C57A80" w:rsidR="669B114D">
        <w:rPr>
          <w:lang w:val="es-PE"/>
        </w:rPr>
        <w:t>............................................</w:t>
      </w:r>
      <w:r w:rsidRPr="31C57A80" w:rsidR="00B70B6B">
        <w:rPr>
          <w:lang w:val="es-PE"/>
        </w:rPr>
        <w:t xml:space="preserve">; </w:t>
      </w:r>
      <w:r w:rsidRPr="31C57A80" w:rsidR="00B70B6B">
        <w:rPr>
          <w:b w:val="1"/>
          <w:bCs w:val="1"/>
          <w:i w:val="1"/>
          <w:iCs w:val="1"/>
          <w:lang w:val="es-PE"/>
        </w:rPr>
        <w:t>(</w:t>
      </w:r>
      <w:r w:rsidRPr="31C57A80" w:rsidR="00B70B6B">
        <w:rPr>
          <w:b w:val="1"/>
          <w:bCs w:val="1"/>
          <w:i w:val="1"/>
          <w:iCs w:val="1"/>
          <w:lang w:val="es-PE"/>
        </w:rPr>
        <w:t>iii</w:t>
      </w:r>
      <w:r w:rsidRPr="31C57A80" w:rsidR="00B70B6B">
        <w:rPr>
          <w:b w:val="1"/>
          <w:bCs w:val="1"/>
          <w:i w:val="1"/>
          <w:iCs w:val="1"/>
          <w:lang w:val="es-PE"/>
        </w:rPr>
        <w:t>)</w:t>
      </w:r>
      <w:r w:rsidRPr="31C57A80" w:rsidR="00B70B6B">
        <w:rPr>
          <w:lang w:val="es-PE"/>
        </w:rPr>
        <w:t xml:space="preserve"> copia de la carta </w:t>
      </w:r>
      <w:r w:rsidRPr="31C57A80" w:rsidR="00B70B6B">
        <w:rPr>
          <w:lang w:val="es-PE"/>
        </w:rPr>
        <w:t>n.°</w:t>
      </w:r>
      <w:r w:rsidRPr="31C57A80" w:rsidR="00B70B6B">
        <w:rPr>
          <w:lang w:val="es-PE"/>
        </w:rPr>
        <w:t xml:space="preserve"> </w:t>
      </w:r>
      <w:r w:rsidRPr="31C57A80" w:rsidR="70416C6C">
        <w:rPr>
          <w:lang w:val="es-PE"/>
        </w:rPr>
        <w:t>................................</w:t>
      </w:r>
      <w:r w:rsidRPr="31C57A80" w:rsidR="00B70B6B">
        <w:rPr>
          <w:lang w:val="es-PE"/>
        </w:rPr>
        <w:t xml:space="preserve"> de fecha 7 de febrero de 2024 a través de la cual </w:t>
      </w:r>
      <w:r w:rsidRPr="31C57A80" w:rsidR="27FECEA0">
        <w:rPr>
          <w:lang w:val="es-PE"/>
        </w:rPr>
        <w:t>................</w:t>
      </w:r>
      <w:r w:rsidRPr="31C57A80" w:rsidR="00B70B6B">
        <w:rPr>
          <w:lang w:val="es-PE"/>
        </w:rPr>
        <w:t xml:space="preserve"> informa al asegurado que está procediendo a rechazar la solicitud de cobertura del seguro para el accidente ocurrido (“Carta de rechazo”); </w:t>
      </w:r>
      <w:r w:rsidRPr="31C57A80" w:rsidR="00B70B6B">
        <w:rPr>
          <w:b w:val="1"/>
          <w:bCs w:val="1"/>
          <w:i w:val="1"/>
          <w:iCs w:val="1"/>
          <w:lang w:val="es-PE"/>
        </w:rPr>
        <w:t>(</w:t>
      </w:r>
      <w:r w:rsidRPr="31C57A80" w:rsidR="00B70B6B">
        <w:rPr>
          <w:b w:val="1"/>
          <w:bCs w:val="1"/>
          <w:i w:val="1"/>
          <w:iCs w:val="1"/>
          <w:lang w:val="es-PE"/>
        </w:rPr>
        <w:t>iv</w:t>
      </w:r>
      <w:r w:rsidRPr="31C57A80" w:rsidR="00B70B6B">
        <w:rPr>
          <w:b w:val="1"/>
          <w:bCs w:val="1"/>
          <w:i w:val="1"/>
          <w:iCs w:val="1"/>
          <w:lang w:val="es-PE"/>
        </w:rPr>
        <w:t>)</w:t>
      </w:r>
      <w:r w:rsidRPr="31C57A80" w:rsidR="00B70B6B">
        <w:rPr>
          <w:lang w:val="es-PE"/>
        </w:rPr>
        <w:t xml:space="preserve"> copia de la carta de nombramiento con </w:t>
      </w:r>
      <w:r w:rsidRPr="31C57A80" w:rsidR="46A975CD">
        <w:rPr>
          <w:lang w:val="es-PE"/>
        </w:rPr>
        <w:t>....................................................</w:t>
      </w:r>
      <w:r w:rsidRPr="31C57A80" w:rsidR="00B70B6B">
        <w:rPr>
          <w:lang w:val="es-PE"/>
        </w:rPr>
        <w:t xml:space="preserve">; </w:t>
      </w:r>
      <w:r w:rsidRPr="31C57A80" w:rsidR="00B70B6B">
        <w:rPr>
          <w:b w:val="1"/>
          <w:bCs w:val="1"/>
          <w:i w:val="1"/>
          <w:iCs w:val="1"/>
          <w:lang w:val="es-PE"/>
        </w:rPr>
        <w:t>(v)</w:t>
      </w:r>
      <w:r w:rsidRPr="31C57A80" w:rsidR="00B70B6B">
        <w:rPr>
          <w:lang w:val="es-PE"/>
        </w:rPr>
        <w:t xml:space="preserve"> transacción extrajudicial entre </w:t>
      </w:r>
      <w:r w:rsidRPr="31C57A80" w:rsidR="669B114D">
        <w:rPr>
          <w:lang w:val="es-PE"/>
        </w:rPr>
        <w:t>............................................</w:t>
      </w:r>
      <w:r w:rsidRPr="31C57A80" w:rsidR="00B70B6B">
        <w:rPr>
          <w:lang w:val="es-PE"/>
        </w:rPr>
        <w:t xml:space="preserve"> con los herederos beneficiarios de la señora </w:t>
      </w:r>
      <w:r w:rsidRPr="31C57A80" w:rsidR="3197FDF2">
        <w:rPr>
          <w:lang w:val="es-PE"/>
        </w:rPr>
        <w:t>...............................................................................</w:t>
      </w:r>
      <w:r w:rsidRPr="31C57A80" w:rsidR="00B70B6B">
        <w:rPr>
          <w:lang w:val="es-PE"/>
        </w:rPr>
        <w:t xml:space="preserve">; y, </w:t>
      </w:r>
      <w:r w:rsidRPr="31C57A80" w:rsidR="00B70B6B">
        <w:rPr>
          <w:b w:val="1"/>
          <w:bCs w:val="1"/>
          <w:i w:val="1"/>
          <w:iCs w:val="1"/>
          <w:lang w:val="es-PE"/>
        </w:rPr>
        <w:t>(vi)</w:t>
      </w:r>
      <w:r w:rsidRPr="31C57A80" w:rsidR="00B70B6B">
        <w:rPr>
          <w:lang w:val="es-PE"/>
        </w:rPr>
        <w:t xml:space="preserve"> copia de la transacción extrajudicial suscrita entre </w:t>
      </w:r>
      <w:r w:rsidRPr="31C57A80" w:rsidR="669B114D">
        <w:rPr>
          <w:lang w:val="es-PE"/>
        </w:rPr>
        <w:t>............................................</w:t>
      </w:r>
      <w:r w:rsidRPr="31C57A80" w:rsidR="00B70B6B">
        <w:rPr>
          <w:lang w:val="es-PE"/>
        </w:rPr>
        <w:t xml:space="preserve"> y </w:t>
      </w:r>
      <w:r w:rsidRPr="31C57A80" w:rsidR="4BA6D193">
        <w:rPr>
          <w:lang w:val="es-PE"/>
        </w:rPr>
        <w:t>...........................................</w:t>
      </w:r>
      <w:r w:rsidRPr="31C57A80" w:rsidR="00B70B6B">
        <w:rPr>
          <w:lang w:val="es-PE"/>
        </w:rPr>
        <w:t>.</w:t>
      </w:r>
    </w:p>
    <w:p w:rsidRPr="00B70B6B" w:rsidR="00AE74E3" w:rsidP="00B70B6B" w:rsidRDefault="00AE74E3" w14:paraId="660F40E5" w14:textId="77777777">
      <w:pPr>
        <w:jc w:val="both"/>
        <w:outlineLvl w:val="0"/>
        <w:rPr>
          <w:lang w:val="es-PE"/>
        </w:rPr>
      </w:pPr>
    </w:p>
    <w:p w:rsidR="00B70B6B" w:rsidP="00B70B6B" w:rsidRDefault="00B70B6B" w14:paraId="20A018F1" w14:textId="4FC0B142">
      <w:pPr>
        <w:jc w:val="both"/>
        <w:outlineLvl w:val="0"/>
        <w:rPr>
          <w:lang w:val="es-PE"/>
        </w:rPr>
      </w:pPr>
      <w:r w:rsidRPr="31C57A80" w:rsidR="00B70B6B">
        <w:rPr>
          <w:lang w:val="es-PE"/>
        </w:rPr>
        <w:t xml:space="preserve">Que, el 15 de abril de 2025, </w:t>
      </w:r>
      <w:r w:rsidRPr="31C57A80" w:rsidR="27FECEA0">
        <w:rPr>
          <w:lang w:val="es-PE"/>
        </w:rPr>
        <w:t>................</w:t>
      </w:r>
      <w:r w:rsidRPr="31C57A80" w:rsidR="00B70B6B">
        <w:rPr>
          <w:lang w:val="es-PE"/>
        </w:rPr>
        <w:t xml:space="preserve"> presentó sus descargos al reclamo presentado solicitando que el mismo sea declarado infundado en todos sus extremos sobre la base de los siguientes argumentos: </w:t>
      </w:r>
      <w:r w:rsidRPr="31C57A80" w:rsidR="00B70B6B">
        <w:rPr>
          <w:b w:val="1"/>
          <w:bCs w:val="1"/>
          <w:i w:val="1"/>
          <w:iCs w:val="1"/>
          <w:lang w:val="es-PE"/>
        </w:rPr>
        <w:t>a)</w:t>
      </w:r>
      <w:r w:rsidRPr="31C57A80" w:rsidR="00B70B6B">
        <w:rPr>
          <w:lang w:val="es-PE"/>
        </w:rPr>
        <w:t xml:space="preserve"> que, no cabe la cobertura del siniestro toda vez que el asegurado no efectuó los pagos correspondientes; en consecuencia, como la póliza se encontraba suspendida al momento del siniestro, no resulta procedente activar la cobertura; </w:t>
      </w:r>
      <w:r w:rsidRPr="31C57A80" w:rsidR="00B70B6B">
        <w:rPr>
          <w:b w:val="1"/>
          <w:bCs w:val="1"/>
          <w:i w:val="1"/>
          <w:iCs w:val="1"/>
          <w:lang w:val="es-PE"/>
        </w:rPr>
        <w:t>b)</w:t>
      </w:r>
      <w:r w:rsidRPr="31C57A80" w:rsidR="00B70B6B">
        <w:rPr>
          <w:lang w:val="es-PE"/>
        </w:rPr>
        <w:t xml:space="preserve"> que, tomando en cuenta que el siniestro ocurrió el 5 de febrero del 2024, y que para esa fecha la póliza se encontraba en periodo de suspensión por falta de pago, resulta claro que dicho evento no se encuentra amparado; </w:t>
      </w:r>
      <w:r w:rsidRPr="31C57A80" w:rsidR="00B70B6B">
        <w:rPr>
          <w:b w:val="1"/>
          <w:bCs w:val="1"/>
          <w:i w:val="1"/>
          <w:iCs w:val="1"/>
          <w:lang w:val="es-PE"/>
        </w:rPr>
        <w:t>c)</w:t>
      </w:r>
      <w:r w:rsidRPr="31C57A80" w:rsidR="00B70B6B">
        <w:rPr>
          <w:lang w:val="es-PE"/>
        </w:rPr>
        <w:t xml:space="preserve"> que, el artículo 7 del Reglamento de pago de primas de pólizas de seguro, señala que la cobertura del seguro se suspende automáticamente si el asegurado no cumple con el pago dentro de los 30 días posteriores al vencimiento, siempre que no se haya acordado un plazo adicional; </w:t>
      </w:r>
      <w:r w:rsidRPr="31C57A80" w:rsidR="00B70B6B">
        <w:rPr>
          <w:b w:val="1"/>
          <w:bCs w:val="1"/>
          <w:i w:val="1"/>
          <w:iCs w:val="1"/>
          <w:lang w:val="es-PE"/>
        </w:rPr>
        <w:t>d)</w:t>
      </w:r>
      <w:r w:rsidRPr="31C57A80" w:rsidR="00B70B6B">
        <w:rPr>
          <w:lang w:val="es-PE"/>
        </w:rPr>
        <w:t xml:space="preserve"> que, en el presente caso, dicho plazo fue ampliamente superado sin que se efectuara el pago correspondiente, motivo por el cual la póliza se encontraba suspendida al momento del siniestro, perdiendo así el asegurado el derecho a cualquier tipo de cobertura; </w:t>
      </w:r>
      <w:r w:rsidRPr="31C57A80" w:rsidR="00B70B6B">
        <w:rPr>
          <w:b w:val="1"/>
          <w:bCs w:val="1"/>
          <w:i w:val="1"/>
          <w:iCs w:val="1"/>
          <w:lang w:val="es-PE"/>
        </w:rPr>
        <w:t>e)</w:t>
      </w:r>
      <w:r w:rsidRPr="31C57A80" w:rsidR="00B70B6B">
        <w:rPr>
          <w:lang w:val="es-PE"/>
        </w:rPr>
        <w:t xml:space="preserve"> que, Ley del contrato de seguro prevé que el incumplimiento de pago da lugar a la suspensión automática de la cobertura transcurridos treinta días desde el vencimiento siempre que no se haya acordado un plazo adicional y establece que la empresa aseguradora no responde por siniestros ocurridos durante el periodo de suspensión; </w:t>
      </w:r>
      <w:r w:rsidRPr="31C57A80" w:rsidR="00B70B6B">
        <w:rPr>
          <w:b w:val="1"/>
          <w:bCs w:val="1"/>
          <w:i w:val="1"/>
          <w:iCs w:val="1"/>
          <w:lang w:val="es-PE"/>
        </w:rPr>
        <w:t>f)</w:t>
      </w:r>
      <w:r w:rsidRPr="31C57A80" w:rsidR="00B70B6B">
        <w:rPr>
          <w:lang w:val="es-PE"/>
        </w:rPr>
        <w:t xml:space="preserve"> que, habiendo transcurrido el plazo sin que se haya realizado el pago correspondiente y con la póliza suspendida al momento del siniestro, no procede activar la cobertura, ya que, conforme al artículo citado, la aseguradora queda exonerada de cualquier tipo de responsabilidad por eventos ocurridos durante el periodo de suspensión; y, </w:t>
      </w:r>
      <w:r w:rsidRPr="31C57A80" w:rsidR="00B70B6B">
        <w:rPr>
          <w:b w:val="1"/>
          <w:bCs w:val="1"/>
          <w:i w:val="1"/>
          <w:iCs w:val="1"/>
          <w:lang w:val="es-PE"/>
        </w:rPr>
        <w:t>g)</w:t>
      </w:r>
      <w:r w:rsidRPr="31C57A80" w:rsidR="00B70B6B">
        <w:rPr>
          <w:lang w:val="es-PE"/>
        </w:rPr>
        <w:t xml:space="preserve"> que, los contratos son obligatorios para las partes en </w:t>
      </w:r>
      <w:r w:rsidRPr="31C57A80" w:rsidR="00B70B6B">
        <w:rPr>
          <w:lang w:val="es-PE"/>
        </w:rPr>
        <w:t xml:space="preserve">cuanto se haya expresado en ellos, según el artículo 1361 del Código Civil, por tanto, no existe justificación alguna para que se aparten de lo convenido, salvo que se pruebe que no existe coincidencia entre lo expresado en el contrato y la voluntad común de los contratantes. </w:t>
      </w:r>
    </w:p>
    <w:p w:rsidRPr="00B70B6B" w:rsidR="00AE74E3" w:rsidP="00B70B6B" w:rsidRDefault="00AE74E3" w14:paraId="4FD02A80" w14:textId="77777777">
      <w:pPr>
        <w:jc w:val="both"/>
        <w:outlineLvl w:val="0"/>
        <w:rPr>
          <w:lang w:val="es-PE"/>
        </w:rPr>
      </w:pPr>
    </w:p>
    <w:p w:rsidR="00B70B6B" w:rsidP="00B70B6B" w:rsidRDefault="00B70B6B" w14:paraId="38E99DB5" w14:textId="1980E1AE">
      <w:pPr>
        <w:jc w:val="both"/>
        <w:outlineLvl w:val="0"/>
        <w:rPr>
          <w:lang w:val="es-PE"/>
        </w:rPr>
      </w:pPr>
      <w:r w:rsidRPr="31C57A80" w:rsidR="00B70B6B">
        <w:rPr>
          <w:lang w:val="es-PE"/>
        </w:rPr>
        <w:t xml:space="preserve">Que, con su escrito de absolución de reclamo, </w:t>
      </w:r>
      <w:r w:rsidRPr="31C57A80" w:rsidR="27FECEA0">
        <w:rPr>
          <w:lang w:val="es-PE"/>
        </w:rPr>
        <w:t>................</w:t>
      </w:r>
      <w:r w:rsidRPr="31C57A80" w:rsidR="00B70B6B">
        <w:rPr>
          <w:lang w:val="es-PE"/>
        </w:rPr>
        <w:t xml:space="preserve"> presentó copia de la Póliza. </w:t>
      </w:r>
    </w:p>
    <w:p w:rsidRPr="00B70B6B" w:rsidR="00AE74E3" w:rsidP="00B70B6B" w:rsidRDefault="00AE74E3" w14:paraId="18E02E48" w14:textId="77777777">
      <w:pPr>
        <w:jc w:val="both"/>
        <w:outlineLvl w:val="0"/>
        <w:rPr>
          <w:lang w:val="es-PE"/>
        </w:rPr>
      </w:pPr>
    </w:p>
    <w:p w:rsidR="00B70B6B" w:rsidP="00B70B6B" w:rsidRDefault="00B70B6B" w14:paraId="7553FF85" w14:textId="7A147540">
      <w:pPr>
        <w:jc w:val="both"/>
        <w:outlineLvl w:val="0"/>
        <w:rPr>
          <w:lang w:val="es-PE"/>
        </w:rPr>
      </w:pPr>
      <w:r w:rsidRPr="31C57A80" w:rsidR="00B70B6B">
        <w:rPr>
          <w:lang w:val="es-PE"/>
        </w:rPr>
        <w:t xml:space="preserve">Que, el 26 de mayo de 2025 se realizó mediante </w:t>
      </w:r>
      <w:bookmarkStart w:name="_Hlk199292738" w:id="1"/>
      <w:r w:rsidRPr="31C57A80" w:rsidR="00B70B6B">
        <w:rPr>
          <w:lang w:val="es-PE"/>
        </w:rPr>
        <w:t>videoconferencia</w:t>
      </w:r>
      <w:bookmarkEnd w:id="1"/>
      <w:r w:rsidRPr="31C57A80" w:rsidR="00B70B6B">
        <w:rPr>
          <w:lang w:val="es-PE"/>
        </w:rPr>
        <w:t xml:space="preserve"> la audiencia de informe oral con la participación de la representante de </w:t>
      </w:r>
      <w:r w:rsidRPr="31C57A80" w:rsidR="669B114D">
        <w:rPr>
          <w:lang w:val="es-PE"/>
        </w:rPr>
        <w:t>............................................</w:t>
      </w:r>
      <w:r w:rsidRPr="31C57A80" w:rsidR="00B70B6B">
        <w:rPr>
          <w:lang w:val="es-PE"/>
        </w:rPr>
        <w:t>,</w:t>
      </w:r>
      <w:r w:rsidRPr="31C57A80" w:rsidR="00B70B6B">
        <w:rPr>
          <w:b w:val="1"/>
          <w:bCs w:val="1"/>
          <w:lang w:val="es-PE"/>
        </w:rPr>
        <w:t xml:space="preserve"> </w:t>
      </w:r>
      <w:r w:rsidRPr="31C57A80" w:rsidR="00B70B6B">
        <w:rPr>
          <w:lang w:val="es-PE"/>
        </w:rPr>
        <w:t xml:space="preserve">sin la asistencia de los representantes de la empresa aseguradora. En la audiencia, se otorgó al reclamante un plazo de cinco (5) días para que acredite el envío a </w:t>
      </w:r>
      <w:r w:rsidRPr="31C57A80" w:rsidR="27FECEA0">
        <w:rPr>
          <w:lang w:val="es-PE"/>
        </w:rPr>
        <w:t>................</w:t>
      </w:r>
      <w:r w:rsidRPr="31C57A80" w:rsidR="00B70B6B">
        <w:rPr>
          <w:lang w:val="es-PE"/>
        </w:rPr>
        <w:t xml:space="preserve"> de la carta de nombramiento en favor de Consorcios JP &amp; Asociados. </w:t>
      </w:r>
    </w:p>
    <w:p w:rsidRPr="00B70B6B" w:rsidR="00AE74E3" w:rsidP="00B70B6B" w:rsidRDefault="00AE74E3" w14:paraId="35ECFA2E" w14:textId="77777777">
      <w:pPr>
        <w:jc w:val="both"/>
        <w:outlineLvl w:val="0"/>
        <w:rPr>
          <w:lang w:val="es-PE"/>
        </w:rPr>
      </w:pPr>
    </w:p>
    <w:p w:rsidR="00B70B6B" w:rsidP="00B70B6B" w:rsidRDefault="00B70B6B" w14:paraId="327E7832" w14:textId="408FCA16">
      <w:pPr>
        <w:jc w:val="both"/>
        <w:outlineLvl w:val="0"/>
        <w:rPr>
          <w:lang w:val="es-PE"/>
        </w:rPr>
      </w:pPr>
      <w:r w:rsidRPr="31C57A80" w:rsidR="00B70B6B">
        <w:rPr>
          <w:lang w:val="es-PE"/>
        </w:rPr>
        <w:t xml:space="preserve">Que, con fecha 28 de mayo de 2025, </w:t>
      </w:r>
      <w:r w:rsidRPr="31C57A80" w:rsidR="669B114D">
        <w:rPr>
          <w:lang w:val="es-PE"/>
        </w:rPr>
        <w:t>............................................</w:t>
      </w:r>
      <w:r w:rsidRPr="31C57A80" w:rsidR="00B70B6B">
        <w:rPr>
          <w:lang w:val="es-PE"/>
        </w:rPr>
        <w:t xml:space="preserve"> cumplió con presentar un escrito en el cual se insertan extractos de las comunicaciones cursadas entre </w:t>
      </w:r>
      <w:r w:rsidRPr="31C57A80" w:rsidR="46A975CD">
        <w:rPr>
          <w:lang w:val="es-PE"/>
        </w:rPr>
        <w:t>....................................................</w:t>
      </w:r>
      <w:r w:rsidRPr="31C57A80" w:rsidR="00B70B6B">
        <w:rPr>
          <w:lang w:val="es-PE"/>
        </w:rPr>
        <w:t xml:space="preserve"> y </w:t>
      </w:r>
      <w:r w:rsidRPr="31C57A80" w:rsidR="27FECEA0">
        <w:rPr>
          <w:lang w:val="es-PE"/>
        </w:rPr>
        <w:t>................</w:t>
      </w:r>
      <w:r w:rsidRPr="31C57A80" w:rsidR="00B70B6B">
        <w:rPr>
          <w:lang w:val="es-PE"/>
        </w:rPr>
        <w:t xml:space="preserve"> respecto de la remisión de la carta de nombramiento extendida por la asegurada. Estos correos habrían sido enviados por la asegurada los días 25 y 26 de abril de 2023, así como el correo de </w:t>
      </w:r>
      <w:r w:rsidRPr="31C57A80" w:rsidR="27FECEA0">
        <w:rPr>
          <w:lang w:val="es-PE"/>
        </w:rPr>
        <w:t>................</w:t>
      </w:r>
      <w:r w:rsidRPr="31C57A80" w:rsidR="00B70B6B">
        <w:rPr>
          <w:lang w:val="es-PE"/>
        </w:rPr>
        <w:t xml:space="preserve"> como respuesta al primero de ellos el día 25 de abril de 2023. </w:t>
      </w:r>
    </w:p>
    <w:p w:rsidRPr="00B70B6B" w:rsidR="00AE74E3" w:rsidP="00B70B6B" w:rsidRDefault="00AE74E3" w14:paraId="2E656CF5" w14:textId="77777777">
      <w:pPr>
        <w:jc w:val="both"/>
        <w:outlineLvl w:val="0"/>
        <w:rPr>
          <w:lang w:val="es-PE"/>
        </w:rPr>
      </w:pPr>
    </w:p>
    <w:p w:rsidR="00B70B6B" w:rsidP="00B70B6B" w:rsidRDefault="00B70B6B" w14:paraId="38D5D8C7" w14:textId="77777777">
      <w:pPr>
        <w:jc w:val="both"/>
        <w:outlineLvl w:val="0"/>
        <w:rPr>
          <w:lang w:val="es-PE"/>
        </w:rPr>
      </w:pPr>
      <w:r w:rsidRPr="00B70B6B">
        <w:rPr>
          <w:lang w:val="es-PE"/>
        </w:rPr>
        <w:t>Al resolver, este Colegiado toma en cuenta las argumentaciones de las partes expresadas a lo largo del procedimiento.</w:t>
      </w:r>
    </w:p>
    <w:p w:rsidRPr="00B70B6B" w:rsidR="00AE74E3" w:rsidP="00B70B6B" w:rsidRDefault="00AE74E3" w14:paraId="5A053417" w14:textId="77777777">
      <w:pPr>
        <w:jc w:val="both"/>
        <w:outlineLvl w:val="0"/>
        <w:rPr>
          <w:lang w:val="es-PE"/>
        </w:rPr>
      </w:pPr>
    </w:p>
    <w:p w:rsidR="00B70B6B" w:rsidP="00B70B6B" w:rsidRDefault="00B70B6B" w14:paraId="7EEA101F" w14:textId="77777777">
      <w:pPr>
        <w:jc w:val="both"/>
        <w:outlineLvl w:val="0"/>
        <w:rPr>
          <w:b/>
          <w:bCs/>
          <w:lang w:val="es-MX"/>
        </w:rPr>
      </w:pPr>
      <w:r w:rsidRPr="00B70B6B">
        <w:rPr>
          <w:b/>
          <w:bCs/>
          <w:lang w:val="es-MX"/>
        </w:rPr>
        <w:t>CONSIDERANDO:</w:t>
      </w:r>
    </w:p>
    <w:p w:rsidRPr="00B70B6B" w:rsidR="00AE74E3" w:rsidP="00B70B6B" w:rsidRDefault="00AE74E3" w14:paraId="3EC91104" w14:textId="77777777">
      <w:pPr>
        <w:jc w:val="both"/>
        <w:outlineLvl w:val="0"/>
        <w:rPr>
          <w:b/>
          <w:bCs/>
          <w:lang w:val="es-MX"/>
        </w:rPr>
      </w:pPr>
    </w:p>
    <w:p w:rsidR="00B70B6B" w:rsidP="00B70B6B" w:rsidRDefault="00B70B6B" w14:paraId="7479808D" w14:textId="77777777">
      <w:pPr>
        <w:jc w:val="both"/>
        <w:outlineLvl w:val="0"/>
        <w:rPr>
          <w:lang w:val="es-PE"/>
        </w:rPr>
      </w:pPr>
      <w:r w:rsidRPr="00B70B6B">
        <w:rPr>
          <w:b/>
          <w:bCs/>
          <w:u w:val="single"/>
          <w:lang w:val="es-PE"/>
        </w:rPr>
        <w:t>PRIMERO</w:t>
      </w:r>
      <w:r w:rsidRPr="00B70B6B">
        <w:rPr>
          <w:lang w:val="es-PE"/>
        </w:rPr>
        <w:t>: Conforme al Reglamento de la DEFASEG (el “Reglamento”)</w:t>
      </w:r>
      <w:r w:rsidRPr="00B70B6B">
        <w:rPr>
          <w:vertAlign w:val="superscript"/>
          <w:lang w:val="en-US"/>
        </w:rPr>
        <w:footnoteReference w:id="1"/>
      </w:r>
      <w:r w:rsidRPr="00B70B6B">
        <w:rPr>
          <w:lang w:val="es-PE"/>
        </w:rPr>
        <w:t>, esta Defensoría sólo es competente para resolver aquellos reclamos de los asegurados, que hubiesen sido sometidos a su conocimiento, siempre y cuando cumplan con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B70B6B" w:rsidR="00AE74E3" w:rsidP="00B70B6B" w:rsidRDefault="00AE74E3" w14:paraId="61C43121" w14:textId="77777777">
      <w:pPr>
        <w:jc w:val="both"/>
        <w:outlineLvl w:val="0"/>
        <w:rPr>
          <w:lang w:val="es-PE"/>
        </w:rPr>
      </w:pPr>
    </w:p>
    <w:p w:rsidR="00B70B6B" w:rsidP="00B70B6B" w:rsidRDefault="00B70B6B" w14:paraId="744594D6" w14:textId="77777777">
      <w:pPr>
        <w:jc w:val="both"/>
        <w:outlineLvl w:val="0"/>
        <w:rPr>
          <w:lang w:val="es-PE"/>
        </w:rPr>
      </w:pPr>
      <w:r w:rsidRPr="00B70B6B">
        <w:rPr>
          <w:b/>
          <w:bCs/>
          <w:u w:val="single"/>
          <w:lang w:val="es-PE"/>
        </w:rPr>
        <w:t>SEGUNDO</w:t>
      </w:r>
      <w:r w:rsidRPr="00B70B6B">
        <w:rPr>
          <w:lang w:val="es-PE"/>
        </w:rPr>
        <w:t xml:space="preserve">: De acuerdo con el Reglamento, las resoluciones emitidas por la sala colegiada de la DEFASEG que queden </w:t>
      </w:r>
      <w:proofErr w:type="gramStart"/>
      <w:r w:rsidRPr="00B70B6B">
        <w:rPr>
          <w:lang w:val="es-PE"/>
        </w:rPr>
        <w:t>firmes,</w:t>
      </w:r>
      <w:proofErr w:type="gramEnd"/>
      <w:r w:rsidRPr="00B70B6B">
        <w:rPr>
          <w:lang w:val="es-PE"/>
        </w:rPr>
        <w:t xml:space="preserve"> son vinculantes para la empresa aseguradora, cuando son favorables para los asegurados, las cuales deberán proceder conforme a lo ordenado en ellas en un plazo máximo de quince días hábiles de notificada la resolución.</w:t>
      </w:r>
    </w:p>
    <w:p w:rsidRPr="00B70B6B" w:rsidR="00AE74E3" w:rsidP="00B70B6B" w:rsidRDefault="00AE74E3" w14:paraId="529142FF" w14:textId="77777777">
      <w:pPr>
        <w:jc w:val="both"/>
        <w:outlineLvl w:val="0"/>
        <w:rPr>
          <w:lang w:val="es-PE"/>
        </w:rPr>
      </w:pPr>
    </w:p>
    <w:p w:rsidRPr="00B70B6B" w:rsidR="00B70B6B" w:rsidP="00B70B6B" w:rsidRDefault="00B70B6B" w14:paraId="2C6BBA13" w14:textId="77777777">
      <w:pPr>
        <w:jc w:val="both"/>
        <w:outlineLvl w:val="0"/>
        <w:rPr>
          <w:lang w:val="es-PE"/>
        </w:rPr>
      </w:pPr>
      <w:r w:rsidRPr="00B70B6B" w:rsidR="00B70B6B">
        <w:rPr>
          <w:b w:val="1"/>
          <w:bCs w:val="1"/>
          <w:u w:val="single"/>
          <w:lang w:val="es-PE"/>
        </w:rPr>
        <w:t>TERCERO</w:t>
      </w:r>
      <w:r w:rsidRPr="00B70B6B" w:rsidR="00B70B6B">
        <w:rPr>
          <w:lang w:val="es-PE"/>
        </w:rPr>
        <w:t>: El artículo 1 de la Ley del contrato de seguro</w:t>
      </w:r>
      <w:r w:rsidRPr="00B70B6B">
        <w:rPr>
          <w:vertAlign w:val="superscript"/>
          <w:lang w:val="es-PE"/>
        </w:rPr>
        <w:footnoteReference w:id="2"/>
      </w:r>
      <w:r w:rsidRPr="00B70B6B" w:rsidR="00B70B6B">
        <w:rPr>
          <w:lang w:val="es-PE"/>
        </w:rPr>
        <w:t xml:space="preserve"> señala que el contrato de seguro es aquel acuerdo por el que una empresa aseguradora se obliga, por el cobro de una </w:t>
      </w:r>
      <w:r w:rsidRPr="00B70B6B" w:rsidR="00B70B6B">
        <w:rPr>
          <w:lang w:val="es-PE"/>
        </w:rPr>
        <w:t>prima, a indemnizar el daño producido al asegurado, a satisfacer un capital, una renta u otras prestaciones convenidas, en caso se produzca un evento cuyo riesgo sea objeto de cobertura, dentro de los términos establecidos en la póliza, la cual deberá ser entregada al asegurado al momento de la contratación y cuyos requisitos están previstos en el artículo 26 de la ley señalada.</w:t>
      </w:r>
    </w:p>
    <w:p w:rsidR="31C57A80" w:rsidP="31C57A80" w:rsidRDefault="31C57A80" w14:paraId="19B10B9D" w14:textId="2A1246E2">
      <w:pPr>
        <w:jc w:val="both"/>
        <w:outlineLvl w:val="0"/>
        <w:rPr>
          <w:lang w:val="es-PE"/>
        </w:rPr>
      </w:pPr>
    </w:p>
    <w:p w:rsidR="00B70B6B" w:rsidP="00B70B6B" w:rsidRDefault="00B70B6B" w14:paraId="3BCE26C5" w14:textId="77777777">
      <w:pPr>
        <w:jc w:val="both"/>
        <w:outlineLvl w:val="0"/>
        <w:rPr>
          <w:lang w:val="es-PE"/>
        </w:rPr>
      </w:pPr>
      <w:r w:rsidRPr="00B70B6B">
        <w:rPr>
          <w:b/>
          <w:bCs/>
          <w:u w:val="single"/>
          <w:lang w:val="es-PE"/>
        </w:rPr>
        <w:t>CUARTO</w:t>
      </w:r>
      <w:r w:rsidRPr="00B70B6B">
        <w:rPr>
          <w:lang w:val="es-PE"/>
        </w:rPr>
        <w:t>: Que, el artículo 1361 del Código Civil</w:t>
      </w:r>
      <w:r w:rsidRPr="00B70B6B">
        <w:rPr>
          <w:vertAlign w:val="superscript"/>
          <w:lang w:val="es-PE"/>
        </w:rPr>
        <w:footnoteReference w:id="3"/>
      </w:r>
      <w:r w:rsidRPr="00B70B6B">
        <w:rPr>
          <w:lang w:val="es-PE"/>
        </w:rPr>
        <w:t xml:space="preserve"> establece que los contratos son obligatorios en cuanto se encuentre expresado en ellos, presumiéndose que lo declarado en los contratos corresponde a la voluntad de las partes, de manera que la parte que sostenga lo contrario deberá probarlo.</w:t>
      </w:r>
    </w:p>
    <w:p w:rsidRPr="00B70B6B" w:rsidR="00AE74E3" w:rsidP="00B70B6B" w:rsidRDefault="00AE74E3" w14:paraId="4A2DBA09" w14:textId="77777777">
      <w:pPr>
        <w:jc w:val="both"/>
        <w:outlineLvl w:val="0"/>
        <w:rPr>
          <w:lang w:val="es-PE"/>
        </w:rPr>
      </w:pPr>
    </w:p>
    <w:p w:rsidR="00B70B6B" w:rsidP="00B70B6B" w:rsidRDefault="00B70B6B" w14:paraId="6EB2326C" w14:textId="77777777">
      <w:pPr>
        <w:jc w:val="both"/>
        <w:outlineLvl w:val="0"/>
        <w:rPr>
          <w:lang w:val="es-PE"/>
        </w:rPr>
      </w:pPr>
      <w:r w:rsidRPr="00B70B6B">
        <w:rPr>
          <w:b/>
          <w:bCs/>
          <w:u w:val="single"/>
          <w:lang w:val="es-PE"/>
        </w:rPr>
        <w:t>QUINTO</w:t>
      </w:r>
      <w:r w:rsidRPr="00B70B6B">
        <w:rPr>
          <w:lang w:val="es-PE"/>
        </w:rPr>
        <w:t>: Que, en materia procesal, corresponde a quien invoque los hechos probar de su existencia; carga a la que se refiere el artículo 196 del Código Procesal Civil</w:t>
      </w:r>
      <w:r w:rsidRPr="00B70B6B">
        <w:rPr>
          <w:vertAlign w:val="superscript"/>
          <w:lang w:val="es-PE"/>
        </w:rPr>
        <w:footnoteReference w:id="4"/>
      </w:r>
      <w:r w:rsidRPr="00B70B6B">
        <w:rPr>
          <w:lang w:val="es-PE"/>
        </w:rPr>
        <w:t>, salvo que se acoja a alguna presunción legal de carácter relativa o absoluta contemplada expresamente en la legislación pertinente.</w:t>
      </w:r>
    </w:p>
    <w:p w:rsidRPr="00B70B6B" w:rsidR="00AE74E3" w:rsidP="00B70B6B" w:rsidRDefault="00AE74E3" w14:paraId="733A9647" w14:textId="77777777">
      <w:pPr>
        <w:jc w:val="both"/>
        <w:outlineLvl w:val="0"/>
        <w:rPr>
          <w:lang w:val="es-PE"/>
        </w:rPr>
      </w:pPr>
    </w:p>
    <w:p w:rsidR="00B70B6B" w:rsidP="00B70B6B" w:rsidRDefault="00B70B6B" w14:paraId="454557CA" w14:textId="77777777">
      <w:pPr>
        <w:jc w:val="both"/>
        <w:outlineLvl w:val="0"/>
        <w:rPr>
          <w:lang w:val="es-PE"/>
        </w:rPr>
      </w:pPr>
      <w:r w:rsidRPr="00B70B6B">
        <w:rPr>
          <w:b/>
          <w:bCs/>
          <w:u w:val="single"/>
          <w:lang w:val="es-PE"/>
        </w:rPr>
        <w:t>SEXTO</w:t>
      </w:r>
      <w:r w:rsidRPr="00B70B6B">
        <w:rPr>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B70B6B" w:rsidR="00AE74E3" w:rsidP="00B70B6B" w:rsidRDefault="00AE74E3" w14:paraId="1DCBB09E" w14:textId="77777777">
      <w:pPr>
        <w:jc w:val="both"/>
        <w:outlineLvl w:val="0"/>
        <w:rPr>
          <w:lang w:val="es-PE"/>
        </w:rPr>
      </w:pPr>
    </w:p>
    <w:p w:rsidRPr="00B70B6B" w:rsidR="00B70B6B" w:rsidP="00B70B6B" w:rsidRDefault="00B70B6B" w14:paraId="1045B248" w14:textId="77777777">
      <w:pPr>
        <w:jc w:val="both"/>
        <w:outlineLvl w:val="0"/>
        <w:rPr>
          <w:lang w:val="es-PE"/>
        </w:rPr>
      </w:pPr>
      <w:bookmarkStart w:name="_Hlk200061658" w:id="2"/>
      <w:r w:rsidRPr="00B70B6B" w:rsidR="00B70B6B">
        <w:rPr>
          <w:b w:val="1"/>
          <w:bCs w:val="1"/>
          <w:u w:val="single"/>
          <w:lang w:val="es-PE"/>
        </w:rPr>
        <w:t>SÉPTIMO</w:t>
      </w:r>
      <w:r w:rsidRPr="00B70B6B" w:rsidR="00B70B6B">
        <w:rPr>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concurrente: </w:t>
      </w:r>
      <w:r w:rsidRPr="31C57A80" w:rsidR="00B70B6B">
        <w:rPr>
          <w:b w:val="1"/>
          <w:bCs w:val="1"/>
          <w:i w:val="1"/>
          <w:iCs w:val="1"/>
          <w:lang w:val="es-PE"/>
        </w:rPr>
        <w:t>(i)</w:t>
      </w:r>
      <w:r w:rsidRPr="00B70B6B" w:rsidR="00B70B6B">
        <w:rPr>
          <w:lang w:val="es-PE"/>
        </w:rPr>
        <w:t xml:space="preserve"> se trate de un rechazo o liquidación de un siniestro por parte de una empresa de seguros; </w:t>
      </w:r>
      <w:r w:rsidRPr="31C57A80" w:rsidR="00B70B6B">
        <w:rPr>
          <w:b w:val="1"/>
          <w:bCs w:val="1"/>
          <w:i w:val="1"/>
          <w:iCs w:val="1"/>
          <w:lang w:val="es-PE"/>
        </w:rPr>
        <w:t>(</w:t>
      </w:r>
      <w:r w:rsidRPr="31C57A80" w:rsidR="00B70B6B">
        <w:rPr>
          <w:b w:val="1"/>
          <w:bCs w:val="1"/>
          <w:i w:val="1"/>
          <w:iCs w:val="1"/>
          <w:lang w:val="es-PE"/>
        </w:rPr>
        <w:t>ii</w:t>
      </w:r>
      <w:r w:rsidRPr="31C57A80" w:rsidR="00B70B6B">
        <w:rPr>
          <w:b w:val="1"/>
          <w:bCs w:val="1"/>
          <w:i w:val="1"/>
          <w:iCs w:val="1"/>
          <w:lang w:val="es-PE"/>
        </w:rPr>
        <w:t>)</w:t>
      </w:r>
      <w:r w:rsidRPr="00B70B6B" w:rsidR="00B70B6B">
        <w:rPr>
          <w:lang w:val="es-PE"/>
        </w:rPr>
        <w:t xml:space="preserve"> el reclamo se presente dentro del plazo de dos años desde el día siguiente de recibida la primera notificación en que es rechazada la pretensión de cobertura por parte de la empresa de seguros; y, </w:t>
      </w:r>
      <w:r w:rsidRPr="31C57A80" w:rsidR="00B70B6B">
        <w:rPr>
          <w:b w:val="1"/>
          <w:bCs w:val="1"/>
          <w:i w:val="1"/>
          <w:iCs w:val="1"/>
          <w:lang w:val="es-PE"/>
        </w:rPr>
        <w:t>(</w:t>
      </w:r>
      <w:r w:rsidRPr="31C57A80" w:rsidR="00B70B6B">
        <w:rPr>
          <w:b w:val="1"/>
          <w:bCs w:val="1"/>
          <w:i w:val="1"/>
          <w:iCs w:val="1"/>
          <w:lang w:val="es-PE"/>
        </w:rPr>
        <w:t>iii</w:t>
      </w:r>
      <w:r w:rsidRPr="31C57A80" w:rsidR="00B70B6B">
        <w:rPr>
          <w:b w:val="1"/>
          <w:bCs w:val="1"/>
          <w:i w:val="1"/>
          <w:iCs w:val="1"/>
          <w:lang w:val="es-PE"/>
        </w:rPr>
        <w:t>)</w:t>
      </w:r>
      <w:r w:rsidRPr="00B70B6B" w:rsidR="00B70B6B">
        <w:rPr>
          <w:lang w:val="es-PE"/>
        </w:rPr>
        <w:t xml:space="preserve"> el total de la indemnización exigida por el asegurado a la empresa de seguros no debe exceder los USD 50 000 (cincuenta mil dólares americanos y 00/100)</w:t>
      </w:r>
      <w:r w:rsidRPr="00B70B6B">
        <w:rPr>
          <w:vertAlign w:val="superscript"/>
          <w:lang w:val="es-PE"/>
        </w:rPr>
        <w:footnoteReference w:id="5"/>
      </w:r>
      <w:r w:rsidRPr="00B70B6B" w:rsidR="00B70B6B">
        <w:rPr>
          <w:lang w:val="es-PE"/>
        </w:rPr>
        <w:t xml:space="preserve">.  </w:t>
      </w:r>
    </w:p>
    <w:p w:rsidR="31C57A80" w:rsidP="31C57A80" w:rsidRDefault="31C57A80" w14:paraId="260ABECB" w14:textId="167C3407">
      <w:pPr>
        <w:jc w:val="both"/>
        <w:outlineLvl w:val="0"/>
        <w:rPr>
          <w:lang w:val="es-PE"/>
        </w:rPr>
      </w:pPr>
    </w:p>
    <w:p w:rsidR="00B70B6B" w:rsidP="00B70B6B" w:rsidRDefault="00B70B6B" w14:paraId="5CD53C16" w14:textId="77777777">
      <w:pPr>
        <w:jc w:val="both"/>
        <w:outlineLvl w:val="0"/>
        <w:rPr>
          <w:lang w:val="es-PE"/>
        </w:rPr>
      </w:pPr>
      <w:r w:rsidRPr="00B70B6B">
        <w:rPr>
          <w:b/>
          <w:bCs/>
          <w:u w:val="single"/>
          <w:lang w:val="es-PE"/>
        </w:rPr>
        <w:t>OCTAVO:</w:t>
      </w:r>
      <w:r w:rsidRPr="00B70B6B">
        <w:rPr>
          <w:lang w:val="es-PE"/>
        </w:rPr>
        <w:t xml:space="preserve"> </w:t>
      </w:r>
      <w:bookmarkStart w:name="_Hlk201848331" w:id="3"/>
      <w:r w:rsidRPr="00B70B6B">
        <w:rPr>
          <w:lang w:val="es-PE"/>
        </w:rPr>
        <w:t xml:space="preserve">Sobre la base de los términos contenidos en la reclamación y en la absolución de </w:t>
      </w:r>
      <w:proofErr w:type="gramStart"/>
      <w:r w:rsidRPr="00B70B6B">
        <w:rPr>
          <w:lang w:val="es-PE"/>
        </w:rPr>
        <w:t>la misma</w:t>
      </w:r>
      <w:proofErr w:type="gramEnd"/>
      <w:r w:rsidRPr="00B70B6B">
        <w:rPr>
          <w:lang w:val="es-PE"/>
        </w:rPr>
        <w:t xml:space="preserve">, y a lo desarrollado en la audiencia de vista, la cuestión controvertida radica en determinar la legitimidad del rechazo de cobertura sustentado en la falta de pago de la Prima. </w:t>
      </w:r>
    </w:p>
    <w:p w:rsidRPr="00B70B6B" w:rsidR="00AE74E3" w:rsidP="00B70B6B" w:rsidRDefault="00AE74E3" w14:paraId="4781F65F" w14:textId="77777777">
      <w:pPr>
        <w:jc w:val="both"/>
        <w:outlineLvl w:val="0"/>
        <w:rPr>
          <w:lang w:val="es-PE"/>
        </w:rPr>
      </w:pPr>
    </w:p>
    <w:p w:rsidR="00B70B6B" w:rsidP="00B70B6B" w:rsidRDefault="00B70B6B" w14:paraId="7B6F0037" w14:textId="77777777">
      <w:pPr>
        <w:jc w:val="both"/>
        <w:outlineLvl w:val="0"/>
        <w:rPr>
          <w:lang w:val="es-PE"/>
        </w:rPr>
      </w:pPr>
      <w:r w:rsidRPr="00B70B6B">
        <w:rPr>
          <w:lang w:val="es-PE"/>
        </w:rPr>
        <w:t xml:space="preserve">La empresa aseguradora rechaza la cobertura debido a que, a la fecha del siniestro las primas se encontraban impagas. </w:t>
      </w:r>
    </w:p>
    <w:p w:rsidRPr="00B70B6B" w:rsidR="00AE74E3" w:rsidP="00B70B6B" w:rsidRDefault="00AE74E3" w14:paraId="3C331AE0" w14:textId="77777777">
      <w:pPr>
        <w:jc w:val="both"/>
        <w:outlineLvl w:val="0"/>
        <w:rPr>
          <w:lang w:val="es-PE"/>
        </w:rPr>
      </w:pPr>
    </w:p>
    <w:p w:rsidR="00B70B6B" w:rsidP="00B70B6B" w:rsidRDefault="00B70B6B" w14:paraId="6C683138" w14:textId="755E24A8">
      <w:pPr>
        <w:jc w:val="both"/>
        <w:outlineLvl w:val="0"/>
        <w:rPr>
          <w:lang w:val="es-PE"/>
        </w:rPr>
      </w:pPr>
      <w:r w:rsidRPr="31C57A80" w:rsidR="00B70B6B">
        <w:rPr>
          <w:lang w:val="es-PE"/>
        </w:rPr>
        <w:t xml:space="preserve">Por su parte, </w:t>
      </w:r>
      <w:r w:rsidRPr="31C57A80" w:rsidR="669B114D">
        <w:rPr>
          <w:lang w:val="es-PE"/>
        </w:rPr>
        <w:t>............................................</w:t>
      </w:r>
      <w:r w:rsidRPr="31C57A80" w:rsidR="00B70B6B">
        <w:rPr>
          <w:lang w:val="es-PE"/>
        </w:rPr>
        <w:t xml:space="preserve"> señala que la comunicación de suspensión no es válida porque no fue debidamente notificada, y, por lo tanto, la suspensión a que se refiere el artículo 21 de la Ley del Contrato de Seguro.</w:t>
      </w:r>
    </w:p>
    <w:p w:rsidRPr="00B70B6B" w:rsidR="00AE74E3" w:rsidP="00B70B6B" w:rsidRDefault="00AE74E3" w14:paraId="538637E8" w14:textId="77777777">
      <w:pPr>
        <w:jc w:val="both"/>
        <w:outlineLvl w:val="0"/>
        <w:rPr>
          <w:lang w:val="es-PE"/>
        </w:rPr>
      </w:pPr>
    </w:p>
    <w:bookmarkEnd w:id="3"/>
    <w:p w:rsidR="00B70B6B" w:rsidP="00B70B6B" w:rsidRDefault="00B70B6B" w14:paraId="74351944" w14:textId="77777777">
      <w:pPr>
        <w:jc w:val="both"/>
        <w:outlineLvl w:val="0"/>
        <w:rPr>
          <w:lang w:val="es-PE"/>
        </w:rPr>
      </w:pPr>
      <w:r w:rsidRPr="00B70B6B">
        <w:rPr>
          <w:b/>
          <w:bCs/>
          <w:u w:val="single"/>
          <w:lang w:val="es-PE"/>
        </w:rPr>
        <w:t>NOVENO</w:t>
      </w:r>
      <w:r w:rsidRPr="00B70B6B">
        <w:rPr>
          <w:lang w:val="es-PE"/>
        </w:rPr>
        <w:t xml:space="preserve">: Que, tomando en cuenta lo señalado en el numeral anterior, nos encontramos dentro de los supuestos de competencia por materia establecido en el numeral 1 del artículo 4 del Reglamento.  </w:t>
      </w:r>
    </w:p>
    <w:p w:rsidRPr="00B70B6B" w:rsidR="00AE74E3" w:rsidP="00B70B6B" w:rsidRDefault="00AE74E3" w14:paraId="772E35E9" w14:textId="77777777">
      <w:pPr>
        <w:jc w:val="both"/>
        <w:outlineLvl w:val="0"/>
        <w:rPr>
          <w:lang w:val="es-PE"/>
        </w:rPr>
      </w:pPr>
    </w:p>
    <w:p w:rsidRPr="00B70B6B" w:rsidR="00B70B6B" w:rsidP="00B70B6B" w:rsidRDefault="00B70B6B" w14:paraId="34174382" w14:textId="5682FE10">
      <w:pPr>
        <w:jc w:val="both"/>
        <w:outlineLvl w:val="0"/>
        <w:rPr>
          <w:lang w:val="es-PE"/>
        </w:rPr>
      </w:pPr>
      <w:r w:rsidRPr="31C57A80" w:rsidR="00B70B6B">
        <w:rPr>
          <w:b w:val="1"/>
          <w:bCs w:val="1"/>
          <w:u w:val="single"/>
          <w:lang w:val="es-PE"/>
        </w:rPr>
        <w:t>DÉCIMO:</w:t>
      </w:r>
      <w:r w:rsidRPr="31C57A80" w:rsidR="00B70B6B">
        <w:rPr>
          <w:lang w:val="es-PE"/>
        </w:rPr>
        <w:t xml:space="preserve"> El reclamo fue presentado por </w:t>
      </w:r>
      <w:r w:rsidRPr="31C57A80" w:rsidR="669B114D">
        <w:rPr>
          <w:lang w:val="es-PE"/>
        </w:rPr>
        <w:t>............................................</w:t>
      </w:r>
      <w:r w:rsidRPr="31C57A80" w:rsidR="00B70B6B">
        <w:rPr>
          <w:lang w:val="es-PE"/>
        </w:rPr>
        <w:t xml:space="preserve"> </w:t>
      </w:r>
      <w:r w:rsidRPr="31C57A80" w:rsidR="00B70B6B">
        <w:rPr>
          <w:lang w:val="es-PE"/>
        </w:rPr>
        <w:t>el 17 de febrero de 2025, por lo tanto, nos encontramos dentro del plazo perentorio para su presentación contemplado en el Reglamento.</w:t>
      </w:r>
      <w:r w:rsidRPr="31C57A80" w:rsidR="00B70B6B">
        <w:rPr>
          <w:lang w:val="es-PE"/>
        </w:rPr>
        <w:t xml:space="preserve"> </w:t>
      </w:r>
    </w:p>
    <w:p w:rsidR="31C57A80" w:rsidP="31C57A80" w:rsidRDefault="31C57A80" w14:paraId="3E74530B" w14:textId="1DF4BC35">
      <w:pPr>
        <w:jc w:val="both"/>
        <w:outlineLvl w:val="0"/>
        <w:rPr>
          <w:lang w:val="es-PE"/>
        </w:rPr>
      </w:pPr>
    </w:p>
    <w:p w:rsidR="00B70B6B" w:rsidP="00B70B6B" w:rsidRDefault="00B70B6B" w14:paraId="7B85AB2A" w14:textId="77777777">
      <w:pPr>
        <w:jc w:val="both"/>
        <w:outlineLvl w:val="0"/>
        <w:rPr>
          <w:lang w:val="es-PE"/>
        </w:rPr>
      </w:pPr>
      <w:r w:rsidRPr="00B70B6B">
        <w:rPr>
          <w:b/>
          <w:bCs/>
          <w:u w:val="single"/>
          <w:lang w:val="es-PE"/>
        </w:rPr>
        <w:t>UNDÉCIMO:</w:t>
      </w:r>
      <w:r w:rsidRPr="00B70B6B">
        <w:rPr>
          <w:lang w:val="es-PE"/>
        </w:rPr>
        <w:t xml:space="preserve"> La cifra del reclamo ha sido calculada por la asegurada al momento de presentar su reclamo en la cifra de PEN 36 000 (treinta y seis mil soles y 00/100), en dicho sentido, el reclamo se encuentra dentro de los límites por cuantía de la competencia de la Defensoría establecida por el Reglamento.</w:t>
      </w:r>
    </w:p>
    <w:p w:rsidRPr="00B70B6B" w:rsidR="00B70B6B" w:rsidP="00B70B6B" w:rsidRDefault="00B70B6B" w14:paraId="3E2BF6BF" w14:textId="77777777">
      <w:pPr>
        <w:jc w:val="both"/>
        <w:outlineLvl w:val="0"/>
        <w:rPr>
          <w:lang w:val="es-PE"/>
        </w:rPr>
      </w:pPr>
    </w:p>
    <w:p w:rsidRPr="00B70B6B" w:rsidR="00B70B6B" w:rsidP="00B70B6B" w:rsidRDefault="00B70B6B" w14:paraId="52045B66" w14:textId="3FEDF782">
      <w:pPr>
        <w:jc w:val="both"/>
        <w:outlineLvl w:val="0"/>
        <w:rPr>
          <w:lang w:val="es-PE"/>
        </w:rPr>
      </w:pPr>
      <w:r w:rsidRPr="31C57A80" w:rsidR="00B70B6B">
        <w:rPr>
          <w:b w:val="1"/>
          <w:bCs w:val="1"/>
          <w:u w:val="single"/>
          <w:lang w:val="es-PE"/>
        </w:rPr>
        <w:t>DUODÉCIMO:</w:t>
      </w:r>
      <w:r w:rsidRPr="31C57A80" w:rsidR="00B70B6B">
        <w:rPr>
          <w:lang w:val="es-PE"/>
        </w:rPr>
        <w:t xml:space="preserve"> Que corresponde en este extremo determinar si la negativa de </w:t>
      </w:r>
      <w:r w:rsidRPr="31C57A80" w:rsidR="27FECEA0">
        <w:rPr>
          <w:lang w:val="es-PE"/>
        </w:rPr>
        <w:t>................</w:t>
      </w:r>
      <w:r w:rsidRPr="31C57A80" w:rsidR="00B70B6B">
        <w:rPr>
          <w:lang w:val="es-PE"/>
        </w:rPr>
        <w:t xml:space="preserve"> a otorgar cobertura al siniestro se encuentra justificada. </w:t>
      </w:r>
    </w:p>
    <w:p w:rsidR="00B70B6B" w:rsidP="00B70B6B" w:rsidRDefault="00B70B6B" w14:paraId="0C333CB0" w14:textId="77777777">
      <w:pPr>
        <w:jc w:val="both"/>
        <w:outlineLvl w:val="0"/>
        <w:rPr>
          <w:lang w:val="es-PE"/>
        </w:rPr>
      </w:pPr>
      <w:proofErr w:type="gramStart"/>
      <w:r w:rsidRPr="00B70B6B">
        <w:rPr>
          <w:lang w:val="es-PE"/>
        </w:rPr>
        <w:t>Que</w:t>
      </w:r>
      <w:proofErr w:type="gramEnd"/>
      <w:r w:rsidRPr="00B70B6B">
        <w:rPr>
          <w:lang w:val="es-PE"/>
        </w:rPr>
        <w:t xml:space="preserve"> sobre la suspensión de la cobertura por falta de pago, el artículo 21 de la Ley del contrato de seguro señala lo siguiente: </w:t>
      </w:r>
    </w:p>
    <w:p w:rsidRPr="00B70B6B" w:rsidR="00B70B6B" w:rsidP="00B70B6B" w:rsidRDefault="00B70B6B" w14:paraId="36749B81" w14:textId="77777777">
      <w:pPr>
        <w:jc w:val="both"/>
        <w:outlineLvl w:val="0"/>
        <w:rPr>
          <w:lang w:val="es-PE"/>
        </w:rPr>
      </w:pPr>
    </w:p>
    <w:bookmarkEnd w:id="2"/>
    <w:p w:rsidRPr="00B70B6B" w:rsidR="00B70B6B" w:rsidP="00AE74E3" w:rsidRDefault="00B70B6B" w14:paraId="24ABDD3E" w14:textId="77777777">
      <w:pPr>
        <w:ind w:left="1440"/>
        <w:jc w:val="both"/>
        <w:outlineLvl w:val="0"/>
        <w:rPr>
          <w:b/>
          <w:bCs/>
          <w:i/>
          <w:iCs/>
          <w:lang w:val="es-PE"/>
        </w:rPr>
      </w:pPr>
      <w:r w:rsidRPr="00B70B6B">
        <w:rPr>
          <w:b/>
          <w:bCs/>
          <w:i/>
          <w:iCs/>
          <w:lang w:val="es-PE"/>
        </w:rPr>
        <w:t>«Artículo 21.- Suspensión de la cobertura por incumplimiento de pago</w:t>
      </w:r>
    </w:p>
    <w:p w:rsidR="00B70B6B" w:rsidP="00AE74E3" w:rsidRDefault="00B70B6B" w14:paraId="70535AED" w14:textId="77777777">
      <w:pPr>
        <w:ind w:left="1440"/>
        <w:jc w:val="both"/>
        <w:outlineLvl w:val="0"/>
        <w:rPr>
          <w:i/>
          <w:iCs/>
          <w:lang w:val="es-PE"/>
        </w:rPr>
      </w:pPr>
      <w:r w:rsidRPr="00B70B6B">
        <w:rPr>
          <w:i/>
          <w:iCs/>
          <w:lang w:val="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B70B6B" w:rsidR="00B70B6B" w:rsidP="00AE74E3" w:rsidRDefault="00B70B6B" w14:paraId="61C681EE" w14:textId="77777777">
      <w:pPr>
        <w:ind w:left="1440"/>
        <w:jc w:val="both"/>
        <w:outlineLvl w:val="0"/>
        <w:rPr>
          <w:i/>
          <w:iCs/>
          <w:lang w:val="es-PE"/>
        </w:rPr>
      </w:pPr>
    </w:p>
    <w:p w:rsidR="00B70B6B" w:rsidP="00AE74E3" w:rsidRDefault="00B70B6B" w14:paraId="48D43A45" w14:textId="77777777">
      <w:pPr>
        <w:ind w:left="1440"/>
        <w:jc w:val="both"/>
        <w:outlineLvl w:val="0"/>
        <w:rPr>
          <w:i/>
          <w:iCs/>
          <w:lang w:val="es-PE"/>
        </w:rPr>
      </w:pPr>
      <w:r w:rsidRPr="00B70B6B">
        <w:rPr>
          <w:i/>
          <w:iCs/>
          <w:lang w:val="es-PE"/>
        </w:rPr>
        <w:t>La suspensión de cobertura no es aplicable en los casos en que el contratante ha pagado, proporcionalmente, una prima igual o mayor al período corrido del contrato.</w:t>
      </w:r>
    </w:p>
    <w:p w:rsidRPr="00B70B6B" w:rsidR="00B70B6B" w:rsidP="00AE74E3" w:rsidRDefault="00B70B6B" w14:paraId="41292FFB" w14:textId="77777777">
      <w:pPr>
        <w:ind w:left="1440"/>
        <w:jc w:val="both"/>
        <w:outlineLvl w:val="0"/>
        <w:rPr>
          <w:i/>
          <w:iCs/>
          <w:lang w:val="es-PE"/>
        </w:rPr>
      </w:pPr>
    </w:p>
    <w:p w:rsidR="00B70B6B" w:rsidP="00AE74E3" w:rsidRDefault="00B70B6B" w14:paraId="10CC52CB" w14:textId="77777777">
      <w:pPr>
        <w:ind w:left="1440"/>
        <w:jc w:val="both"/>
        <w:outlineLvl w:val="0"/>
        <w:rPr>
          <w:i/>
          <w:iCs/>
          <w:lang w:val="es-PE"/>
        </w:rPr>
      </w:pPr>
      <w:r w:rsidRPr="00B70B6B">
        <w:rPr>
          <w:i/>
          <w:iCs/>
          <w:lang w:val="es-PE"/>
        </w:rPr>
        <w:t>Si el asegurador no reclama el pago de la prima dentro de los noventa (90) días siguientes al vencimiento del plazo, se entiende que el contrato queda extinguido.»</w:t>
      </w:r>
    </w:p>
    <w:p w:rsidRPr="00B70B6B" w:rsidR="00B70B6B" w:rsidP="00B70B6B" w:rsidRDefault="00B70B6B" w14:paraId="1AE247B1" w14:textId="77777777">
      <w:pPr>
        <w:jc w:val="both"/>
        <w:outlineLvl w:val="0"/>
        <w:rPr>
          <w:i/>
          <w:iCs/>
          <w:lang w:val="es-PE"/>
        </w:rPr>
      </w:pPr>
    </w:p>
    <w:p w:rsidR="00B70B6B" w:rsidP="00B70B6B" w:rsidRDefault="00B70B6B" w14:paraId="0990F48A" w14:textId="77777777">
      <w:pPr>
        <w:jc w:val="both"/>
        <w:outlineLvl w:val="0"/>
        <w:rPr>
          <w:lang w:val="es-PE"/>
        </w:rPr>
      </w:pPr>
      <w:r w:rsidRPr="00B70B6B">
        <w:rPr>
          <w:lang w:val="es-PE"/>
        </w:rPr>
        <w:t xml:space="preserve">Asimismo, el artículo 7 de la Resolución SBS </w:t>
      </w:r>
      <w:proofErr w:type="spellStart"/>
      <w:r w:rsidRPr="00B70B6B">
        <w:rPr>
          <w:lang w:val="es-PE"/>
        </w:rPr>
        <w:t>n°</w:t>
      </w:r>
      <w:proofErr w:type="spellEnd"/>
      <w:r w:rsidRPr="00B70B6B">
        <w:rPr>
          <w:lang w:val="es-PE"/>
        </w:rPr>
        <w:t xml:space="preserve"> 3198-2013, Reglamento de pago de primas de pólizas de seguros (“Reglamento de pago de primas”) vigente al momento del incumplimiento del pago por parte de la asegurada señala lo siguiente: </w:t>
      </w:r>
    </w:p>
    <w:p w:rsidRPr="00B70B6B" w:rsidR="00AE74E3" w:rsidP="00AE74E3" w:rsidRDefault="00AE74E3" w14:paraId="7C852A4E" w14:textId="77777777">
      <w:pPr>
        <w:ind w:left="1440"/>
        <w:jc w:val="both"/>
        <w:outlineLvl w:val="0"/>
        <w:rPr>
          <w:lang w:val="es-PE"/>
        </w:rPr>
      </w:pPr>
    </w:p>
    <w:p w:rsidRPr="00B70B6B" w:rsidR="00B70B6B" w:rsidP="00AE74E3" w:rsidRDefault="00B70B6B" w14:paraId="19020DDA" w14:textId="77777777">
      <w:pPr>
        <w:ind w:left="1440"/>
        <w:jc w:val="both"/>
        <w:outlineLvl w:val="0"/>
        <w:rPr>
          <w:b/>
          <w:bCs/>
          <w:i/>
          <w:iCs/>
          <w:lang w:val="es-PE"/>
        </w:rPr>
      </w:pPr>
      <w:r w:rsidRPr="00B70B6B">
        <w:rPr>
          <w:b/>
          <w:bCs/>
          <w:i/>
          <w:iCs/>
          <w:lang w:val="es-PE"/>
        </w:rPr>
        <w:t>Artículo 7.- Suspensión de la cobertura por incumplimiento de pago</w:t>
      </w:r>
    </w:p>
    <w:p w:rsidR="00B70B6B" w:rsidP="00AE74E3" w:rsidRDefault="00B70B6B" w14:paraId="7EDA351D" w14:textId="77777777">
      <w:pPr>
        <w:ind w:left="1440"/>
        <w:jc w:val="both"/>
        <w:outlineLvl w:val="0"/>
        <w:rPr>
          <w:i/>
          <w:iCs/>
          <w:lang w:val="es-PE"/>
        </w:rPr>
      </w:pPr>
      <w:r w:rsidRPr="00B70B6B">
        <w:rPr>
          <w:i/>
          <w:iCs/>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B70B6B" w:rsidR="00AE74E3" w:rsidP="00AE74E3" w:rsidRDefault="00AE74E3" w14:paraId="047F3B3D" w14:textId="77777777">
      <w:pPr>
        <w:ind w:left="1440"/>
        <w:jc w:val="both"/>
        <w:outlineLvl w:val="0"/>
        <w:rPr>
          <w:i/>
          <w:iCs/>
          <w:lang w:val="es-PE"/>
        </w:rPr>
      </w:pPr>
    </w:p>
    <w:p w:rsidR="00B70B6B" w:rsidP="00AE74E3" w:rsidRDefault="00B70B6B" w14:paraId="1434A056" w14:textId="77777777">
      <w:pPr>
        <w:ind w:left="1440"/>
        <w:jc w:val="both"/>
        <w:outlineLvl w:val="0"/>
        <w:rPr>
          <w:i/>
          <w:iCs/>
          <w:lang w:val="es-PE"/>
        </w:rPr>
      </w:pPr>
      <w:r w:rsidRPr="00B70B6B">
        <w:rPr>
          <w:i/>
          <w:iCs/>
          <w:lang w:val="es-PE"/>
        </w:rPr>
        <w:t>Antes del vencimiento de dicho plazo, la empresa de seguros deberá comunicar de manera cierta al asegurado a través de los medios y en la dirección previamente acordada, la suspensión de la cobertura como consecuencia del incumplimiento del pago de la prima. Asimismo, indicará el plazo que el contratante dispone para pagar la prima antes de la suspensión de la cobertura del seguro.</w:t>
      </w:r>
    </w:p>
    <w:p w:rsidRPr="00B70B6B" w:rsidR="00AE74E3" w:rsidP="00AE74E3" w:rsidRDefault="00AE74E3" w14:paraId="2DF3B00C" w14:textId="77777777">
      <w:pPr>
        <w:ind w:left="1440"/>
        <w:jc w:val="both"/>
        <w:outlineLvl w:val="0"/>
        <w:rPr>
          <w:i/>
          <w:iCs/>
          <w:lang w:val="es-PE"/>
        </w:rPr>
      </w:pPr>
    </w:p>
    <w:p w:rsidR="00B70B6B" w:rsidP="00AE74E3" w:rsidRDefault="00B70B6B" w14:paraId="41F7AE07" w14:textId="77777777">
      <w:pPr>
        <w:ind w:left="1440"/>
        <w:jc w:val="both"/>
        <w:outlineLvl w:val="0"/>
        <w:rPr>
          <w:i/>
          <w:iCs/>
          <w:lang w:val="es-PE"/>
        </w:rPr>
      </w:pPr>
      <w:r w:rsidRPr="00B70B6B">
        <w:rPr>
          <w:i/>
          <w:iCs/>
          <w:lang w:val="es-PE"/>
        </w:rPr>
        <w:t>Debe señalarse que una comunicación se realiza de manera cierta cuando se utiliza cualquier mecanismo de comunicación que las partes pacten de común acuerdo, siempre que esta sea susceptible de verificación, conforme a lo dispuesto al artículo 24 del Reglamento de Transparencia de Información y Contratación de Seguros.</w:t>
      </w:r>
    </w:p>
    <w:p w:rsidRPr="00B70B6B" w:rsidR="00AE74E3" w:rsidP="00AE74E3" w:rsidRDefault="00AE74E3" w14:paraId="6980D200" w14:textId="77777777">
      <w:pPr>
        <w:ind w:left="1440"/>
        <w:jc w:val="both"/>
        <w:outlineLvl w:val="0"/>
        <w:rPr>
          <w:i/>
          <w:iCs/>
          <w:lang w:val="es-PE"/>
        </w:rPr>
      </w:pPr>
    </w:p>
    <w:p w:rsidR="00B70B6B" w:rsidP="00AE74E3" w:rsidRDefault="00B70B6B" w14:paraId="55DC1184" w14:textId="77777777">
      <w:pPr>
        <w:ind w:left="1440"/>
        <w:jc w:val="both"/>
        <w:outlineLvl w:val="0"/>
        <w:rPr>
          <w:i/>
          <w:iCs/>
          <w:lang w:val="es-PE"/>
        </w:rPr>
      </w:pPr>
      <w:r w:rsidRPr="00B70B6B">
        <w:rPr>
          <w:i/>
          <w:iCs/>
          <w:lang w:val="es-PE"/>
        </w:rPr>
        <w:t>La suspensión de cobertura no es aplicable en los casos en que el contratante ha pagado, proporcionalmente, una prima igual o mayor al período corrido del contrato.</w:t>
      </w:r>
    </w:p>
    <w:p w:rsidRPr="00B70B6B" w:rsidR="00B70B6B" w:rsidP="00B70B6B" w:rsidRDefault="00B70B6B" w14:paraId="24288E31" w14:textId="77777777">
      <w:pPr>
        <w:jc w:val="both"/>
        <w:outlineLvl w:val="0"/>
        <w:rPr>
          <w:i/>
          <w:iCs/>
          <w:lang w:val="es-PE"/>
        </w:rPr>
      </w:pPr>
    </w:p>
    <w:p w:rsidR="00B70B6B" w:rsidP="00B70B6B" w:rsidRDefault="00B70B6B" w14:paraId="7698E006" w14:textId="77777777">
      <w:pPr>
        <w:jc w:val="both"/>
        <w:outlineLvl w:val="0"/>
        <w:rPr>
          <w:lang w:val="es-PE"/>
        </w:rPr>
      </w:pPr>
      <w:r w:rsidRPr="00B70B6B">
        <w:rPr>
          <w:b/>
          <w:bCs/>
          <w:u w:val="single"/>
          <w:lang w:val="es-PE"/>
        </w:rPr>
        <w:t>DECIMOTERCERO</w:t>
      </w:r>
      <w:r w:rsidRPr="00B70B6B">
        <w:rPr>
          <w:lang w:val="es-PE"/>
        </w:rPr>
        <w:t>: De conformidad con lo establecido por las normas citadas en el numeral precedente, y, de acuerdo con el criterio desarrollado por este Colegiado en numerosas oportunidades</w:t>
      </w:r>
      <w:r w:rsidRPr="00B70B6B">
        <w:rPr>
          <w:vertAlign w:val="superscript"/>
          <w:lang w:val="es-PE"/>
        </w:rPr>
        <w:footnoteReference w:id="6"/>
      </w:r>
      <w:r w:rsidRPr="00B70B6B">
        <w:rPr>
          <w:lang w:val="es-PE"/>
        </w:rPr>
        <w:t xml:space="preserve"> debemos colegir lo siguiente: </w:t>
      </w:r>
      <w:r w:rsidRPr="00B70B6B">
        <w:rPr>
          <w:b/>
          <w:bCs/>
          <w:i/>
          <w:iCs/>
          <w:lang w:val="es-PE"/>
        </w:rPr>
        <w:t>(i)</w:t>
      </w:r>
      <w:r w:rsidRPr="00B70B6B">
        <w:rPr>
          <w:lang w:val="es-PE"/>
        </w:rPr>
        <w:t xml:space="preserve"> la suspensión no opera por el solo hecho de la falta de pago de la prima, sino que requiere de la materialización de una comunicación previa, sujeta a ciertos requisitos de fondo y forma; y, </w:t>
      </w:r>
      <w:r w:rsidRPr="00B70B6B">
        <w:rPr>
          <w:b/>
          <w:bCs/>
          <w:i/>
          <w:iCs/>
          <w:lang w:val="es-PE"/>
        </w:rPr>
        <w:t>(</w:t>
      </w:r>
      <w:proofErr w:type="spellStart"/>
      <w:r w:rsidRPr="00B70B6B">
        <w:rPr>
          <w:b/>
          <w:bCs/>
          <w:i/>
          <w:iCs/>
          <w:lang w:val="es-PE"/>
        </w:rPr>
        <w:t>ii</w:t>
      </w:r>
      <w:proofErr w:type="spellEnd"/>
      <w:r w:rsidRPr="00B70B6B">
        <w:rPr>
          <w:b/>
          <w:bCs/>
          <w:i/>
          <w:iCs/>
          <w:lang w:val="es-PE"/>
        </w:rPr>
        <w:t>)</w:t>
      </w:r>
      <w:r w:rsidRPr="00B70B6B">
        <w:rPr>
          <w:lang w:val="es-PE"/>
        </w:rPr>
        <w:t xml:space="preserve"> la suspensión opera automáticamente transcurridos treinta (30) días desde la fecha del vencimiento de la obligación, sólo si se remite la comunicación a la que hacen mención las normas citadas en el numeral anterior. </w:t>
      </w:r>
    </w:p>
    <w:p w:rsidRPr="00B70B6B" w:rsidR="00B70B6B" w:rsidP="00B70B6B" w:rsidRDefault="00B70B6B" w14:paraId="0A96DEB2" w14:textId="77777777">
      <w:pPr>
        <w:jc w:val="both"/>
        <w:outlineLvl w:val="0"/>
        <w:rPr>
          <w:lang w:val="es-PE"/>
        </w:rPr>
      </w:pPr>
    </w:p>
    <w:p w:rsidR="00B70B6B" w:rsidP="00B70B6B" w:rsidRDefault="00B70B6B" w14:paraId="61D735AC" w14:textId="77777777">
      <w:pPr>
        <w:jc w:val="both"/>
        <w:outlineLvl w:val="0"/>
        <w:rPr>
          <w:lang w:val="es-PE"/>
        </w:rPr>
      </w:pPr>
      <w:r w:rsidRPr="00B70B6B">
        <w:rPr>
          <w:lang w:val="es-PE"/>
        </w:rPr>
        <w:t xml:space="preserve">Por lo tanto, no cabe duda de que el marco normativo de la suspensión de la cobertura por falta de pago se aparta de un régimen de suspensión inmediata o automático de la cobertura ante un incumplimiento en el pago de las primas. Como se observa, las normas detalladas establecen claramente la obligación de la empresa aseguradora de colocar en mora al asegurado, de manera que la suspensión de cobertura sólo podrá operar cuando se haya cumplido con comunicar previamente al asegurado el incumplimiento del pago de las primas y las consecuencias que se derivarían de continuarse en esta situación. </w:t>
      </w:r>
    </w:p>
    <w:p w:rsidRPr="00B70B6B" w:rsidR="00B70B6B" w:rsidP="00B70B6B" w:rsidRDefault="00B70B6B" w14:paraId="2962A7A9" w14:textId="77777777">
      <w:pPr>
        <w:jc w:val="both"/>
        <w:outlineLvl w:val="0"/>
        <w:rPr>
          <w:lang w:val="es-PE"/>
        </w:rPr>
      </w:pPr>
    </w:p>
    <w:p w:rsidR="00B70B6B" w:rsidP="00B70B6B" w:rsidRDefault="00B70B6B" w14:paraId="1832EC1E" w14:textId="77777777">
      <w:pPr>
        <w:jc w:val="both"/>
        <w:outlineLvl w:val="0"/>
        <w:rPr>
          <w:lang w:val="es-PE"/>
        </w:rPr>
      </w:pPr>
      <w:r w:rsidRPr="00B70B6B">
        <w:rPr>
          <w:lang w:val="es-PE"/>
        </w:rPr>
        <w:t xml:space="preserve">Las normas claramente establecen un régimen tuitivo en favor del asegurado, puesto que para que opere la suspensión automática de la cobertura (período durante el cual la aseguradora no será responsable por los siniestros ocurridos) debe haber transcurrido un plazo de 30 días desde la fecha de vencimiento de la obligación y, adicionalmente, se requiere comunicar previamente de manera cierta al asegurado sobre su incumplimiento y sus consecuencias.  </w:t>
      </w:r>
    </w:p>
    <w:p w:rsidRPr="00B70B6B" w:rsidR="00B70B6B" w:rsidP="00B70B6B" w:rsidRDefault="00B70B6B" w14:paraId="0C7FA761" w14:textId="77777777">
      <w:pPr>
        <w:jc w:val="both"/>
        <w:outlineLvl w:val="0"/>
        <w:rPr>
          <w:lang w:val="es-PE"/>
        </w:rPr>
      </w:pPr>
    </w:p>
    <w:p w:rsidR="00B70B6B" w:rsidP="00B70B6B" w:rsidRDefault="00B70B6B" w14:paraId="7498EC33" w14:textId="77777777">
      <w:pPr>
        <w:jc w:val="both"/>
        <w:outlineLvl w:val="0"/>
        <w:rPr>
          <w:lang w:val="es-PE"/>
        </w:rPr>
      </w:pPr>
      <w:r w:rsidRPr="00B70B6B">
        <w:rPr>
          <w:lang w:val="es-PE"/>
        </w:rPr>
        <w:t>En tanto no se haya suspendido la cobertura, en caso de producirse un siniestro, subsiste la responsabilidad de la aseguradora, sujeta a un régimen específico para fines de cobrar lo que le fuese adeudado por concepto de prima.</w:t>
      </w:r>
    </w:p>
    <w:p w:rsidRPr="00B70B6B" w:rsidR="00B70B6B" w:rsidP="00B70B6B" w:rsidRDefault="00B70B6B" w14:paraId="6EF869D7" w14:textId="77777777">
      <w:pPr>
        <w:jc w:val="both"/>
        <w:outlineLvl w:val="0"/>
        <w:rPr>
          <w:lang w:val="es-PE"/>
        </w:rPr>
      </w:pPr>
    </w:p>
    <w:p w:rsidR="00B70B6B" w:rsidP="00B70B6B" w:rsidRDefault="00B70B6B" w14:paraId="29AA4E4D" w14:textId="5D5BDD70">
      <w:pPr>
        <w:jc w:val="both"/>
        <w:outlineLvl w:val="0"/>
        <w:rPr>
          <w:lang w:val="es-PE"/>
        </w:rPr>
      </w:pPr>
      <w:r w:rsidRPr="31C57A80" w:rsidR="00B70B6B">
        <w:rPr>
          <w:b w:val="1"/>
          <w:bCs w:val="1"/>
          <w:u w:val="single"/>
          <w:lang w:val="es-PE"/>
        </w:rPr>
        <w:t>DÉCIMOCUARTO</w:t>
      </w:r>
      <w:r w:rsidRPr="31C57A80" w:rsidR="00B70B6B">
        <w:rPr>
          <w:lang w:val="es-PE"/>
        </w:rPr>
        <w:t xml:space="preserve">: Como hemos visto al resumir los principales aspectos de las posiciones de las partes, </w:t>
      </w:r>
      <w:r w:rsidRPr="31C57A80" w:rsidR="27FECEA0">
        <w:rPr>
          <w:lang w:val="es-PE"/>
        </w:rPr>
        <w:t>................</w:t>
      </w:r>
      <w:r w:rsidRPr="31C57A80" w:rsidR="00B70B6B">
        <w:rPr>
          <w:lang w:val="es-PE"/>
        </w:rPr>
        <w:t xml:space="preserve"> sostiene su defensa argumentando que el artículo 21 de la Ley del contrato de seguro y el artículo 7 del Reglamento de pago de primas, expresamente señalan que la cobertura del seguro se suspende automáticamente si el asegurado no cumple con el pago dentro de los 30 días posteriores al vencimiento. Es decir, para </w:t>
      </w:r>
      <w:r w:rsidRPr="31C57A80" w:rsidR="27FECEA0">
        <w:rPr>
          <w:lang w:val="es-PE"/>
        </w:rPr>
        <w:t>................</w:t>
      </w:r>
      <w:r w:rsidRPr="31C57A80" w:rsidR="00B70B6B">
        <w:rPr>
          <w:lang w:val="es-PE"/>
        </w:rPr>
        <w:t xml:space="preserve"> este plazo es automático, de lo que se colige, que la empresa aseguradora considera que no está obligada a cumplir con ningún requisito adicional para que opere la suspensión de la cobertura por falta de pago. </w:t>
      </w:r>
    </w:p>
    <w:p w:rsidRPr="00B70B6B" w:rsidR="00B70B6B" w:rsidP="00B70B6B" w:rsidRDefault="00B70B6B" w14:paraId="556654C0" w14:textId="77777777">
      <w:pPr>
        <w:jc w:val="both"/>
        <w:outlineLvl w:val="0"/>
        <w:rPr>
          <w:lang w:val="es-PE"/>
        </w:rPr>
      </w:pPr>
    </w:p>
    <w:p w:rsidR="00B70B6B" w:rsidP="00B70B6B" w:rsidRDefault="00B70B6B" w14:paraId="058A9780" w14:textId="10934548">
      <w:pPr>
        <w:jc w:val="both"/>
        <w:outlineLvl w:val="0"/>
        <w:rPr>
          <w:lang w:val="es-PE"/>
        </w:rPr>
      </w:pPr>
      <w:r w:rsidRPr="00B70B6B" w:rsidR="00B70B6B">
        <w:rPr>
          <w:lang w:val="es-PE"/>
        </w:rPr>
        <w:t xml:space="preserve">Este Colegiado no comparte la posición de </w:t>
      </w:r>
      <w:r w:rsidRPr="00B70B6B" w:rsidR="27FECEA0">
        <w:rPr>
          <w:lang w:val="es-PE"/>
        </w:rPr>
        <w:t>................</w:t>
      </w:r>
      <w:r w:rsidRPr="00B70B6B" w:rsidR="00B70B6B">
        <w:rPr>
          <w:lang w:val="es-PE"/>
        </w:rPr>
        <w:t xml:space="preserve"> respecto de la interpretación, tanto del artículo 21 de la Ley del contrato de seguro, como del artículo 7 de Reglamento de pago de primas, criterio que se ha mantenido invariable a lo largo de los últimos años</w:t>
      </w:r>
      <w:r w:rsidRPr="00B70B6B">
        <w:rPr>
          <w:vertAlign w:val="superscript"/>
          <w:lang w:val="es-PE"/>
        </w:rPr>
        <w:footnoteReference w:id="7"/>
      </w:r>
      <w:r w:rsidRPr="00B70B6B" w:rsidR="00B70B6B">
        <w:rPr>
          <w:lang w:val="es-PE"/>
        </w:rPr>
        <w:t xml:space="preserve">, sin que </w:t>
      </w:r>
      <w:r w:rsidRPr="00B70B6B" w:rsidR="27FECEA0">
        <w:rPr>
          <w:lang w:val="es-PE"/>
        </w:rPr>
        <w:t xml:space="preserve">................</w:t>
      </w:r>
      <w:r w:rsidRPr="00B70B6B" w:rsidR="00B70B6B">
        <w:rPr>
          <w:lang w:val="es-PE"/>
        </w:rPr>
        <w:t xml:space="preserve"> haya presentado en esta oportunidad algún argumento adicional que amerite su reevaluación. </w:t>
      </w:r>
    </w:p>
    <w:p w:rsidRPr="00B70B6B" w:rsidR="00B70B6B" w:rsidP="00B70B6B" w:rsidRDefault="00B70B6B" w14:paraId="3877019F" w14:textId="77777777">
      <w:pPr>
        <w:jc w:val="both"/>
        <w:outlineLvl w:val="0"/>
        <w:rPr>
          <w:lang w:val="es-PE"/>
        </w:rPr>
      </w:pPr>
    </w:p>
    <w:p w:rsidR="00B70B6B" w:rsidP="00B70B6B" w:rsidRDefault="00B70B6B" w14:paraId="30E2AD78" w14:textId="7AF998D4">
      <w:pPr>
        <w:jc w:val="both"/>
        <w:outlineLvl w:val="0"/>
        <w:rPr>
          <w:lang w:val="es-PE"/>
        </w:rPr>
      </w:pPr>
      <w:r w:rsidRPr="31C57A80" w:rsidR="00B70B6B">
        <w:rPr>
          <w:lang w:val="es-PE"/>
        </w:rPr>
        <w:t xml:space="preserve">Habiendo determinado que la empresa aseguradora sólo puede liberarse de su obligación de indemnizar el siniestro en caso de falta de pago de la prima, si cumple con comunicar este hecho al asegurado, así como las consecuencias que se derivan del incumplimiento, dentro de los 30 días posteriores al vencimiento del pago de la prima a cargo del asegurado, corresponde establecer si, </w:t>
      </w:r>
      <w:r w:rsidRPr="31C57A80" w:rsidR="27FECEA0">
        <w:rPr>
          <w:lang w:val="es-PE"/>
        </w:rPr>
        <w:t>................</w:t>
      </w:r>
      <w:r w:rsidRPr="31C57A80" w:rsidR="00B70B6B">
        <w:rPr>
          <w:lang w:val="es-PE"/>
        </w:rPr>
        <w:t xml:space="preserve"> cumplió con la obligación de comunicación en los términos establecidos en las normas que hemos citado. </w:t>
      </w:r>
      <w:bookmarkStart w:name="_Hlk202466973" w:id="4"/>
    </w:p>
    <w:p w:rsidRPr="00B70B6B" w:rsidR="00B70B6B" w:rsidP="00B70B6B" w:rsidRDefault="00B70B6B" w14:paraId="3B5E0EAD" w14:textId="77777777">
      <w:pPr>
        <w:jc w:val="both"/>
        <w:outlineLvl w:val="0"/>
        <w:rPr>
          <w:lang w:val="es-PE"/>
        </w:rPr>
      </w:pPr>
    </w:p>
    <w:p w:rsidR="00B70B6B" w:rsidP="00B70B6B" w:rsidRDefault="00B70B6B" w14:paraId="03258F44" w14:textId="2890BF9B">
      <w:pPr>
        <w:jc w:val="both"/>
        <w:outlineLvl w:val="0"/>
        <w:rPr>
          <w:lang w:val="es-PE"/>
        </w:rPr>
      </w:pPr>
      <w:r w:rsidRPr="31C57A80" w:rsidR="00B70B6B">
        <w:rPr>
          <w:b w:val="1"/>
          <w:bCs w:val="1"/>
          <w:u w:val="single"/>
          <w:lang w:val="es-PE"/>
        </w:rPr>
        <w:t>DÉCIMOSEXTO</w:t>
      </w:r>
      <w:r w:rsidRPr="31C57A80" w:rsidR="00B70B6B">
        <w:rPr>
          <w:lang w:val="es-PE"/>
        </w:rPr>
        <w:t xml:space="preserve">: </w:t>
      </w:r>
      <w:r w:rsidRPr="31C57A80" w:rsidR="27FECEA0">
        <w:rPr>
          <w:lang w:val="es-PE"/>
        </w:rPr>
        <w:t>................</w:t>
      </w:r>
      <w:r w:rsidRPr="31C57A80" w:rsidR="00B70B6B">
        <w:rPr>
          <w:lang w:val="es-PE"/>
        </w:rPr>
        <w:t xml:space="preserve"> no ha presentado con su absolución de reclamo la comunicación de suspensión de la cobertura por falta de pago, lo que permitiría a este Colegiado verificar el cumplimiento de la obligación a que hacen referencia tanto el artículo 21 de la Ley del contrato de seguro, como del artículo 7 de Reglamento de pago de primas, en dicha medida, nos atendremos a lo señalado sobre el particular por la asegurada en su escrito de reclamo.</w:t>
      </w:r>
    </w:p>
    <w:p w:rsidRPr="00B70B6B" w:rsidR="00B70B6B" w:rsidP="00B70B6B" w:rsidRDefault="00B70B6B" w14:paraId="1BB1DB2B" w14:textId="77777777">
      <w:pPr>
        <w:jc w:val="both"/>
        <w:outlineLvl w:val="0"/>
        <w:rPr>
          <w:lang w:val="es-PE"/>
        </w:rPr>
      </w:pPr>
    </w:p>
    <w:p w:rsidR="00B70B6B" w:rsidP="00B70B6B" w:rsidRDefault="00B70B6B" w14:paraId="52F5DFCB" w14:textId="110A517A">
      <w:pPr>
        <w:jc w:val="both"/>
        <w:outlineLvl w:val="0"/>
        <w:rPr>
          <w:lang w:val="es-PE"/>
        </w:rPr>
      </w:pPr>
      <w:r w:rsidRPr="31C57A80" w:rsidR="00B70B6B">
        <w:rPr>
          <w:lang w:val="es-PE"/>
        </w:rPr>
        <w:t xml:space="preserve">La asegurada refiere que, al ser requerida </w:t>
      </w:r>
      <w:r w:rsidRPr="31C57A80" w:rsidR="27FECEA0">
        <w:rPr>
          <w:lang w:val="es-PE"/>
        </w:rPr>
        <w:t>................</w:t>
      </w:r>
      <w:r w:rsidRPr="31C57A80" w:rsidR="00B70B6B">
        <w:rPr>
          <w:lang w:val="es-PE"/>
        </w:rPr>
        <w:t xml:space="preserve"> para que envíe las comunicaciones de cobranza realizadas, el 12 de abril de 2024, le remitió un aviso automático de cobranza en el cual indicaba que se encontraba pendiente de pago el cupón </w:t>
      </w:r>
      <w:r w:rsidRPr="31C57A80" w:rsidR="00B70B6B">
        <w:rPr>
          <w:lang w:val="es-PE"/>
        </w:rPr>
        <w:t>n.°</w:t>
      </w:r>
      <w:r w:rsidRPr="31C57A80" w:rsidR="00B70B6B">
        <w:rPr>
          <w:lang w:val="es-PE"/>
        </w:rPr>
        <w:t xml:space="preserve"> CP</w:t>
      </w:r>
      <w:r w:rsidRPr="31C57A80" w:rsidR="037EF6D6">
        <w:rPr>
          <w:lang w:val="es-PE"/>
        </w:rPr>
        <w:t>............................</w:t>
      </w:r>
      <w:r w:rsidRPr="31C57A80" w:rsidR="00B70B6B">
        <w:rPr>
          <w:lang w:val="es-PE"/>
        </w:rPr>
        <w:t xml:space="preserve">, cabe señalar que dicho aviso de cobranza no ha sido puesto en conocimiento de este Colegiado por la empresa asegurada. Copia de este aviso ha sido insertado en el escrito de reclamo de </w:t>
      </w:r>
      <w:r w:rsidRPr="31C57A80" w:rsidR="669B114D">
        <w:rPr>
          <w:lang w:val="es-PE"/>
        </w:rPr>
        <w:t>............................................</w:t>
      </w:r>
      <w:r w:rsidRPr="31C57A80" w:rsidR="00B70B6B">
        <w:rPr>
          <w:lang w:val="es-PE"/>
        </w:rPr>
        <w:t xml:space="preserve">. La asegurada señala que este aviso tendría dos inconvenientes, por un </w:t>
      </w:r>
      <w:r w:rsidRPr="31C57A80" w:rsidR="00B70B6B">
        <w:rPr>
          <w:lang w:val="es-PE"/>
        </w:rPr>
        <w:t>lado</w:t>
      </w:r>
      <w:r w:rsidRPr="31C57A80" w:rsidR="00B70B6B">
        <w:rPr>
          <w:lang w:val="es-PE"/>
        </w:rPr>
        <w:t xml:space="preserve"> no se advierte en el mismo cuál habría sido la fecha de envío, y, por otro lado, que se remitió al correo </w:t>
      </w:r>
      <w:hyperlink r:id="R7da774c522554fe5">
        <w:r w:rsidRPr="31C57A80" w:rsidR="464C0340">
          <w:rPr>
            <w:rStyle w:val="Hipervnculo"/>
            <w:lang w:val="es-PE"/>
          </w:rPr>
          <w:t>................................................................</w:t>
        </w:r>
      </w:hyperlink>
      <w:r w:rsidRPr="31C57A80" w:rsidR="00B70B6B">
        <w:rPr>
          <w:lang w:val="es-PE"/>
        </w:rPr>
        <w:t xml:space="preserve">, el cual pertenece a su anterior corredor de seguros. </w:t>
      </w:r>
    </w:p>
    <w:p w:rsidRPr="00B70B6B" w:rsidR="00B70B6B" w:rsidP="00B70B6B" w:rsidRDefault="00B70B6B" w14:paraId="0275337C" w14:textId="77777777">
      <w:pPr>
        <w:jc w:val="both"/>
        <w:outlineLvl w:val="0"/>
        <w:rPr>
          <w:lang w:val="es-PE"/>
        </w:rPr>
      </w:pPr>
    </w:p>
    <w:p w:rsidR="00B70B6B" w:rsidP="00B70B6B" w:rsidRDefault="00B70B6B" w14:paraId="3D976283" w14:textId="77777777">
      <w:pPr>
        <w:jc w:val="both"/>
        <w:outlineLvl w:val="0"/>
        <w:rPr>
          <w:lang w:val="es-PE"/>
        </w:rPr>
      </w:pPr>
      <w:r w:rsidRPr="00B70B6B">
        <w:rPr>
          <w:lang w:val="es-PE"/>
        </w:rPr>
        <w:t xml:space="preserve">Para que la comunicación de suspensión de la cobertura tenga efectos esta debe cumplir con una serie de requisitos de fondo y forma. En primer lugar, corresponde a la empresa aseguradora probar que este documento se remitió dentro del plazo de 30 días del vencimiento del plazo de la obligación de pago, por otro lado, tal como señala el artículo 8 del Reglamento de pago de primas, esta comunicación debe indicar cuando menos lo siguiente: </w:t>
      </w:r>
      <w:bookmarkStart w:name="_Hlk197903803" w:id="5"/>
      <w:r w:rsidRPr="00B70B6B">
        <w:rPr>
          <w:b/>
          <w:bCs/>
          <w:i/>
          <w:iCs/>
          <w:lang w:val="es-PE"/>
        </w:rPr>
        <w:t>(a)</w:t>
      </w:r>
      <w:r w:rsidRPr="00B70B6B">
        <w:rPr>
          <w:lang w:val="es-PE"/>
        </w:rPr>
        <w:t xml:space="preserve"> fecha de vencimiento del pago de la prima; </w:t>
      </w:r>
      <w:r w:rsidRPr="00B70B6B">
        <w:rPr>
          <w:b/>
          <w:bCs/>
          <w:i/>
          <w:iCs/>
          <w:lang w:val="es-PE"/>
        </w:rPr>
        <w:t xml:space="preserve">(b) </w:t>
      </w:r>
      <w:r w:rsidRPr="00B70B6B">
        <w:rPr>
          <w:lang w:val="es-PE"/>
        </w:rPr>
        <w:t xml:space="preserve">plazo máximo para el pago de la prima adeudada; y, finalmente, </w:t>
      </w:r>
      <w:r w:rsidRPr="00B70B6B">
        <w:rPr>
          <w:b/>
          <w:bCs/>
          <w:i/>
          <w:iCs/>
          <w:lang w:val="es-PE"/>
        </w:rPr>
        <w:t>(c)</w:t>
      </w:r>
      <w:r w:rsidRPr="00B70B6B">
        <w:rPr>
          <w:lang w:val="es-PE"/>
        </w:rPr>
        <w:t xml:space="preserve"> que en caso de mantener impaga la prima se suspenderá la cobertura, lo que implica que la aseguradora no estará obligada a cubrir los siniestros ocurridos mientras la cobertura se encuentre suspendida.</w:t>
      </w:r>
      <w:bookmarkEnd w:id="5"/>
      <w:r w:rsidRPr="00B70B6B">
        <w:rPr>
          <w:lang w:val="es-PE"/>
        </w:rPr>
        <w:t xml:space="preserve"> </w:t>
      </w:r>
    </w:p>
    <w:p w:rsidRPr="00B70B6B" w:rsidR="00B70B6B" w:rsidP="00B70B6B" w:rsidRDefault="00B70B6B" w14:paraId="09188D63" w14:textId="77777777">
      <w:pPr>
        <w:jc w:val="both"/>
        <w:outlineLvl w:val="0"/>
        <w:rPr>
          <w:lang w:val="es-PE"/>
        </w:rPr>
      </w:pPr>
    </w:p>
    <w:p w:rsidR="00B70B6B" w:rsidP="00B70B6B" w:rsidRDefault="00B70B6B" w14:paraId="73AB1E6B" w14:textId="2DF73D9E">
      <w:pPr>
        <w:jc w:val="both"/>
        <w:outlineLvl w:val="0"/>
        <w:rPr>
          <w:lang w:val="es-PE"/>
        </w:rPr>
      </w:pPr>
      <w:r w:rsidRPr="31C57A80" w:rsidR="00B70B6B">
        <w:rPr>
          <w:lang w:val="es-PE"/>
        </w:rPr>
        <w:t xml:space="preserve">Como se observa, el aviso de cobranza remitido por </w:t>
      </w:r>
      <w:r w:rsidRPr="31C57A80" w:rsidR="27FECEA0">
        <w:rPr>
          <w:lang w:val="es-PE"/>
        </w:rPr>
        <w:t>................</w:t>
      </w:r>
      <w:r w:rsidRPr="31C57A80" w:rsidR="00B70B6B">
        <w:rPr>
          <w:lang w:val="es-PE"/>
        </w:rPr>
        <w:t xml:space="preserve"> a la </w:t>
      </w:r>
      <w:r w:rsidRPr="31C57A80" w:rsidR="00B70B6B">
        <w:rPr>
          <w:lang w:val="es-PE"/>
        </w:rPr>
        <w:t>asegurada,</w:t>
      </w:r>
      <w:r w:rsidRPr="31C57A80" w:rsidR="00B70B6B">
        <w:rPr>
          <w:lang w:val="es-PE"/>
        </w:rPr>
        <w:t xml:space="preserve"> no cumple con los requisitos de exigidos por el artículo 8 del Reglamento de pago de primas para ser considerado como una comunicación válida en el contexto del procedimiento de suspensión de la cobertura por falta de pago de las primas. </w:t>
      </w:r>
    </w:p>
    <w:p w:rsidRPr="00B70B6B" w:rsidR="00B70B6B" w:rsidP="00B70B6B" w:rsidRDefault="00B70B6B" w14:paraId="20DDADE6" w14:textId="77777777">
      <w:pPr>
        <w:jc w:val="both"/>
        <w:outlineLvl w:val="0"/>
        <w:rPr>
          <w:lang w:val="es-PE"/>
        </w:rPr>
      </w:pPr>
    </w:p>
    <w:p w:rsidRPr="00B70B6B" w:rsidR="00B70B6B" w:rsidP="00B70B6B" w:rsidRDefault="00B70B6B" w14:paraId="06BADF1E" w14:textId="7AC1CFDE">
      <w:pPr>
        <w:jc w:val="both"/>
        <w:outlineLvl w:val="0"/>
        <w:rPr>
          <w:lang w:val="es-PE"/>
        </w:rPr>
      </w:pPr>
      <w:r w:rsidRPr="31C57A80" w:rsidR="00B70B6B">
        <w:rPr>
          <w:b w:val="1"/>
          <w:bCs w:val="1"/>
          <w:u w:val="single"/>
          <w:lang w:val="es-PE"/>
        </w:rPr>
        <w:t>DÉCIMOSEPTIMO</w:t>
      </w:r>
      <w:r w:rsidRPr="31C57A80" w:rsidR="00B70B6B">
        <w:rPr>
          <w:lang w:val="es-PE"/>
        </w:rPr>
        <w:t xml:space="preserve">: Este Colegiado considera que </w:t>
      </w:r>
      <w:r w:rsidRPr="31C57A80" w:rsidR="27FECEA0">
        <w:rPr>
          <w:lang w:val="es-PE"/>
        </w:rPr>
        <w:t>................</w:t>
      </w:r>
      <w:r w:rsidRPr="31C57A80" w:rsidR="00B70B6B">
        <w:rPr>
          <w:lang w:val="es-PE"/>
        </w:rPr>
        <w:t xml:space="preserve"> no ha demostrado de manera oportuna, adecuada y suficiente que informó al asegurado de su estado de incumplimiento respecto del pago de las primas, y, de la eventual suspensión de la cobertura de mantenerse el mismo.</w:t>
      </w:r>
    </w:p>
    <w:p w:rsidR="00B70B6B" w:rsidP="00B70B6B" w:rsidRDefault="00B70B6B" w14:paraId="4A0E3945" w14:textId="66DEB730">
      <w:pPr>
        <w:jc w:val="both"/>
        <w:outlineLvl w:val="0"/>
        <w:rPr>
          <w:lang w:val="es-PE"/>
        </w:rPr>
      </w:pPr>
      <w:r w:rsidRPr="31C57A80" w:rsidR="00B70B6B">
        <w:rPr>
          <w:lang w:val="es-PE"/>
        </w:rPr>
        <w:t xml:space="preserve">Por tanto, al amparo de lo dispuesto en el artículo 21 de la Ley del contrato de seguro, concluimos que la Póliza no se encontraba suspendida al momento del siniestro, por no haberse comunicado correctamente el incumplimiento del pago de la prima por parte del asegurado, por lo que </w:t>
      </w:r>
      <w:r w:rsidRPr="31C57A80" w:rsidR="27FECEA0">
        <w:rPr>
          <w:lang w:val="es-PE"/>
        </w:rPr>
        <w:t>................</w:t>
      </w:r>
      <w:r w:rsidRPr="31C57A80" w:rsidR="00B70B6B">
        <w:rPr>
          <w:lang w:val="es-PE"/>
        </w:rPr>
        <w:t xml:space="preserve"> es responsable por los siniestros ocurridos durante el período en que la cobertura no se encontraba suspendida.</w:t>
      </w:r>
    </w:p>
    <w:p w:rsidRPr="00B70B6B" w:rsidR="00B70B6B" w:rsidP="00B70B6B" w:rsidRDefault="00B70B6B" w14:paraId="356C6E37" w14:textId="77777777">
      <w:pPr>
        <w:jc w:val="both"/>
        <w:outlineLvl w:val="0"/>
        <w:rPr>
          <w:lang w:val="es-PE"/>
        </w:rPr>
      </w:pPr>
    </w:p>
    <w:p w:rsidR="00B70B6B" w:rsidP="00B70B6B" w:rsidRDefault="00B70B6B" w14:paraId="1EB7EED3" w14:textId="1F9906A2">
      <w:pPr>
        <w:jc w:val="both"/>
        <w:outlineLvl w:val="0"/>
        <w:rPr>
          <w:lang w:val="es-PE"/>
        </w:rPr>
      </w:pPr>
      <w:r w:rsidRPr="31C57A80" w:rsidR="00B70B6B">
        <w:rPr>
          <w:lang w:val="es-PE"/>
        </w:rPr>
        <w:t xml:space="preserve">Siendo que ha quedado demostrado que </w:t>
      </w:r>
      <w:r w:rsidRPr="31C57A80" w:rsidR="27FECEA0">
        <w:rPr>
          <w:lang w:val="es-PE"/>
        </w:rPr>
        <w:t>................</w:t>
      </w:r>
      <w:r w:rsidRPr="31C57A80" w:rsidR="00B70B6B">
        <w:rPr>
          <w:lang w:val="es-PE"/>
        </w:rPr>
        <w:t xml:space="preserve"> no comunicó al asegurado la suspensión de la cobertura como consecuencia del incumplimiento del pago de la prima tal como lo establecen el artículo 21 de la Ley del contrato de seguro y el artículo 7 del Reglamento de pago de primas, este colegiado -por economía procesal-, este Colegiado considera que no amerita pronunciarse sobre los demás extremos del reclamo presentado por la asegurada. </w:t>
      </w:r>
    </w:p>
    <w:p w:rsidRPr="00B70B6B" w:rsidR="00B70B6B" w:rsidP="00B70B6B" w:rsidRDefault="00B70B6B" w14:paraId="5986E75F" w14:textId="77777777">
      <w:pPr>
        <w:jc w:val="both"/>
        <w:outlineLvl w:val="0"/>
        <w:rPr>
          <w:lang w:val="es-PE"/>
        </w:rPr>
      </w:pPr>
    </w:p>
    <w:p w:rsidR="00B70B6B" w:rsidP="00B70B6B" w:rsidRDefault="00B70B6B" w14:paraId="1151D791" w14:textId="77777777">
      <w:pPr>
        <w:jc w:val="both"/>
        <w:outlineLvl w:val="0"/>
        <w:rPr>
          <w:lang w:val="es-PE"/>
        </w:rPr>
      </w:pPr>
      <w:r w:rsidRPr="00B70B6B">
        <w:rPr>
          <w:lang w:val="es-PE"/>
        </w:rPr>
        <w:t>En consecuencia, el rechazo de cobertura informado por la empresa aseguradora el 7 de febrero de 2024 no resulta legítimo.</w:t>
      </w:r>
    </w:p>
    <w:p w:rsidRPr="00B70B6B" w:rsidR="00B70B6B" w:rsidP="00B70B6B" w:rsidRDefault="00B70B6B" w14:paraId="27F4CAFE" w14:textId="77777777">
      <w:pPr>
        <w:jc w:val="both"/>
        <w:outlineLvl w:val="0"/>
        <w:rPr>
          <w:lang w:val="es-PE"/>
        </w:rPr>
      </w:pPr>
    </w:p>
    <w:p w:rsidR="00B70B6B" w:rsidP="00B70B6B" w:rsidRDefault="00B70B6B" w14:paraId="0BC79106" w14:textId="77777777">
      <w:pPr>
        <w:jc w:val="both"/>
        <w:outlineLvl w:val="0"/>
        <w:rPr>
          <w:lang w:val="es-PE"/>
        </w:rPr>
      </w:pPr>
      <w:r w:rsidRPr="00B70B6B">
        <w:rPr>
          <w:lang w:val="es-PE"/>
        </w:rPr>
        <w:t>Que, esta Defensoría del Asegurado concluye su apreciación razonada y conjunta al amparo de lo establecido en su Reglamento, por lo que:</w:t>
      </w:r>
    </w:p>
    <w:p w:rsidRPr="00B70B6B" w:rsidR="00B70B6B" w:rsidP="00B70B6B" w:rsidRDefault="00B70B6B" w14:paraId="56A947B4" w14:textId="77777777">
      <w:pPr>
        <w:jc w:val="both"/>
        <w:outlineLvl w:val="0"/>
        <w:rPr>
          <w:lang w:val="es-PE"/>
        </w:rPr>
      </w:pPr>
    </w:p>
    <w:bookmarkEnd w:id="4"/>
    <w:p w:rsidR="00B70B6B" w:rsidP="00B70B6B" w:rsidRDefault="00B70B6B" w14:paraId="02134144" w14:textId="77777777">
      <w:pPr>
        <w:jc w:val="both"/>
        <w:outlineLvl w:val="0"/>
        <w:rPr>
          <w:b/>
          <w:bCs/>
          <w:lang w:val="es-PE"/>
        </w:rPr>
      </w:pPr>
      <w:r w:rsidRPr="00B70B6B">
        <w:rPr>
          <w:b/>
          <w:bCs/>
          <w:lang w:val="es-PE"/>
        </w:rPr>
        <w:t>RESUELVE:</w:t>
      </w:r>
    </w:p>
    <w:p w:rsidRPr="00B70B6B" w:rsidR="00B70B6B" w:rsidP="00B70B6B" w:rsidRDefault="00B70B6B" w14:paraId="7B9E0163" w14:textId="77777777">
      <w:pPr>
        <w:jc w:val="both"/>
        <w:outlineLvl w:val="0"/>
        <w:rPr>
          <w:b/>
          <w:bCs/>
          <w:u w:val="single"/>
          <w:lang w:val="es-PE"/>
        </w:rPr>
      </w:pPr>
    </w:p>
    <w:p w:rsidRPr="00B70B6B" w:rsidR="00B70B6B" w:rsidP="00B70B6B" w:rsidRDefault="00B70B6B" w14:paraId="37BB7604" w14:textId="52162DE2">
      <w:pPr>
        <w:jc w:val="both"/>
        <w:outlineLvl w:val="0"/>
        <w:rPr>
          <w:lang w:val="es-PE"/>
        </w:rPr>
      </w:pPr>
      <w:r w:rsidRPr="31C57A80" w:rsidR="00B70B6B">
        <w:rPr>
          <w:lang w:val="es-PE"/>
        </w:rPr>
        <w:t xml:space="preserve">Declarar </w:t>
      </w:r>
      <w:r w:rsidRPr="31C57A80" w:rsidR="00B70B6B">
        <w:rPr>
          <w:b w:val="1"/>
          <w:bCs w:val="1"/>
          <w:lang w:val="es-PE"/>
        </w:rPr>
        <w:t>FUNDADO</w:t>
      </w:r>
      <w:r w:rsidRPr="31C57A80" w:rsidR="00B70B6B">
        <w:rPr>
          <w:lang w:val="es-PE"/>
        </w:rPr>
        <w:t xml:space="preserve"> el reclamo presentado por </w:t>
      </w:r>
      <w:r w:rsidRPr="31C57A80" w:rsidR="64EE36CF">
        <w:rPr>
          <w:b w:val="1"/>
          <w:bCs w:val="1"/>
          <w:lang w:val="es-PE"/>
        </w:rPr>
        <w:t>............................................................</w:t>
      </w:r>
      <w:r w:rsidRPr="31C57A80" w:rsidR="00B70B6B">
        <w:rPr>
          <w:lang w:val="es-PE"/>
        </w:rPr>
        <w:t xml:space="preserve"> contra </w:t>
      </w:r>
      <w:r w:rsidRPr="31C57A80" w:rsidR="2C4F6084">
        <w:rPr>
          <w:b w:val="1"/>
          <w:bCs w:val="1"/>
          <w:lang w:val="es-PE"/>
        </w:rPr>
        <w:t>...............................................................................</w:t>
      </w:r>
      <w:r w:rsidRPr="31C57A80" w:rsidR="00B70B6B">
        <w:rPr>
          <w:lang w:val="es-PE"/>
        </w:rPr>
        <w:t xml:space="preserve"> con relación al rechazo del siniestro sufrido por el vehículo asegurado de placa de rodaje </w:t>
      </w:r>
      <w:r w:rsidRPr="31C57A80" w:rsidR="00B70B6B">
        <w:rPr>
          <w:lang w:val="es-PE"/>
        </w:rPr>
        <w:t>n.°</w:t>
      </w:r>
      <w:r w:rsidRPr="31C57A80" w:rsidR="00B70B6B">
        <w:rPr>
          <w:lang w:val="es-PE"/>
        </w:rPr>
        <w:t xml:space="preserve"> </w:t>
      </w:r>
      <w:r w:rsidRPr="31C57A80" w:rsidR="5C3471B8">
        <w:rPr>
          <w:lang w:val="es-PE"/>
        </w:rPr>
        <w:t>..................</w:t>
      </w:r>
      <w:r w:rsidRPr="31C57A80" w:rsidR="00B70B6B">
        <w:rPr>
          <w:lang w:val="es-PE"/>
        </w:rPr>
        <w:t xml:space="preserve">, conforme a la Póliza </w:t>
      </w:r>
      <w:r w:rsidRPr="31C57A80" w:rsidR="2373BA7C">
        <w:rPr>
          <w:lang w:val="es-PE"/>
        </w:rPr>
        <w:t>............................</w:t>
      </w:r>
      <w:r w:rsidRPr="31C57A80" w:rsidR="00B70B6B">
        <w:rPr>
          <w:lang w:val="es-PE"/>
        </w:rPr>
        <w:t xml:space="preserve">. </w:t>
      </w:r>
    </w:p>
    <w:p w:rsidRPr="00020D94" w:rsidR="00D444FF" w:rsidP="00F239F4" w:rsidRDefault="00D444FF" w14:paraId="5DFEEAE8" w14:textId="77777777">
      <w:pPr>
        <w:jc w:val="both"/>
        <w:outlineLvl w:val="0"/>
        <w:rPr>
          <w:lang w:val="es-PE"/>
        </w:rPr>
      </w:pPr>
    </w:p>
    <w:p w:rsidRPr="00BC4D72" w:rsidR="00804FBA" w:rsidP="00425565" w:rsidRDefault="00F15FBA" w14:paraId="0B8F9BB3" w14:textId="02E706A3">
      <w:pPr>
        <w:jc w:val="right"/>
        <w:outlineLvl w:val="0"/>
        <w:rPr>
          <w:lang w:val="es-PE"/>
        </w:rPr>
      </w:pPr>
      <w:r w:rsidRPr="00BC4D72">
        <w:rPr>
          <w:lang w:val="es-PE"/>
        </w:rPr>
        <w:t>Lima,</w:t>
      </w:r>
      <w:r w:rsidRPr="00BC4D72" w:rsidR="009D4785">
        <w:rPr>
          <w:lang w:val="es-PE"/>
        </w:rPr>
        <w:t xml:space="preserve"> </w:t>
      </w:r>
      <w:r w:rsidR="009C3AB7">
        <w:rPr>
          <w:lang w:val="es-PE"/>
        </w:rPr>
        <w:t>21</w:t>
      </w:r>
      <w:r w:rsidRPr="00BC4D72" w:rsidR="00C70C36">
        <w:rPr>
          <w:lang w:val="es-PE"/>
        </w:rPr>
        <w:t xml:space="preserve"> </w:t>
      </w:r>
      <w:r w:rsidRPr="00BC4D72">
        <w:rPr>
          <w:lang w:val="es-PE"/>
        </w:rPr>
        <w:t>de</w:t>
      </w:r>
      <w:r w:rsidRPr="00BC4D72" w:rsidR="001631D6">
        <w:rPr>
          <w:lang w:val="es-PE"/>
        </w:rPr>
        <w:t xml:space="preserve"> </w:t>
      </w:r>
      <w:r w:rsidRPr="00BC4D72" w:rsidR="005018BF">
        <w:rPr>
          <w:lang w:val="es-PE"/>
        </w:rPr>
        <w:t>ju</w:t>
      </w:r>
      <w:r w:rsidRPr="00BC4D72" w:rsidR="0090565E">
        <w:rPr>
          <w:lang w:val="es-PE"/>
        </w:rPr>
        <w:t>l</w:t>
      </w:r>
      <w:r w:rsidRPr="00BC4D72" w:rsidR="005018BF">
        <w:rPr>
          <w:lang w:val="es-PE"/>
        </w:rPr>
        <w:t>io</w:t>
      </w:r>
      <w:r w:rsidRPr="00BC4D72" w:rsidR="001631D6">
        <w:rPr>
          <w:lang w:val="es-PE"/>
        </w:rPr>
        <w:t xml:space="preserve"> </w:t>
      </w:r>
      <w:r w:rsidRPr="00BC4D72">
        <w:rPr>
          <w:lang w:val="es-PE"/>
        </w:rPr>
        <w:t>de 20</w:t>
      </w:r>
      <w:r w:rsidRPr="00BC4D72" w:rsidR="001631D6">
        <w:rPr>
          <w:lang w:val="es-PE"/>
        </w:rPr>
        <w:t>2</w:t>
      </w:r>
      <w:r w:rsidRPr="00BC4D72" w:rsidR="0073373B">
        <w:rPr>
          <w:lang w:val="es-PE"/>
        </w:rPr>
        <w:t>5</w:t>
      </w:r>
    </w:p>
    <w:p w:rsidRPr="00BC4D72" w:rsidR="00804FBA" w:rsidP="00425565" w:rsidRDefault="00804FBA" w14:paraId="2C8A5CBC" w14:textId="77777777">
      <w:pPr>
        <w:jc w:val="both"/>
        <w:rPr>
          <w:b/>
          <w:bCs/>
          <w:i/>
          <w:iCs/>
          <w:lang w:val="es-ES_tradnl"/>
        </w:rPr>
      </w:pPr>
    </w:p>
    <w:p w:rsidRPr="00BC4D72" w:rsidR="003F73A8" w:rsidP="00425565" w:rsidRDefault="003F73A8" w14:paraId="00714C2C" w14:textId="77777777">
      <w:pPr>
        <w:jc w:val="both"/>
        <w:rPr>
          <w:b/>
          <w:bCs/>
          <w:i/>
          <w:iCs/>
          <w:lang w:val="es-ES_tradnl"/>
        </w:rPr>
      </w:pPr>
      <w:r w:rsidRPr="00BC4D72">
        <w:rPr>
          <w:b/>
          <w:bCs/>
          <w:i/>
          <w:iCs/>
          <w:lang w:val="es-ES_tradnl"/>
        </w:rPr>
        <w:t>La Secretaría Técnica certifica que la presente resolución cuenta con el voto de los vocales cuyos nombres figuran en el presente documento.</w:t>
      </w:r>
    </w:p>
    <w:p w:rsidRPr="00BC4D72" w:rsidR="00707C3F" w:rsidP="00247BE2" w:rsidRDefault="00707C3F" w14:paraId="52D37E4A" w14:textId="77777777">
      <w:pPr>
        <w:spacing w:line="360" w:lineRule="auto"/>
        <w:jc w:val="both"/>
        <w:rPr>
          <w:b/>
          <w:bCs/>
          <w:i/>
          <w:iCs/>
          <w:lang w:val="es-ES_tradnl"/>
        </w:rPr>
      </w:pPr>
    </w:p>
    <w:p w:rsidRPr="00BC4D72" w:rsidR="00707C3F" w:rsidP="00247BE2" w:rsidRDefault="00707C3F" w14:paraId="30ED2D98" w14:textId="547A44C6">
      <w:pPr>
        <w:spacing w:line="360" w:lineRule="auto"/>
        <w:jc w:val="center"/>
        <w:rPr>
          <w:b/>
          <w:bCs/>
        </w:rPr>
      </w:pPr>
      <w:r w:rsidRPr="00BC4D72">
        <w:rPr>
          <w:b/>
          <w:bCs/>
        </w:rPr>
        <w:t xml:space="preserve">Rolando Eyzaguirre </w:t>
      </w:r>
      <w:proofErr w:type="spellStart"/>
      <w:r w:rsidRPr="00BC4D72">
        <w:rPr>
          <w:b/>
          <w:bCs/>
        </w:rPr>
        <w:t>Maccan</w:t>
      </w:r>
      <w:proofErr w:type="spellEnd"/>
      <w:r w:rsidRPr="00BC4D72">
        <w:rPr>
          <w:b/>
          <w:bCs/>
        </w:rPr>
        <w:t xml:space="preserve"> – </w:t>
      </w:r>
      <w:proofErr w:type="gramStart"/>
      <w:r w:rsidRPr="00BC4D72" w:rsidR="00E4456F">
        <w:rPr>
          <w:b/>
          <w:bCs/>
        </w:rPr>
        <w:t>Presidente</w:t>
      </w:r>
      <w:proofErr w:type="gramEnd"/>
    </w:p>
    <w:p w:rsidRPr="00BC4D72" w:rsidR="00BB4CEC" w:rsidP="00247BE2" w:rsidRDefault="00BB4CEC" w14:paraId="01720D6D" w14:textId="7AD41673">
      <w:pPr>
        <w:spacing w:line="360" w:lineRule="auto"/>
        <w:jc w:val="center"/>
        <w:rPr>
          <w:b/>
          <w:bCs/>
        </w:rPr>
      </w:pPr>
      <w:r w:rsidRPr="00BC4D72">
        <w:rPr>
          <w:b/>
          <w:bCs/>
        </w:rPr>
        <w:t>María Eugenia Valdez Fernández Baca –</w:t>
      </w:r>
      <w:r w:rsidRPr="00BC4D72" w:rsidR="00E4456F">
        <w:rPr>
          <w:b/>
          <w:bCs/>
        </w:rPr>
        <w:t xml:space="preserve"> Vocal</w:t>
      </w:r>
      <w:r w:rsidRPr="00BC4D72">
        <w:rPr>
          <w:b/>
          <w:bCs/>
        </w:rPr>
        <w:t xml:space="preserve"> </w:t>
      </w:r>
    </w:p>
    <w:p w:rsidRPr="00BC4D72" w:rsidR="00DD0E29" w:rsidP="00247BE2" w:rsidRDefault="00AD20C0" w14:paraId="487074CF" w14:textId="11EAC2F0">
      <w:pPr>
        <w:spacing w:line="360" w:lineRule="auto"/>
        <w:jc w:val="center"/>
        <w:rPr>
          <w:b/>
          <w:bCs/>
        </w:rPr>
      </w:pPr>
      <w:r w:rsidRPr="00BC4D72">
        <w:rPr>
          <w:b/>
          <w:bCs/>
        </w:rPr>
        <w:t>Antonio José Rodríguez Lobatón – Vocal</w:t>
      </w:r>
    </w:p>
    <w:p w:rsidRPr="00BC4D7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20C6" w:rsidP="005F148C" w:rsidRDefault="009520C6" w14:paraId="2BF0BE56" w14:textId="77777777">
      <w:r>
        <w:separator/>
      </w:r>
    </w:p>
  </w:endnote>
  <w:endnote w:type="continuationSeparator" w:id="0">
    <w:p w:rsidR="009520C6" w:rsidP="005F148C" w:rsidRDefault="009520C6" w14:paraId="443009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20C6" w:rsidP="005F148C" w:rsidRDefault="009520C6" w14:paraId="7B497F88" w14:textId="77777777">
      <w:r>
        <w:separator/>
      </w:r>
    </w:p>
  </w:footnote>
  <w:footnote w:type="continuationSeparator" w:id="0">
    <w:p w:rsidR="009520C6" w:rsidP="005F148C" w:rsidRDefault="009520C6" w14:paraId="3B924173" w14:textId="77777777">
      <w:r>
        <w:continuationSeparator/>
      </w:r>
    </w:p>
  </w:footnote>
  <w:footnote w:id="1">
    <w:p w:rsidRPr="00AE74E3" w:rsidR="00B70B6B" w:rsidP="00B70B6B" w:rsidRDefault="00B70B6B" w14:paraId="2DAB46A8" w14:textId="77777777">
      <w:pPr>
        <w:pStyle w:val="Textonotapie"/>
        <w:tabs>
          <w:tab w:val="left" w:pos="284"/>
        </w:tabs>
        <w:spacing w:after="120"/>
        <w:ind w:left="284" w:hanging="284"/>
        <w:rPr>
          <w:sz w:val="18"/>
          <w:szCs w:val="18"/>
          <w:lang w:val="es-MX"/>
        </w:rPr>
      </w:pPr>
      <w:r w:rsidRPr="00AE74E3">
        <w:rPr>
          <w:rStyle w:val="Refdenotaalpie"/>
          <w:sz w:val="18"/>
          <w:szCs w:val="18"/>
        </w:rPr>
        <w:footnoteRef/>
      </w:r>
      <w:r w:rsidRPr="00AE74E3">
        <w:rPr>
          <w:sz w:val="18"/>
          <w:szCs w:val="18"/>
        </w:rPr>
        <w:t xml:space="preserve"> </w:t>
      </w:r>
      <w:r w:rsidRPr="00AE74E3">
        <w:rPr>
          <w:sz w:val="18"/>
          <w:szCs w:val="18"/>
        </w:rPr>
        <w:tab/>
      </w:r>
      <w:hyperlink w:history="1" r:id="rId1">
        <w:r w:rsidRPr="00AE74E3">
          <w:rPr>
            <w:rStyle w:val="Hipervnculo"/>
            <w:rFonts w:eastAsia="Arial Unicode MS"/>
            <w:sz w:val="18"/>
            <w:szCs w:val="18"/>
            <w:lang w:val="es-PE"/>
          </w:rPr>
          <w:t>http://www.defaseg.com.pe/reglamento</w:t>
        </w:r>
      </w:hyperlink>
      <w:r w:rsidRPr="00AE74E3">
        <w:rPr>
          <w:rFonts w:eastAsia="Arial Unicode MS"/>
          <w:sz w:val="18"/>
          <w:szCs w:val="18"/>
          <w:lang w:val="es-PE"/>
        </w:rPr>
        <w:t xml:space="preserve"> </w:t>
      </w:r>
    </w:p>
  </w:footnote>
  <w:footnote w:id="2">
    <w:p w:rsidRPr="00AE74E3" w:rsidR="00B70B6B" w:rsidP="00B70B6B" w:rsidRDefault="00B70B6B" w14:paraId="1EC2654A" w14:textId="77777777">
      <w:pPr>
        <w:pStyle w:val="Textonotapie"/>
        <w:tabs>
          <w:tab w:val="left" w:pos="284"/>
        </w:tabs>
        <w:spacing w:after="60"/>
        <w:ind w:left="284" w:hanging="284"/>
        <w:rPr>
          <w:rStyle w:val="Hipervnculo"/>
          <w:color w:val="000000" w:themeColor="text1"/>
          <w:sz w:val="18"/>
          <w:szCs w:val="18"/>
          <w:lang w:val="es-PE"/>
        </w:rPr>
      </w:pPr>
      <w:r w:rsidRPr="00AE74E3">
        <w:rPr>
          <w:rStyle w:val="Refdenotaalpie"/>
          <w:sz w:val="18"/>
          <w:szCs w:val="18"/>
        </w:rPr>
        <w:footnoteRef/>
      </w:r>
      <w:r w:rsidRPr="00AE74E3">
        <w:rPr>
          <w:sz w:val="18"/>
          <w:szCs w:val="18"/>
          <w:lang w:val="es-PE"/>
        </w:rPr>
        <w:t xml:space="preserve"> </w:t>
      </w:r>
      <w:r w:rsidRPr="00AE74E3">
        <w:rPr>
          <w:sz w:val="18"/>
          <w:szCs w:val="18"/>
          <w:lang w:val="es-PE"/>
        </w:rPr>
        <w:tab/>
      </w:r>
      <w:r w:rsidRPr="00AE74E3">
        <w:rPr>
          <w:rStyle w:val="Hipervnculo"/>
          <w:b/>
          <w:bCs/>
          <w:color w:val="000000" w:themeColor="text1"/>
          <w:sz w:val="18"/>
          <w:szCs w:val="18"/>
          <w:lang w:val="es-PE"/>
        </w:rPr>
        <w:t>Ley del Contrato de Seguro</w:t>
      </w:r>
    </w:p>
    <w:p w:rsidRPr="00AE74E3" w:rsidR="00B70B6B" w:rsidP="00B70B6B" w:rsidRDefault="00B70B6B" w14:paraId="22B47B96" w14:textId="77777777">
      <w:pPr>
        <w:pStyle w:val="Textonotapie"/>
        <w:tabs>
          <w:tab w:val="left" w:pos="284"/>
        </w:tabs>
        <w:spacing w:after="60"/>
        <w:ind w:left="284" w:hanging="284"/>
        <w:rPr>
          <w:rStyle w:val="Hipervnculo"/>
          <w:b/>
          <w:bCs/>
          <w:color w:val="000000" w:themeColor="text1"/>
          <w:sz w:val="18"/>
          <w:szCs w:val="18"/>
          <w:lang w:val="es-PE"/>
        </w:rPr>
      </w:pPr>
      <w:r w:rsidRPr="00AE74E3">
        <w:rPr>
          <w:rStyle w:val="Hipervnculo"/>
          <w:b/>
          <w:bCs/>
          <w:color w:val="000000" w:themeColor="text1"/>
          <w:sz w:val="18"/>
          <w:szCs w:val="18"/>
          <w:lang w:val="es-PE"/>
        </w:rPr>
        <w:tab/>
      </w:r>
      <w:r w:rsidRPr="00AE74E3">
        <w:rPr>
          <w:rStyle w:val="Hipervnculo"/>
          <w:b/>
          <w:bCs/>
          <w:color w:val="000000" w:themeColor="text1"/>
          <w:sz w:val="18"/>
          <w:szCs w:val="18"/>
          <w:lang w:val="es-PE"/>
        </w:rPr>
        <w:t>Artículo 1.- Definición</w:t>
      </w:r>
    </w:p>
    <w:p w:rsidRPr="00AE74E3" w:rsidR="00B70B6B" w:rsidP="00B70B6B" w:rsidRDefault="00B70B6B" w14:paraId="00F5E9B6" w14:textId="77777777">
      <w:pPr>
        <w:pStyle w:val="Textonotapie"/>
        <w:tabs>
          <w:tab w:val="left" w:pos="284"/>
        </w:tabs>
        <w:spacing w:after="120"/>
        <w:ind w:left="284" w:hanging="284"/>
        <w:rPr>
          <w:rStyle w:val="Hipervnculo"/>
          <w:color w:val="000000" w:themeColor="text1"/>
          <w:sz w:val="18"/>
          <w:szCs w:val="18"/>
          <w:lang w:val="es-PE"/>
        </w:rPr>
      </w:pPr>
      <w:r w:rsidRPr="00AE74E3">
        <w:rPr>
          <w:rStyle w:val="Hipervnculo"/>
          <w:color w:val="000000" w:themeColor="text1"/>
          <w:sz w:val="18"/>
          <w:szCs w:val="18"/>
          <w:lang w:val="es-PE"/>
        </w:rPr>
        <w:tab/>
      </w:r>
      <w:r w:rsidRPr="00AE74E3">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AE74E3" w:rsidR="00B70B6B" w:rsidP="00B70B6B" w:rsidRDefault="00B70B6B" w14:paraId="751391C7" w14:textId="77777777">
      <w:pPr>
        <w:pStyle w:val="Textonotapie"/>
        <w:tabs>
          <w:tab w:val="left" w:pos="284"/>
        </w:tabs>
        <w:spacing w:after="120"/>
        <w:ind w:left="284" w:hanging="284"/>
        <w:rPr>
          <w:b/>
          <w:bCs/>
          <w:sz w:val="18"/>
          <w:szCs w:val="18"/>
        </w:rPr>
      </w:pPr>
      <w:r w:rsidRPr="00AE74E3">
        <w:rPr>
          <w:rStyle w:val="Refdenotaalpie"/>
          <w:sz w:val="18"/>
          <w:szCs w:val="18"/>
        </w:rPr>
        <w:footnoteRef/>
      </w:r>
      <w:r w:rsidRPr="00AE74E3">
        <w:rPr>
          <w:sz w:val="18"/>
          <w:szCs w:val="18"/>
          <w:lang w:val="es-PE"/>
        </w:rPr>
        <w:t xml:space="preserve"> </w:t>
      </w:r>
      <w:r w:rsidRPr="00AE74E3">
        <w:rPr>
          <w:sz w:val="18"/>
          <w:szCs w:val="18"/>
          <w:lang w:val="es-PE"/>
        </w:rPr>
        <w:tab/>
      </w:r>
      <w:r w:rsidRPr="00AE74E3">
        <w:rPr>
          <w:b/>
          <w:bCs/>
          <w:sz w:val="18"/>
          <w:szCs w:val="18"/>
          <w:lang w:val="es-PE"/>
        </w:rPr>
        <w:t>Código Civil</w:t>
      </w:r>
    </w:p>
    <w:p w:rsidRPr="00AE74E3" w:rsidR="00B70B6B" w:rsidP="00B70B6B" w:rsidRDefault="00B70B6B" w14:paraId="0ACC7503" w14:textId="77777777">
      <w:pPr>
        <w:pStyle w:val="Textonotapie"/>
        <w:tabs>
          <w:tab w:val="left" w:pos="284"/>
        </w:tabs>
        <w:spacing w:after="120"/>
        <w:ind w:left="284" w:hanging="284"/>
        <w:rPr>
          <w:sz w:val="18"/>
          <w:szCs w:val="18"/>
          <w:lang w:val="es-PE"/>
        </w:rPr>
      </w:pPr>
      <w:r w:rsidRPr="00AE74E3">
        <w:rPr>
          <w:b/>
          <w:bCs/>
          <w:sz w:val="18"/>
          <w:szCs w:val="18"/>
          <w:lang w:val="es-PE"/>
        </w:rPr>
        <w:tab/>
      </w:r>
      <w:r w:rsidRPr="00AE74E3">
        <w:rPr>
          <w:b/>
          <w:bCs/>
          <w:sz w:val="18"/>
          <w:szCs w:val="18"/>
          <w:lang w:val="es-PE"/>
        </w:rPr>
        <w:t>Artículo 1361.-</w:t>
      </w:r>
      <w:r w:rsidRPr="00AE74E3">
        <w:rPr>
          <w:sz w:val="18"/>
          <w:szCs w:val="18"/>
          <w:lang w:val="es-PE"/>
        </w:rPr>
        <w:t> Los contratos son obligatorios en cuanto se haya expresado en ellos.</w:t>
      </w:r>
    </w:p>
    <w:p w:rsidRPr="00AE74E3" w:rsidR="00B70B6B" w:rsidP="00B70B6B" w:rsidRDefault="00B70B6B" w14:paraId="60B19A87" w14:textId="77777777">
      <w:pPr>
        <w:pStyle w:val="Textonotapie"/>
        <w:tabs>
          <w:tab w:val="left" w:pos="284"/>
        </w:tabs>
        <w:spacing w:after="120"/>
        <w:ind w:left="284" w:hanging="284"/>
        <w:rPr>
          <w:sz w:val="18"/>
          <w:szCs w:val="18"/>
          <w:lang w:val="es-PE"/>
        </w:rPr>
      </w:pPr>
      <w:r w:rsidRPr="00AE74E3">
        <w:rPr>
          <w:sz w:val="18"/>
          <w:szCs w:val="18"/>
          <w:lang w:val="es-PE"/>
        </w:rPr>
        <w:tab/>
      </w:r>
      <w:r w:rsidRPr="00AE74E3">
        <w:rPr>
          <w:sz w:val="18"/>
          <w:szCs w:val="18"/>
          <w:lang w:val="es-PE"/>
        </w:rPr>
        <w:t>Se presume que la declaración expresada en el contrato responde a la voluntad común de las partes y quien niegue esa coincidencia debe probarla.</w:t>
      </w:r>
    </w:p>
  </w:footnote>
  <w:footnote w:id="4">
    <w:p w:rsidRPr="00AE74E3" w:rsidR="00B70B6B" w:rsidP="00B70B6B" w:rsidRDefault="00B70B6B" w14:paraId="18820DDA" w14:textId="77777777">
      <w:pPr>
        <w:pStyle w:val="Textonotapie"/>
        <w:tabs>
          <w:tab w:val="left" w:pos="284"/>
        </w:tabs>
        <w:spacing w:after="120"/>
        <w:ind w:left="284" w:hanging="284"/>
        <w:rPr>
          <w:b/>
          <w:bCs/>
          <w:sz w:val="18"/>
          <w:szCs w:val="18"/>
          <w:lang w:val="es-MX"/>
        </w:rPr>
      </w:pPr>
      <w:r w:rsidRPr="00AE74E3">
        <w:rPr>
          <w:rStyle w:val="Refdenotaalpie"/>
          <w:sz w:val="18"/>
          <w:szCs w:val="18"/>
        </w:rPr>
        <w:footnoteRef/>
      </w:r>
      <w:r w:rsidRPr="00AE74E3">
        <w:rPr>
          <w:sz w:val="18"/>
          <w:szCs w:val="18"/>
          <w:lang w:val="es-PE"/>
        </w:rPr>
        <w:t xml:space="preserve"> </w:t>
      </w:r>
      <w:r w:rsidRPr="00AE74E3">
        <w:rPr>
          <w:sz w:val="18"/>
          <w:szCs w:val="18"/>
          <w:lang w:val="es-PE"/>
        </w:rPr>
        <w:tab/>
      </w:r>
      <w:r w:rsidRPr="00AE74E3">
        <w:rPr>
          <w:b/>
          <w:bCs/>
          <w:sz w:val="18"/>
          <w:szCs w:val="18"/>
          <w:lang w:val="es-MX"/>
        </w:rPr>
        <w:t>Código Procesal Civil</w:t>
      </w:r>
    </w:p>
    <w:p w:rsidRPr="00AE74E3" w:rsidR="00B70B6B" w:rsidP="00B70B6B" w:rsidRDefault="00B70B6B" w14:paraId="505A31BF" w14:textId="77777777">
      <w:pPr>
        <w:pStyle w:val="Textonotapie"/>
        <w:tabs>
          <w:tab w:val="left" w:pos="284"/>
        </w:tabs>
        <w:spacing w:after="120"/>
        <w:ind w:left="284" w:hanging="284"/>
        <w:rPr>
          <w:sz w:val="18"/>
          <w:szCs w:val="18"/>
          <w:lang w:val="es-MX"/>
        </w:rPr>
      </w:pPr>
      <w:r w:rsidRPr="00AE74E3">
        <w:rPr>
          <w:b/>
          <w:bCs/>
          <w:sz w:val="18"/>
          <w:szCs w:val="18"/>
          <w:lang w:val="es-MX"/>
        </w:rPr>
        <w:tab/>
      </w:r>
      <w:r w:rsidRPr="00AE74E3">
        <w:rPr>
          <w:b/>
          <w:bCs/>
          <w:sz w:val="18"/>
          <w:szCs w:val="18"/>
          <w:lang w:val="es-MX"/>
        </w:rPr>
        <w:t>Artículo 196.- Carga de la prueba. -</w:t>
      </w:r>
      <w:r w:rsidRPr="00AE74E3">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AE74E3" w:rsidR="00B70B6B" w:rsidP="00B70B6B" w:rsidRDefault="00B70B6B" w14:paraId="2F334627" w14:textId="77777777">
      <w:pPr>
        <w:pStyle w:val="Textonotapie"/>
        <w:tabs>
          <w:tab w:val="left" w:pos="284"/>
        </w:tabs>
        <w:spacing w:after="120"/>
        <w:ind w:left="284" w:hanging="284"/>
        <w:rPr>
          <w:b/>
          <w:bCs/>
          <w:sz w:val="18"/>
          <w:szCs w:val="18"/>
          <w:lang w:val="es-MX"/>
        </w:rPr>
      </w:pPr>
      <w:r w:rsidRPr="00AE74E3">
        <w:rPr>
          <w:rStyle w:val="Refdenotaalpie"/>
          <w:sz w:val="18"/>
          <w:szCs w:val="18"/>
        </w:rPr>
        <w:footnoteRef/>
      </w:r>
      <w:r w:rsidRPr="00AE74E3">
        <w:rPr>
          <w:sz w:val="18"/>
          <w:szCs w:val="18"/>
        </w:rPr>
        <w:t xml:space="preserve"> </w:t>
      </w:r>
      <w:r w:rsidRPr="00AE74E3">
        <w:rPr>
          <w:sz w:val="18"/>
          <w:szCs w:val="18"/>
        </w:rPr>
        <w:tab/>
      </w:r>
      <w:r w:rsidRPr="00AE74E3">
        <w:rPr>
          <w:b/>
          <w:bCs/>
          <w:sz w:val="18"/>
          <w:szCs w:val="18"/>
        </w:rPr>
        <w:t>Reglamento de la DEFASEG</w:t>
      </w:r>
    </w:p>
    <w:p w:rsidRPr="00AE74E3" w:rsidR="00B70B6B" w:rsidP="00B70B6B" w:rsidRDefault="00B70B6B" w14:paraId="5D1710DF" w14:textId="77777777">
      <w:pPr>
        <w:pStyle w:val="Textonotapie"/>
        <w:tabs>
          <w:tab w:val="left" w:pos="284"/>
        </w:tabs>
        <w:spacing w:after="120"/>
        <w:ind w:left="284" w:hanging="284"/>
        <w:rPr>
          <w:rStyle w:val="Hipervnculo"/>
          <w:color w:val="000000" w:themeColor="text1"/>
          <w:sz w:val="18"/>
          <w:szCs w:val="18"/>
          <w:lang w:val="es-PE"/>
        </w:rPr>
      </w:pPr>
      <w:r w:rsidRPr="00AE74E3">
        <w:rPr>
          <w:rStyle w:val="Hipervnculo"/>
          <w:b/>
          <w:bCs/>
          <w:color w:val="000000" w:themeColor="text1"/>
          <w:sz w:val="18"/>
          <w:szCs w:val="18"/>
          <w:lang w:val="es-PE"/>
        </w:rPr>
        <w:tab/>
      </w:r>
      <w:r w:rsidRPr="00AE74E3">
        <w:rPr>
          <w:rStyle w:val="Hipervnculo"/>
          <w:b/>
          <w:bCs/>
          <w:color w:val="000000" w:themeColor="text1"/>
          <w:sz w:val="18"/>
          <w:szCs w:val="18"/>
          <w:lang w:val="es-PE"/>
        </w:rPr>
        <w:t xml:space="preserve">4. Competencia </w:t>
      </w:r>
    </w:p>
    <w:p w:rsidRPr="00AE74E3" w:rsidR="00B70B6B" w:rsidP="00B70B6B" w:rsidRDefault="00B70B6B" w14:paraId="58EF1885" w14:textId="77777777">
      <w:pPr>
        <w:pStyle w:val="Textonotapie"/>
        <w:tabs>
          <w:tab w:val="left" w:pos="284"/>
        </w:tabs>
        <w:spacing w:after="120"/>
        <w:ind w:left="284" w:hanging="284"/>
        <w:rPr>
          <w:rStyle w:val="Hipervnculo"/>
          <w:color w:val="000000" w:themeColor="text1"/>
          <w:sz w:val="18"/>
          <w:szCs w:val="18"/>
          <w:lang w:val="es-PE"/>
        </w:rPr>
      </w:pPr>
      <w:r w:rsidRPr="00AE74E3">
        <w:rPr>
          <w:rStyle w:val="Hipervnculo"/>
          <w:color w:val="000000" w:themeColor="text1"/>
          <w:sz w:val="18"/>
          <w:szCs w:val="18"/>
          <w:lang w:val="es-PE"/>
        </w:rPr>
        <w:tab/>
      </w:r>
      <w:r w:rsidRPr="00AE74E3">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AE74E3" w:rsidR="00B70B6B" w:rsidP="00B70B6B" w:rsidRDefault="00B70B6B" w14:paraId="678C9A87" w14:textId="77777777">
      <w:pPr>
        <w:pStyle w:val="Textonotapie"/>
        <w:tabs>
          <w:tab w:val="left" w:pos="284"/>
          <w:tab w:val="left" w:pos="567"/>
        </w:tabs>
        <w:spacing w:after="120"/>
        <w:ind w:left="567" w:hanging="567"/>
        <w:rPr>
          <w:rStyle w:val="Hipervnculo"/>
          <w:color w:val="000000" w:themeColor="text1"/>
          <w:sz w:val="18"/>
          <w:szCs w:val="18"/>
          <w:lang w:val="es-PE"/>
        </w:rPr>
      </w:pPr>
      <w:r w:rsidRPr="00AE74E3">
        <w:rPr>
          <w:rStyle w:val="Hipervnculo"/>
          <w:color w:val="000000" w:themeColor="text1"/>
          <w:sz w:val="18"/>
          <w:szCs w:val="18"/>
          <w:lang w:val="es-PE"/>
        </w:rPr>
        <w:tab/>
      </w:r>
      <w:r w:rsidRPr="00AE74E3">
        <w:rPr>
          <w:rStyle w:val="Hipervnculo"/>
          <w:color w:val="000000" w:themeColor="text1"/>
          <w:sz w:val="18"/>
          <w:szCs w:val="18"/>
          <w:lang w:val="es-PE"/>
        </w:rPr>
        <w:t xml:space="preserve">1. </w:t>
      </w:r>
      <w:r w:rsidRPr="00AE74E3">
        <w:rPr>
          <w:rStyle w:val="Hipervnculo"/>
          <w:color w:val="000000" w:themeColor="text1"/>
          <w:sz w:val="18"/>
          <w:szCs w:val="18"/>
          <w:lang w:val="es-PE"/>
        </w:rPr>
        <w:tab/>
      </w:r>
      <w:r w:rsidRPr="00AE74E3">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AE74E3" w:rsidR="00B70B6B" w:rsidP="00B70B6B" w:rsidRDefault="00B70B6B" w14:paraId="181122AF" w14:textId="77777777">
      <w:pPr>
        <w:pStyle w:val="Textonotapie"/>
        <w:tabs>
          <w:tab w:val="left" w:pos="284"/>
          <w:tab w:val="left" w:pos="567"/>
        </w:tabs>
        <w:spacing w:after="120"/>
        <w:ind w:left="567" w:hanging="567"/>
        <w:rPr>
          <w:rStyle w:val="Hipervnculo"/>
          <w:color w:val="000000" w:themeColor="text1"/>
          <w:sz w:val="18"/>
          <w:szCs w:val="18"/>
          <w:lang w:val="es-PE"/>
        </w:rPr>
      </w:pPr>
      <w:r w:rsidRPr="00AE74E3">
        <w:rPr>
          <w:rStyle w:val="Hipervnculo"/>
          <w:color w:val="000000" w:themeColor="text1"/>
          <w:sz w:val="18"/>
          <w:szCs w:val="18"/>
          <w:lang w:val="es-PE"/>
        </w:rPr>
        <w:tab/>
      </w:r>
      <w:r w:rsidRPr="00AE74E3">
        <w:rPr>
          <w:rStyle w:val="Hipervnculo"/>
          <w:color w:val="000000" w:themeColor="text1"/>
          <w:sz w:val="18"/>
          <w:szCs w:val="18"/>
          <w:lang w:val="es-PE"/>
        </w:rPr>
        <w:t xml:space="preserve">2. </w:t>
      </w:r>
      <w:r w:rsidRPr="00AE74E3">
        <w:rPr>
          <w:rStyle w:val="Hipervnculo"/>
          <w:color w:val="000000" w:themeColor="text1"/>
          <w:sz w:val="18"/>
          <w:szCs w:val="18"/>
          <w:lang w:val="es-PE"/>
        </w:rPr>
        <w:tab/>
      </w:r>
      <w:r w:rsidRPr="00AE74E3">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AE74E3" w:rsidR="00B70B6B" w:rsidP="00B70B6B" w:rsidRDefault="00B70B6B" w14:paraId="646C4DCB" w14:textId="77777777">
      <w:pPr>
        <w:pStyle w:val="Textonotapie"/>
        <w:tabs>
          <w:tab w:val="left" w:pos="284"/>
          <w:tab w:val="left" w:pos="567"/>
        </w:tabs>
        <w:spacing w:after="120"/>
        <w:ind w:left="567" w:hanging="567"/>
        <w:rPr>
          <w:rStyle w:val="Hipervnculo"/>
          <w:color w:val="000000" w:themeColor="text1"/>
          <w:sz w:val="18"/>
          <w:szCs w:val="18"/>
          <w:lang w:val="es-PE"/>
        </w:rPr>
      </w:pPr>
      <w:r w:rsidRPr="00AE74E3">
        <w:rPr>
          <w:rStyle w:val="Hipervnculo"/>
          <w:color w:val="000000" w:themeColor="text1"/>
          <w:sz w:val="18"/>
          <w:szCs w:val="18"/>
          <w:lang w:val="es-PE"/>
        </w:rPr>
        <w:tab/>
      </w:r>
      <w:r w:rsidRPr="00AE74E3">
        <w:rPr>
          <w:rStyle w:val="Hipervnculo"/>
          <w:color w:val="000000" w:themeColor="text1"/>
          <w:sz w:val="18"/>
          <w:szCs w:val="18"/>
          <w:lang w:val="es-PE"/>
        </w:rPr>
        <w:t xml:space="preserve">3. </w:t>
      </w:r>
      <w:r w:rsidRPr="00AE74E3">
        <w:rPr>
          <w:rStyle w:val="Hipervnculo"/>
          <w:color w:val="000000" w:themeColor="text1"/>
          <w:sz w:val="18"/>
          <w:szCs w:val="18"/>
          <w:lang w:val="es-PE"/>
        </w:rPr>
        <w:tab/>
      </w:r>
      <w:r w:rsidRPr="00AE74E3">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AE74E3" w:rsidR="00B70B6B" w:rsidP="00B70B6B" w:rsidRDefault="00B70B6B" w14:paraId="29F143C2" w14:textId="77777777">
      <w:pPr>
        <w:pStyle w:val="Textonotapie"/>
        <w:tabs>
          <w:tab w:val="left" w:pos="284"/>
        </w:tabs>
        <w:spacing w:after="120"/>
        <w:ind w:left="284" w:hanging="284"/>
        <w:rPr>
          <w:sz w:val="18"/>
          <w:szCs w:val="18"/>
        </w:rPr>
      </w:pPr>
      <w:r w:rsidRPr="00AE74E3">
        <w:rPr>
          <w:rStyle w:val="Refdenotaalpie"/>
          <w:sz w:val="18"/>
          <w:szCs w:val="18"/>
        </w:rPr>
        <w:footnoteRef/>
      </w:r>
      <w:r w:rsidRPr="00AE74E3">
        <w:rPr>
          <w:sz w:val="18"/>
          <w:szCs w:val="18"/>
        </w:rPr>
        <w:t xml:space="preserve"> </w:t>
      </w:r>
      <w:r w:rsidRPr="00AE74E3">
        <w:rPr>
          <w:sz w:val="18"/>
          <w:szCs w:val="18"/>
        </w:rPr>
        <w:tab/>
      </w:r>
      <w:r w:rsidRPr="00AE74E3">
        <w:rPr>
          <w:sz w:val="18"/>
          <w:szCs w:val="18"/>
          <w:lang w:val="es-PE"/>
        </w:rPr>
        <w:t xml:space="preserve">Véase, Resolución </w:t>
      </w:r>
      <w:proofErr w:type="spellStart"/>
      <w:r w:rsidRPr="00AE74E3">
        <w:rPr>
          <w:sz w:val="18"/>
          <w:szCs w:val="18"/>
          <w:lang w:val="es-PE"/>
        </w:rPr>
        <w:t>n.°</w:t>
      </w:r>
      <w:proofErr w:type="spellEnd"/>
      <w:r w:rsidRPr="00AE74E3">
        <w:rPr>
          <w:sz w:val="18"/>
          <w:szCs w:val="18"/>
          <w:lang w:val="es-PE"/>
        </w:rPr>
        <w:t xml:space="preserve"> 246/23 (</w:t>
      </w:r>
      <w:r w:rsidRPr="00AE74E3">
        <w:rPr>
          <w:i/>
          <w:iCs/>
          <w:sz w:val="18"/>
          <w:szCs w:val="18"/>
          <w:u w:val="single"/>
          <w:lang w:val="es-PE"/>
        </w:rPr>
        <w:t xml:space="preserve">Expediente </w:t>
      </w:r>
      <w:proofErr w:type="spellStart"/>
      <w:r w:rsidRPr="00AE74E3">
        <w:rPr>
          <w:i/>
          <w:iCs/>
          <w:sz w:val="18"/>
          <w:szCs w:val="18"/>
          <w:u w:val="single"/>
          <w:lang w:val="es-PE"/>
        </w:rPr>
        <w:t>n.°</w:t>
      </w:r>
      <w:proofErr w:type="spellEnd"/>
      <w:r w:rsidRPr="00AE74E3">
        <w:rPr>
          <w:i/>
          <w:iCs/>
          <w:sz w:val="18"/>
          <w:szCs w:val="18"/>
          <w:u w:val="single"/>
          <w:lang w:val="es-PE"/>
        </w:rPr>
        <w:t xml:space="preserve"> 5734, Caso Ríos Piccini v Rimac</w:t>
      </w:r>
      <w:r w:rsidRPr="00AE74E3">
        <w:rPr>
          <w:sz w:val="18"/>
          <w:szCs w:val="18"/>
          <w:lang w:val="es-PE"/>
        </w:rPr>
        <w:t>) del 18 de diciembre de 2023.</w:t>
      </w:r>
    </w:p>
  </w:footnote>
  <w:footnote w:id="7">
    <w:p w:rsidR="00B70B6B" w:rsidP="00B70B6B" w:rsidRDefault="00B70B6B" w14:paraId="27C1293E" w14:textId="69EC0C5B">
      <w:pPr>
        <w:pStyle w:val="Textonotapie"/>
        <w:tabs>
          <w:tab w:val="left" w:pos="284"/>
        </w:tabs>
        <w:spacing w:after="120"/>
        <w:ind w:left="284" w:hanging="284"/>
        <w:rPr>
          <w:rFonts w:ascii="Georgia" w:hAnsi="Georgia"/>
          <w:lang w:val="es-PE"/>
        </w:rPr>
      </w:pPr>
      <w:r w:rsidRPr="00AE74E3">
        <w:rPr>
          <w:rStyle w:val="Refdenotaalpie"/>
          <w:sz w:val="18"/>
          <w:szCs w:val="18"/>
        </w:rPr>
        <w:footnoteRef/>
      </w:r>
      <w:r w:rsidRPr="00AE74E3" w:rsidR="31C57A80">
        <w:rPr>
          <w:sz w:val="18"/>
          <w:szCs w:val="18"/>
        </w:rPr>
        <w:t xml:space="preserve"> </w:t>
      </w:r>
      <w:r w:rsidRPr="00AE74E3">
        <w:rPr>
          <w:sz w:val="18"/>
          <w:szCs w:val="18"/>
        </w:rPr>
        <w:tab/>
      </w:r>
      <w:r w:rsidRPr="00AE74E3" w:rsidR="31C57A80">
        <w:rPr>
          <w:sz w:val="18"/>
          <w:szCs w:val="18"/>
        </w:rPr>
        <w:t xml:space="preserve">Véase </w:t>
      </w:r>
      <w:r w:rsidRPr="00AE74E3" w:rsidR="31C57A80">
        <w:rPr>
          <w:sz w:val="18"/>
          <w:szCs w:val="18"/>
          <w:lang w:val="es-PE"/>
        </w:rPr>
        <w:t xml:space="preserve">Resolución DEFASEG </w:t>
      </w:r>
      <w:r w:rsidRPr="00AE74E3" w:rsidR="31C57A80">
        <w:rPr>
          <w:sz w:val="18"/>
          <w:szCs w:val="18"/>
          <w:lang w:val="es-PE"/>
        </w:rPr>
        <w:t>n.°</w:t>
      </w:r>
      <w:r w:rsidRPr="00AE74E3" w:rsidR="31C57A80">
        <w:rPr>
          <w:sz w:val="18"/>
          <w:szCs w:val="18"/>
          <w:lang w:val="es-PE"/>
        </w:rPr>
        <w:t xml:space="preserve"> 46/16 (Exped</w:t>
      </w:r>
      <w:r w:rsidRPr="31C57A80" w:rsidR="31C57A80">
        <w:rPr>
          <w:i w:val="1"/>
          <w:iCs w:val="1"/>
          <w:sz w:val="18"/>
          <w:szCs w:val="18"/>
          <w:u w:val="single"/>
          <w:lang w:val="es-PE"/>
        </w:rPr>
        <w:t xml:space="preserve">iente </w:t>
      </w:r>
      <w:r w:rsidRPr="31C57A80" w:rsidR="31C57A80">
        <w:rPr>
          <w:i w:val="1"/>
          <w:iCs w:val="1"/>
          <w:sz w:val="18"/>
          <w:szCs w:val="18"/>
          <w:u w:val="single"/>
          <w:lang w:val="es-PE"/>
        </w:rPr>
        <w:t>n.°</w:t>
      </w:r>
      <w:r w:rsidRPr="31C57A80" w:rsidR="31C57A80">
        <w:rPr>
          <w:i w:val="1"/>
          <w:iCs w:val="1"/>
          <w:sz w:val="18"/>
          <w:szCs w:val="18"/>
          <w:u w:val="single"/>
          <w:lang w:val="es-PE"/>
        </w:rPr>
        <w:t xml:space="preserve"> 3197, Caso Swift Transportes, Cargo y Logísticas Integrales v </w:t>
      </w:r>
      <w:r w:rsidRPr="31C57A80" w:rsidR="31C57A80">
        <w:rPr>
          <w:i w:val="1"/>
          <w:iCs w:val="1"/>
          <w:sz w:val="18"/>
          <w:szCs w:val="18"/>
          <w:u w:val="single"/>
          <w:lang w:val="es-PE"/>
        </w:rPr>
        <w:t xml:space="preserve">................</w:t>
      </w:r>
      <w:r w:rsidRPr="00AE74E3" w:rsidR="31C57A80">
        <w:rPr>
          <w:sz w:val="18"/>
          <w:szCs w:val="18"/>
          <w:lang w:val="es-PE"/>
        </w:rPr>
        <w:t xml:space="preserve">) del 25 de abril de 2016; Resolución DEFASEG </w:t>
      </w:r>
      <w:r w:rsidRPr="00AE74E3" w:rsidR="31C57A80">
        <w:rPr>
          <w:sz w:val="18"/>
          <w:szCs w:val="18"/>
          <w:lang w:val="es-PE"/>
        </w:rPr>
        <w:t>n.°</w:t>
      </w:r>
      <w:r w:rsidRPr="00AE74E3" w:rsidR="31C57A80">
        <w:rPr>
          <w:sz w:val="18"/>
          <w:szCs w:val="18"/>
          <w:lang w:val="es-PE"/>
        </w:rPr>
        <w:t xml:space="preserve"> 90/16 (</w:t>
      </w:r>
      <w:r w:rsidRPr="31C57A80" w:rsidR="31C57A80">
        <w:rPr>
          <w:i w:val="1"/>
          <w:iCs w:val="1"/>
          <w:sz w:val="18"/>
          <w:szCs w:val="18"/>
          <w:u w:val="single"/>
          <w:lang w:val="es-PE"/>
        </w:rPr>
        <w:t xml:space="preserve">Expediente </w:t>
      </w:r>
      <w:r w:rsidRPr="31C57A80" w:rsidR="31C57A80">
        <w:rPr>
          <w:i w:val="1"/>
          <w:iCs w:val="1"/>
          <w:sz w:val="18"/>
          <w:szCs w:val="18"/>
          <w:u w:val="single"/>
          <w:lang w:val="es-PE"/>
        </w:rPr>
        <w:t>n.°</w:t>
      </w:r>
      <w:r w:rsidRPr="31C57A80" w:rsidR="31C57A80">
        <w:rPr>
          <w:i w:val="1"/>
          <w:iCs w:val="1"/>
          <w:sz w:val="18"/>
          <w:szCs w:val="18"/>
          <w:u w:val="single"/>
          <w:lang w:val="es-PE"/>
        </w:rPr>
        <w:t xml:space="preserve"> 3272; Caso Bellido Sante v La Positiva</w:t>
      </w:r>
      <w:r w:rsidRPr="00AE74E3" w:rsidR="31C57A80">
        <w:rPr>
          <w:sz w:val="18"/>
          <w:szCs w:val="18"/>
          <w:lang w:val="es-PE"/>
        </w:rPr>
        <w:t xml:space="preserve">) de fecha 8 de agosto de 2016; Resolución DEFASEG </w:t>
      </w:r>
      <w:r w:rsidRPr="00AE74E3" w:rsidR="31C57A80">
        <w:rPr>
          <w:sz w:val="18"/>
          <w:szCs w:val="18"/>
          <w:lang w:val="es-PE"/>
        </w:rPr>
        <w:t>n.°</w:t>
      </w:r>
      <w:r w:rsidRPr="00AE74E3" w:rsidR="31C57A80">
        <w:rPr>
          <w:sz w:val="18"/>
          <w:szCs w:val="18"/>
          <w:lang w:val="es-PE"/>
        </w:rPr>
        <w:t xml:space="preserve"> 124/16 (</w:t>
      </w:r>
      <w:r w:rsidRPr="31C57A80" w:rsidR="31C57A80">
        <w:rPr>
          <w:i w:val="1"/>
          <w:iCs w:val="1"/>
          <w:sz w:val="18"/>
          <w:szCs w:val="18"/>
          <w:u w:val="single"/>
          <w:lang w:val="es-PE"/>
        </w:rPr>
        <w:t xml:space="preserve">Expediente </w:t>
      </w:r>
      <w:r w:rsidRPr="31C57A80" w:rsidR="31C57A80">
        <w:rPr>
          <w:i w:val="1"/>
          <w:iCs w:val="1"/>
          <w:sz w:val="18"/>
          <w:szCs w:val="18"/>
          <w:u w:val="single"/>
          <w:lang w:val="es-PE"/>
        </w:rPr>
        <w:t>n.°</w:t>
      </w:r>
      <w:r w:rsidRPr="31C57A80" w:rsidR="31C57A80">
        <w:rPr>
          <w:i w:val="1"/>
          <w:iCs w:val="1"/>
          <w:sz w:val="18"/>
          <w:szCs w:val="18"/>
          <w:u w:val="single"/>
          <w:lang w:val="es-PE"/>
        </w:rPr>
        <w:t xml:space="preserve"> 3283, Caso Peruana de Energía y Combustibles v La Positiva</w:t>
      </w:r>
      <w:r w:rsidRPr="00AE74E3" w:rsidR="31C57A80">
        <w:rPr>
          <w:sz w:val="18"/>
          <w:szCs w:val="18"/>
          <w:lang w:val="es-PE"/>
        </w:rPr>
        <w:t xml:space="preserve">) del 31 de octubre de 2016; Resolución DEFASEG </w:t>
      </w:r>
      <w:r w:rsidRPr="00AE74E3" w:rsidR="31C57A80">
        <w:rPr>
          <w:sz w:val="18"/>
          <w:szCs w:val="18"/>
          <w:lang w:val="es-PE"/>
        </w:rPr>
        <w:t>n.°</w:t>
      </w:r>
      <w:r w:rsidRPr="00AE74E3" w:rsidR="31C57A80">
        <w:rPr>
          <w:sz w:val="18"/>
          <w:szCs w:val="18"/>
          <w:lang w:val="es-PE"/>
        </w:rPr>
        <w:t xml:space="preserve"> 146/23 (</w:t>
      </w:r>
      <w:r w:rsidRPr="31C57A80" w:rsidR="31C57A80">
        <w:rPr>
          <w:i w:val="1"/>
          <w:iCs w:val="1"/>
          <w:sz w:val="18"/>
          <w:szCs w:val="18"/>
          <w:u w:val="single"/>
          <w:lang w:val="es-PE"/>
        </w:rPr>
        <w:t xml:space="preserve">Expediente </w:t>
      </w:r>
      <w:r w:rsidRPr="31C57A80" w:rsidR="31C57A80">
        <w:rPr>
          <w:i w:val="1"/>
          <w:iCs w:val="1"/>
          <w:sz w:val="18"/>
          <w:szCs w:val="18"/>
          <w:u w:val="single"/>
          <w:lang w:val="es-PE"/>
        </w:rPr>
        <w:t>n.°</w:t>
      </w:r>
      <w:r w:rsidRPr="31C57A80" w:rsidR="31C57A80">
        <w:rPr>
          <w:i w:val="1"/>
          <w:iCs w:val="1"/>
          <w:sz w:val="18"/>
          <w:szCs w:val="18"/>
          <w:u w:val="single"/>
          <w:lang w:val="es-PE"/>
        </w:rPr>
        <w:t xml:space="preserve"> 5479, Caso CARGO v Mapfre</w:t>
      </w:r>
      <w:r w:rsidRPr="00AE74E3" w:rsidR="31C57A80">
        <w:rPr>
          <w:sz w:val="18"/>
          <w:szCs w:val="18"/>
          <w:lang w:val="es-PE"/>
        </w:rPr>
        <w:t xml:space="preserve">); y, Resolución DEFASEG </w:t>
      </w:r>
      <w:r w:rsidRPr="00AE74E3" w:rsidR="31C57A80">
        <w:rPr>
          <w:sz w:val="18"/>
          <w:szCs w:val="18"/>
          <w:lang w:val="es-PE"/>
        </w:rPr>
        <w:t>n.°</w:t>
      </w:r>
      <w:r w:rsidRPr="00AE74E3" w:rsidR="31C57A80">
        <w:rPr>
          <w:sz w:val="18"/>
          <w:szCs w:val="18"/>
          <w:lang w:val="es-PE"/>
        </w:rPr>
        <w:t xml:space="preserve"> 52/25 (</w:t>
      </w:r>
      <w:r w:rsidRPr="31C57A80" w:rsidR="31C57A80">
        <w:rPr>
          <w:i w:val="1"/>
          <w:iCs w:val="1"/>
          <w:sz w:val="18"/>
          <w:szCs w:val="18"/>
          <w:u w:val="single"/>
          <w:lang w:val="es-PE"/>
        </w:rPr>
        <w:t xml:space="preserve">Expediente </w:t>
      </w:r>
      <w:r w:rsidRPr="31C57A80" w:rsidR="31C57A80">
        <w:rPr>
          <w:i w:val="1"/>
          <w:iCs w:val="1"/>
          <w:sz w:val="18"/>
          <w:szCs w:val="18"/>
          <w:u w:val="single"/>
          <w:lang w:val="es-PE"/>
        </w:rPr>
        <w:t>n.°</w:t>
      </w:r>
      <w:r w:rsidRPr="31C57A80" w:rsidR="31C57A80">
        <w:rPr>
          <w:i w:val="1"/>
          <w:iCs w:val="1"/>
          <w:sz w:val="18"/>
          <w:szCs w:val="18"/>
          <w:u w:val="single"/>
          <w:lang w:val="es-PE"/>
        </w:rPr>
        <w:t xml:space="preserve"> 6150; Caso </w:t>
      </w:r>
      <w:r w:rsidRPr="31C57A80" w:rsidR="31C57A80">
        <w:rPr>
          <w:i w:val="1"/>
          <w:iCs w:val="1"/>
          <w:sz w:val="18"/>
          <w:szCs w:val="18"/>
          <w:u w:val="single"/>
          <w:lang w:val="es-PE"/>
        </w:rPr>
        <w:t>Mediark</w:t>
      </w:r>
      <w:r w:rsidRPr="31C57A80" w:rsidR="31C57A80">
        <w:rPr>
          <w:i w:val="1"/>
          <w:iCs w:val="1"/>
          <w:sz w:val="18"/>
          <w:szCs w:val="18"/>
          <w:u w:val="single"/>
          <w:lang w:val="es-PE"/>
        </w:rPr>
        <w:t xml:space="preserve"> BTL v MAPFRE</w:t>
      </w:r>
      <w:r w:rsidRPr="00AE74E3" w:rsidR="31C57A80">
        <w:rPr>
          <w:sz w:val="18"/>
          <w:szCs w:val="18"/>
          <w:lang w:val="es-PE"/>
        </w:rPr>
        <w:t>) de fecha 3 de abril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3"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7"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1"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2"/>
  </w:num>
  <w:num w:numId="7" w16cid:durableId="14026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8"/>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5"/>
  </w:num>
  <w:num w:numId="25" w16cid:durableId="20634041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0"/>
  </w:num>
  <w:num w:numId="35" w16cid:durableId="1259676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5"/>
  </w:num>
  <w:num w:numId="39" w16cid:durableId="375400375">
    <w:abstractNumId w:val="3"/>
  </w:num>
  <w:num w:numId="40" w16cid:durableId="15364629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2"/>
  </w:num>
  <w:num w:numId="42" w16cid:durableId="1367632935">
    <w:abstractNumId w:val="56"/>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9"/>
  </w:num>
  <w:num w:numId="48" w16cid:durableId="1820147613">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9"/>
  </w:num>
  <w:num w:numId="50" w16cid:durableId="1221936204">
    <w:abstractNumId w:val="31"/>
  </w:num>
  <w:num w:numId="51" w16cid:durableId="1578200737">
    <w:abstractNumId w:val="21"/>
  </w:num>
  <w:num w:numId="52" w16cid:durableId="2045446585">
    <w:abstractNumId w:val="26"/>
  </w:num>
  <w:num w:numId="53" w16cid:durableId="236061337">
    <w:abstractNumId w:val="5"/>
  </w:num>
  <w:num w:numId="54" w16cid:durableId="908076149">
    <w:abstractNumId w:val="2"/>
  </w:num>
  <w:num w:numId="55" w16cid:durableId="1301306779">
    <w:abstractNumId w:val="12"/>
  </w:num>
  <w:num w:numId="56" w16cid:durableId="1375540179">
    <w:abstractNumId w:val="54"/>
  </w:num>
  <w:num w:numId="57" w16cid:durableId="605236648">
    <w:abstractNumId w:val="0"/>
  </w:num>
  <w:num w:numId="58" w16cid:durableId="1927105074">
    <w:abstractNumId w:val="1"/>
  </w:num>
  <w:num w:numId="59" w16cid:durableId="1205754912">
    <w:abstractNumId w:val="8"/>
  </w:num>
  <w:num w:numId="60" w16cid:durableId="616185200">
    <w:abstractNumId w:val="32"/>
  </w:num>
  <w:num w:numId="61" w16cid:durableId="1446466692">
    <w:abstractNumId w:val="35"/>
  </w:num>
  <w:num w:numId="62" w16cid:durableId="1725787118">
    <w:abstractNumId w:val="1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37EF6D6"/>
    <w:rsid w:val="06C8A5A9"/>
    <w:rsid w:val="1077BC3C"/>
    <w:rsid w:val="10B6F33F"/>
    <w:rsid w:val="17917450"/>
    <w:rsid w:val="18A20234"/>
    <w:rsid w:val="1A51140B"/>
    <w:rsid w:val="1FA91264"/>
    <w:rsid w:val="2373BA7C"/>
    <w:rsid w:val="27FECEA0"/>
    <w:rsid w:val="2B58F2CE"/>
    <w:rsid w:val="2C4F6084"/>
    <w:rsid w:val="3197FDF2"/>
    <w:rsid w:val="31C57A80"/>
    <w:rsid w:val="341B126C"/>
    <w:rsid w:val="35B8FA30"/>
    <w:rsid w:val="3BD873D7"/>
    <w:rsid w:val="4010F68A"/>
    <w:rsid w:val="464C0340"/>
    <w:rsid w:val="46A975CD"/>
    <w:rsid w:val="4BA6D193"/>
    <w:rsid w:val="4D518C88"/>
    <w:rsid w:val="555991E5"/>
    <w:rsid w:val="568BB6E9"/>
    <w:rsid w:val="57FD1FE2"/>
    <w:rsid w:val="5C3471B8"/>
    <w:rsid w:val="64EE36CF"/>
    <w:rsid w:val="669B114D"/>
    <w:rsid w:val="66C7D6E7"/>
    <w:rsid w:val="70416C6C"/>
    <w:rsid w:val="7637A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7da774c522554fe5" Type="http://schemas.openxmlformats.org/officeDocument/2006/relationships/hyperlink" Target="mailto:fvalverde@megacorredores.pe"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5F1282-E9F2-4B61-85E6-ADF7BFD6FA1E}"/>
</file>

<file path=customXml/itemProps3.xml><?xml version="1.0" encoding="utf-8"?>
<ds:datastoreItem xmlns:ds="http://schemas.openxmlformats.org/officeDocument/2006/customXml" ds:itemID="{6133A333-83D0-4ADF-B296-17F45AE0C3C4}"/>
</file>

<file path=customXml/itemProps4.xml><?xml version="1.0" encoding="utf-8"?>
<ds:datastoreItem xmlns:ds="http://schemas.openxmlformats.org/officeDocument/2006/customXml" ds:itemID="{6F1F2DEA-9DBC-440C-B5BE-CA15E25806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647</cp:revision>
  <cp:lastPrinted>2025-07-31T18:33:00Z</cp:lastPrinted>
  <dcterms:created xsi:type="dcterms:W3CDTF">2023-06-22T13:57:00Z</dcterms:created>
  <dcterms:modified xsi:type="dcterms:W3CDTF">2026-04-14T14:40:55Z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