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F158D" w:rsidR="002F158D" w:rsidP="002F158D" w:rsidRDefault="00F15FBA" w14:paraId="47C03570" w14:textId="61A5397C">
      <w:pPr>
        <w:pStyle w:val="Ttulo"/>
        <w:outlineLvl w:val="0"/>
        <w:rPr>
          <w:sz w:val="23"/>
          <w:szCs w:val="23"/>
          <w:lang w:val="es-PE"/>
        </w:rPr>
      </w:pPr>
      <w:r w:rsidRPr="002F158D">
        <w:rPr>
          <w:sz w:val="23"/>
          <w:szCs w:val="23"/>
          <w:lang w:val="es-PE"/>
        </w:rPr>
        <w:t>RESOLUCIÓN N</w:t>
      </w:r>
      <w:r w:rsidRPr="002F158D" w:rsidR="001631D6">
        <w:rPr>
          <w:sz w:val="23"/>
          <w:szCs w:val="23"/>
          <w:lang w:val="es-PE"/>
        </w:rPr>
        <w:t xml:space="preserve">° </w:t>
      </w:r>
      <w:r w:rsidRPr="002F158D" w:rsidR="00E4274A">
        <w:rPr>
          <w:sz w:val="23"/>
          <w:szCs w:val="23"/>
          <w:lang w:val="es-PE"/>
        </w:rPr>
        <w:t>1</w:t>
      </w:r>
      <w:r w:rsidRPr="002F158D" w:rsidR="00DA107A">
        <w:rPr>
          <w:sz w:val="23"/>
          <w:szCs w:val="23"/>
          <w:lang w:val="es-PE"/>
        </w:rPr>
        <w:t>1</w:t>
      </w:r>
      <w:r w:rsidRPr="002F158D" w:rsidR="0001722D">
        <w:rPr>
          <w:sz w:val="23"/>
          <w:szCs w:val="23"/>
          <w:lang w:val="es-PE"/>
        </w:rPr>
        <w:t>8</w:t>
      </w:r>
      <w:r w:rsidRPr="002F158D" w:rsidR="001272A9">
        <w:rPr>
          <w:sz w:val="23"/>
          <w:szCs w:val="23"/>
          <w:lang w:val="es-PE"/>
        </w:rPr>
        <w:t>/</w:t>
      </w:r>
      <w:r w:rsidRPr="002F158D" w:rsidR="001631D6">
        <w:rPr>
          <w:sz w:val="23"/>
          <w:szCs w:val="23"/>
          <w:lang w:val="es-PE"/>
        </w:rPr>
        <w:t>2</w:t>
      </w:r>
      <w:r w:rsidRPr="002F158D" w:rsidR="0073373B">
        <w:rPr>
          <w:sz w:val="23"/>
          <w:szCs w:val="23"/>
          <w:lang w:val="es-PE"/>
        </w:rPr>
        <w:t>5</w:t>
      </w:r>
    </w:p>
    <w:p w:rsidRPr="002F158D" w:rsidR="002F158D" w:rsidP="002F158D" w:rsidRDefault="002F158D" w14:paraId="33CEDBA9" w14:textId="77777777">
      <w:pPr>
        <w:spacing w:after="200"/>
        <w:jc w:val="both"/>
        <w:outlineLvl w:val="0"/>
        <w:rPr>
          <w:b/>
          <w:bCs/>
          <w:sz w:val="23"/>
          <w:szCs w:val="23"/>
          <w:lang w:val="es-MX"/>
        </w:rPr>
      </w:pPr>
      <w:r w:rsidRPr="002F158D">
        <w:rPr>
          <w:b/>
          <w:bCs/>
          <w:sz w:val="23"/>
          <w:szCs w:val="23"/>
          <w:lang w:val="es-MX"/>
        </w:rPr>
        <w:t>VISTOS:</w:t>
      </w:r>
    </w:p>
    <w:p w:rsidRPr="002F158D" w:rsidR="002F158D" w:rsidP="002F158D" w:rsidRDefault="002F158D" w14:paraId="21CDB14C" w14:textId="1617160B">
      <w:pPr>
        <w:spacing w:after="200"/>
        <w:jc w:val="both"/>
        <w:rPr>
          <w:sz w:val="23"/>
          <w:szCs w:val="23"/>
          <w:lang w:val="es-PE"/>
        </w:rPr>
      </w:pPr>
      <w:r w:rsidRPr="52C4702B" w:rsidR="002F158D">
        <w:rPr>
          <w:sz w:val="23"/>
          <w:szCs w:val="23"/>
          <w:lang w:val="es-PE"/>
        </w:rPr>
        <w:t>Que, con fecha 17 de febrero de 2025</w:t>
      </w:r>
      <w:bookmarkStart w:name="_Hlk107662905" w:id="0"/>
      <w:r w:rsidRPr="52C4702B" w:rsidR="002F158D">
        <w:rPr>
          <w:sz w:val="23"/>
          <w:szCs w:val="23"/>
          <w:lang w:val="es-PE"/>
        </w:rPr>
        <w:t xml:space="preserve">, la señora </w:t>
      </w:r>
      <w:bookmarkStart w:name="_Hlk203603837" w:id="1"/>
      <w:r w:rsidRPr="52C4702B" w:rsidR="4DA6EF30">
        <w:rPr>
          <w:b w:val="1"/>
          <w:bCs w:val="1"/>
          <w:sz w:val="23"/>
          <w:szCs w:val="23"/>
          <w:lang w:val="es-PE"/>
        </w:rPr>
        <w:t>..................................................................................</w:t>
      </w:r>
      <w:r w:rsidRPr="52C4702B" w:rsidR="002F158D">
        <w:rPr>
          <w:b w:val="1"/>
          <w:bCs w:val="1"/>
          <w:sz w:val="23"/>
          <w:szCs w:val="23"/>
          <w:lang w:val="es-PE"/>
        </w:rPr>
        <w:t xml:space="preserve"> </w:t>
      </w:r>
      <w:bookmarkEnd w:id="1"/>
      <w:r w:rsidRPr="52C4702B" w:rsidR="002F158D">
        <w:rPr>
          <w:b w:val="1"/>
          <w:bCs w:val="1"/>
          <w:sz w:val="23"/>
          <w:szCs w:val="23"/>
          <w:lang w:val="es-PE"/>
        </w:rPr>
        <w:t>(la señora “</w:t>
      </w:r>
      <w:r w:rsidRPr="52C4702B" w:rsidR="2DB53D2A">
        <w:rPr>
          <w:b w:val="1"/>
          <w:bCs w:val="1"/>
          <w:sz w:val="23"/>
          <w:szCs w:val="23"/>
          <w:lang w:val="es-PE"/>
        </w:rPr>
        <w:t>..........................................</w:t>
      </w:r>
      <w:r w:rsidRPr="52C4702B" w:rsidR="002F158D">
        <w:rPr>
          <w:b w:val="1"/>
          <w:bCs w:val="1"/>
          <w:sz w:val="23"/>
          <w:szCs w:val="23"/>
          <w:lang w:val="es-PE"/>
        </w:rPr>
        <w:t>”)</w:t>
      </w:r>
      <w:bookmarkEnd w:id="0"/>
      <w:r w:rsidRPr="52C4702B" w:rsidR="002F158D">
        <w:rPr>
          <w:sz w:val="23"/>
          <w:szCs w:val="23"/>
          <w:lang w:val="es-PE"/>
        </w:rPr>
        <w:t xml:space="preserve"> interpuso un reclamo ante la Defensoría del Asegurado </w:t>
      </w:r>
      <w:r w:rsidRPr="52C4702B" w:rsidR="002F158D">
        <w:rPr>
          <w:b w:val="1"/>
          <w:bCs w:val="1"/>
          <w:sz w:val="23"/>
          <w:szCs w:val="23"/>
          <w:lang w:val="es-PE"/>
        </w:rPr>
        <w:t>(“DEFASEG”</w:t>
      </w:r>
      <w:r w:rsidRPr="52C4702B" w:rsidR="002F158D">
        <w:rPr>
          <w:sz w:val="23"/>
          <w:szCs w:val="23"/>
          <w:lang w:val="es-PE"/>
        </w:rPr>
        <w:t xml:space="preserve">) contra </w:t>
      </w:r>
      <w:bookmarkStart w:name="_Hlk201105216" w:id="2"/>
      <w:r w:rsidRPr="52C4702B" w:rsidR="66C26DE2">
        <w:rPr>
          <w:b w:val="1"/>
          <w:bCs w:val="1"/>
          <w:sz w:val="23"/>
          <w:szCs w:val="23"/>
          <w:lang w:val="es-PE"/>
        </w:rPr>
        <w:t>..............................................................................</w:t>
      </w:r>
      <w:bookmarkEnd w:id="2"/>
      <w:r w:rsidRPr="52C4702B" w:rsidR="002F158D">
        <w:rPr>
          <w:sz w:val="23"/>
          <w:szCs w:val="23"/>
          <w:lang w:val="es-PE"/>
        </w:rPr>
        <w:t xml:space="preserve"> </w:t>
      </w:r>
      <w:r w:rsidRPr="52C4702B" w:rsidR="002F158D">
        <w:rPr>
          <w:b w:val="1"/>
          <w:bCs w:val="1"/>
          <w:color w:val="000000" w:themeColor="text1" w:themeTint="FF" w:themeShade="FF"/>
          <w:sz w:val="23"/>
          <w:szCs w:val="23"/>
          <w:lang w:val="es-PE" w:eastAsia="es-PE"/>
        </w:rPr>
        <w:t>(“</w:t>
      </w:r>
      <w:r w:rsidRPr="52C4702B" w:rsidR="1695D792">
        <w:rPr>
          <w:b w:val="1"/>
          <w:bCs w:val="1"/>
          <w:sz w:val="23"/>
          <w:szCs w:val="23"/>
          <w:lang w:val="es-PE"/>
        </w:rPr>
        <w:t>............................</w:t>
      </w:r>
      <w:r w:rsidRPr="52C4702B" w:rsidR="002F158D">
        <w:rPr>
          <w:b w:val="1"/>
          <w:bCs w:val="1"/>
          <w:color w:val="000000" w:themeColor="text1" w:themeTint="FF" w:themeShade="FF"/>
          <w:sz w:val="23"/>
          <w:szCs w:val="23"/>
          <w:lang w:val="es-PE" w:eastAsia="es-PE"/>
        </w:rPr>
        <w:t>”</w:t>
      </w:r>
      <w:r w:rsidRPr="52C4702B" w:rsidR="002F158D">
        <w:rPr>
          <w:b w:val="1"/>
          <w:bCs w:val="1"/>
          <w:sz w:val="23"/>
          <w:szCs w:val="23"/>
          <w:lang w:val="es-MX"/>
        </w:rPr>
        <w:t xml:space="preserve">) </w:t>
      </w:r>
      <w:r w:rsidRPr="52C4702B" w:rsidR="002F158D">
        <w:rPr>
          <w:sz w:val="23"/>
          <w:szCs w:val="23"/>
          <w:lang w:val="es-PE"/>
        </w:rPr>
        <w:t xml:space="preserve">para que se le otorgue cobertura de acuerdo con lo establecido en la Póliza </w:t>
      </w:r>
      <w:r w:rsidRPr="52C4702B" w:rsidR="002F158D">
        <w:rPr>
          <w:sz w:val="23"/>
          <w:szCs w:val="23"/>
          <w:lang w:val="es-PE"/>
        </w:rPr>
        <w:t>n.°</w:t>
      </w:r>
      <w:r w:rsidRPr="52C4702B" w:rsidR="002F158D">
        <w:rPr>
          <w:sz w:val="23"/>
          <w:szCs w:val="23"/>
          <w:lang w:val="es-PE"/>
        </w:rPr>
        <w:t xml:space="preserve"> </w:t>
      </w:r>
      <w:r w:rsidRPr="52C4702B" w:rsidR="00E4CB25">
        <w:rPr>
          <w:sz w:val="23"/>
          <w:szCs w:val="23"/>
          <w:lang w:val="es-PE"/>
        </w:rPr>
        <w:t>..................</w:t>
      </w:r>
      <w:r w:rsidRPr="52C4702B" w:rsidR="002F158D">
        <w:rPr>
          <w:sz w:val="23"/>
          <w:szCs w:val="23"/>
          <w:lang w:val="es-PE"/>
        </w:rPr>
        <w:t xml:space="preserve"> (la “Póliza”).</w:t>
      </w:r>
    </w:p>
    <w:p w:rsidRPr="002F158D" w:rsidR="002F158D" w:rsidP="002F158D" w:rsidRDefault="002F158D" w14:paraId="6B176E59" w14:textId="1BAD75C2">
      <w:pPr>
        <w:spacing w:after="200"/>
        <w:jc w:val="both"/>
        <w:rPr>
          <w:sz w:val="23"/>
          <w:szCs w:val="23"/>
          <w:lang w:val="es-PE"/>
        </w:rPr>
      </w:pPr>
      <w:r w:rsidRPr="52C4702B" w:rsidR="002F158D">
        <w:rPr>
          <w:sz w:val="23"/>
          <w:szCs w:val="23"/>
          <w:lang w:val="es-PE"/>
        </w:rPr>
        <w:t xml:space="preserve">Que, la reclamación interpuesta por la señora </w:t>
      </w:r>
      <w:bookmarkStart w:name="_Hlk201106374" w:id="3"/>
      <w:r w:rsidRPr="52C4702B" w:rsidR="2DB53D2A">
        <w:rPr>
          <w:sz w:val="23"/>
          <w:szCs w:val="23"/>
          <w:lang w:val="es-PE"/>
        </w:rPr>
        <w:t>..........................................</w:t>
      </w:r>
      <w:r w:rsidRPr="52C4702B" w:rsidR="002F158D">
        <w:rPr>
          <w:sz w:val="23"/>
          <w:szCs w:val="23"/>
          <w:lang w:val="es-PE"/>
        </w:rPr>
        <w:t xml:space="preserve"> </w:t>
      </w:r>
      <w:bookmarkEnd w:id="3"/>
      <w:r w:rsidRPr="52C4702B" w:rsidR="002F158D">
        <w:rPr>
          <w:sz w:val="23"/>
          <w:szCs w:val="23"/>
          <w:lang w:val="es-PE"/>
        </w:rPr>
        <w:t xml:space="preserve">se sustenta en los siguientes hechos y argumentos: </w:t>
      </w:r>
      <w:r w:rsidRPr="52C4702B" w:rsidR="002F158D">
        <w:rPr>
          <w:b w:val="1"/>
          <w:bCs w:val="1"/>
          <w:i w:val="1"/>
          <w:iCs w:val="1"/>
          <w:sz w:val="23"/>
          <w:szCs w:val="23"/>
          <w:lang w:val="es-PE"/>
        </w:rPr>
        <w:t>a)</w:t>
      </w:r>
      <w:r w:rsidRPr="52C4702B" w:rsidR="002F158D">
        <w:rPr>
          <w:sz w:val="23"/>
          <w:szCs w:val="23"/>
          <w:lang w:val="es-PE"/>
        </w:rPr>
        <w:t xml:space="preserve"> que, el 28 de diciembre de 2024, la señora </w:t>
      </w:r>
      <w:r w:rsidRPr="52C4702B" w:rsidR="2DB53D2A">
        <w:rPr>
          <w:sz w:val="23"/>
          <w:szCs w:val="23"/>
          <w:lang w:val="es-PE"/>
        </w:rPr>
        <w:t>..........................................</w:t>
      </w:r>
      <w:r w:rsidRPr="52C4702B" w:rsidR="002F158D">
        <w:rPr>
          <w:sz w:val="23"/>
          <w:szCs w:val="23"/>
          <w:lang w:val="es-PE"/>
        </w:rPr>
        <w:t xml:space="preserve"> sufrió el robo de sus pertenencias en la ciudad de Moyobamba, tal como consta en la denuncia policial; </w:t>
      </w:r>
      <w:r w:rsidRPr="52C4702B" w:rsidR="002F158D">
        <w:rPr>
          <w:b w:val="1"/>
          <w:bCs w:val="1"/>
          <w:i w:val="1"/>
          <w:iCs w:val="1"/>
          <w:sz w:val="23"/>
          <w:szCs w:val="23"/>
          <w:lang w:val="es-PE"/>
        </w:rPr>
        <w:t>b)</w:t>
      </w:r>
      <w:r w:rsidRPr="52C4702B" w:rsidR="002F158D">
        <w:rPr>
          <w:sz w:val="23"/>
          <w:szCs w:val="23"/>
          <w:lang w:val="es-PE"/>
        </w:rPr>
        <w:t xml:space="preserve"> que procedió a bloquear de forma inmediata sus tarjetas y se comunicó con el banco para reportar el siniestro, posteriormente, mediante correo electrónico realizó el trámite con </w:t>
      </w:r>
      <w:r w:rsidRPr="52C4702B" w:rsidR="1695D792">
        <w:rPr>
          <w:sz w:val="23"/>
          <w:szCs w:val="23"/>
          <w:lang w:val="es-PE"/>
        </w:rPr>
        <w:t>............................</w:t>
      </w:r>
      <w:r w:rsidRPr="52C4702B" w:rsidR="002F158D">
        <w:rPr>
          <w:sz w:val="23"/>
          <w:szCs w:val="23"/>
          <w:lang w:val="es-PE"/>
        </w:rPr>
        <w:t xml:space="preserve"> para activar la Póliza contratada; </w:t>
      </w:r>
      <w:r w:rsidRPr="52C4702B" w:rsidR="002F158D">
        <w:rPr>
          <w:b w:val="1"/>
          <w:bCs w:val="1"/>
          <w:i w:val="1"/>
          <w:iCs w:val="1"/>
          <w:sz w:val="23"/>
          <w:szCs w:val="23"/>
          <w:lang w:val="es-PE"/>
        </w:rPr>
        <w:t>c)</w:t>
      </w:r>
      <w:r w:rsidRPr="52C4702B" w:rsidR="002F158D">
        <w:rPr>
          <w:sz w:val="23"/>
          <w:szCs w:val="23"/>
          <w:lang w:val="es-PE"/>
        </w:rPr>
        <w:t xml:space="preserve"> que, el artículo 15 del Reglamento para la gestión y pago de siniestros (Resolución SBS </w:t>
      </w:r>
      <w:r w:rsidRPr="52C4702B" w:rsidR="002F158D">
        <w:rPr>
          <w:sz w:val="23"/>
          <w:szCs w:val="23"/>
          <w:lang w:val="es-PE"/>
        </w:rPr>
        <w:t>n.°</w:t>
      </w:r>
      <w:r w:rsidRPr="52C4702B" w:rsidR="002F158D">
        <w:rPr>
          <w:sz w:val="23"/>
          <w:szCs w:val="23"/>
          <w:lang w:val="es-PE"/>
        </w:rPr>
        <w:t xml:space="preserve"> 3202-2013), señala que el rechazo de un siniestro debe ser fundamentado por la empresa, debiendo contar con el respectivo sustento; </w:t>
      </w:r>
      <w:r w:rsidRPr="52C4702B" w:rsidR="002F158D">
        <w:rPr>
          <w:b w:val="1"/>
          <w:bCs w:val="1"/>
          <w:i w:val="1"/>
          <w:iCs w:val="1"/>
          <w:sz w:val="23"/>
          <w:szCs w:val="23"/>
          <w:lang w:val="es-PE"/>
        </w:rPr>
        <w:t>d)</w:t>
      </w:r>
      <w:r w:rsidRPr="52C4702B" w:rsidR="002F158D">
        <w:rPr>
          <w:sz w:val="23"/>
          <w:szCs w:val="23"/>
          <w:lang w:val="es-PE"/>
        </w:rPr>
        <w:t xml:space="preserve"> que, la carta </w:t>
      </w:r>
      <w:r w:rsidRPr="52C4702B" w:rsidR="002F158D">
        <w:rPr>
          <w:sz w:val="23"/>
          <w:szCs w:val="23"/>
          <w:lang w:val="es-PE"/>
        </w:rPr>
        <w:t>n.°</w:t>
      </w:r>
      <w:r w:rsidRPr="52C4702B" w:rsidR="002F158D">
        <w:rPr>
          <w:sz w:val="23"/>
          <w:szCs w:val="23"/>
          <w:lang w:val="es-PE"/>
        </w:rPr>
        <w:t xml:space="preserve"> </w:t>
      </w:r>
      <w:r w:rsidRPr="52C4702B" w:rsidR="0144AD99">
        <w:rPr>
          <w:sz w:val="23"/>
          <w:szCs w:val="23"/>
          <w:lang w:val="es-PE"/>
        </w:rPr>
        <w:t>.........................................</w:t>
      </w:r>
      <w:r w:rsidRPr="52C4702B" w:rsidR="002F158D">
        <w:rPr>
          <w:sz w:val="23"/>
          <w:szCs w:val="23"/>
          <w:lang w:val="es-PE"/>
        </w:rPr>
        <w:t xml:space="preserve"> de fecha 10 de febrero de 2025 (“Carta de rechazo”), no sustenta adecuadamente el rechazo de activación del seguro, no adjunta el informe técnico de sustento y no está suscrita por ningún responsable del área, lo que denota una deficiente motivación; y, </w:t>
      </w:r>
      <w:r w:rsidRPr="52C4702B" w:rsidR="002F158D">
        <w:rPr>
          <w:b w:val="1"/>
          <w:bCs w:val="1"/>
          <w:i w:val="1"/>
          <w:iCs w:val="1"/>
          <w:sz w:val="23"/>
          <w:szCs w:val="23"/>
          <w:lang w:val="es-PE"/>
        </w:rPr>
        <w:t>e)</w:t>
      </w:r>
      <w:r w:rsidRPr="52C4702B" w:rsidR="002F158D">
        <w:rPr>
          <w:sz w:val="23"/>
          <w:szCs w:val="23"/>
          <w:lang w:val="es-PE"/>
        </w:rPr>
        <w:t xml:space="preserve"> que, la Carta de rechazo no reproduce exactamente la pregunta </w:t>
      </w:r>
      <w:r w:rsidRPr="52C4702B" w:rsidR="002F158D">
        <w:rPr>
          <w:sz w:val="23"/>
          <w:szCs w:val="23"/>
          <w:lang w:val="es-PE"/>
        </w:rPr>
        <w:t>n.°</w:t>
      </w:r>
      <w:r w:rsidRPr="52C4702B" w:rsidR="002F158D">
        <w:rPr>
          <w:sz w:val="23"/>
          <w:szCs w:val="23"/>
          <w:lang w:val="es-PE"/>
        </w:rPr>
        <w:t xml:space="preserve"> 4 de la prueba de polígrafo, así como tampoco señala los antecedentes respecto a su real estado de salud, lo cual fue indicado al especialista encargado de realizar la prueba.  </w:t>
      </w:r>
    </w:p>
    <w:p w:rsidRPr="002F158D" w:rsidR="002F158D" w:rsidP="002F158D" w:rsidRDefault="002F158D" w14:paraId="7CF13FF1" w14:textId="063FE1C7">
      <w:pPr>
        <w:spacing w:after="200"/>
        <w:jc w:val="both"/>
        <w:rPr>
          <w:sz w:val="23"/>
          <w:szCs w:val="23"/>
          <w:lang w:val="es-PE"/>
        </w:rPr>
      </w:pPr>
      <w:r w:rsidRPr="52C4702B" w:rsidR="002F158D">
        <w:rPr>
          <w:sz w:val="23"/>
          <w:szCs w:val="23"/>
          <w:lang w:val="es-PE"/>
        </w:rPr>
        <w:t xml:space="preserve">Que, con su reclamación, la señora </w:t>
      </w:r>
      <w:r w:rsidRPr="52C4702B" w:rsidR="2DB53D2A">
        <w:rPr>
          <w:sz w:val="23"/>
          <w:szCs w:val="23"/>
          <w:lang w:val="es-PE"/>
        </w:rPr>
        <w:t>..........................................</w:t>
      </w:r>
      <w:r w:rsidRPr="52C4702B" w:rsidR="002F158D">
        <w:rPr>
          <w:sz w:val="23"/>
          <w:szCs w:val="23"/>
          <w:lang w:val="es-PE"/>
        </w:rPr>
        <w:t xml:space="preserve"> presenta los siguientes documentos: </w:t>
      </w:r>
      <w:r w:rsidRPr="52C4702B" w:rsidR="002F158D">
        <w:rPr>
          <w:b w:val="1"/>
          <w:bCs w:val="1"/>
          <w:i w:val="1"/>
          <w:iCs w:val="1"/>
          <w:sz w:val="23"/>
          <w:szCs w:val="23"/>
          <w:lang w:val="es-PE"/>
        </w:rPr>
        <w:t>(i)</w:t>
      </w:r>
      <w:r w:rsidRPr="52C4702B" w:rsidR="002F158D">
        <w:rPr>
          <w:sz w:val="23"/>
          <w:szCs w:val="23"/>
          <w:lang w:val="es-PE"/>
        </w:rPr>
        <w:t xml:space="preserve"> documento nacional de identidad de la reclamante; y, </w:t>
      </w:r>
      <w:r w:rsidRPr="52C4702B" w:rsidR="002F158D">
        <w:rPr>
          <w:b w:val="1"/>
          <w:bCs w:val="1"/>
          <w:i w:val="1"/>
          <w:iCs w:val="1"/>
          <w:sz w:val="23"/>
          <w:szCs w:val="23"/>
          <w:lang w:val="es-PE"/>
        </w:rPr>
        <w:t>(</w:t>
      </w:r>
      <w:r w:rsidRPr="52C4702B" w:rsidR="002F158D">
        <w:rPr>
          <w:b w:val="1"/>
          <w:bCs w:val="1"/>
          <w:i w:val="1"/>
          <w:iCs w:val="1"/>
          <w:sz w:val="23"/>
          <w:szCs w:val="23"/>
          <w:lang w:val="es-PE"/>
        </w:rPr>
        <w:t>ii</w:t>
      </w:r>
      <w:r w:rsidRPr="52C4702B" w:rsidR="002F158D">
        <w:rPr>
          <w:b w:val="1"/>
          <w:bCs w:val="1"/>
          <w:i w:val="1"/>
          <w:iCs w:val="1"/>
          <w:sz w:val="23"/>
          <w:szCs w:val="23"/>
          <w:lang w:val="es-PE"/>
        </w:rPr>
        <w:t xml:space="preserve">) </w:t>
      </w:r>
      <w:r w:rsidRPr="52C4702B" w:rsidR="002F158D">
        <w:rPr>
          <w:sz w:val="23"/>
          <w:szCs w:val="23"/>
          <w:lang w:val="es-PE"/>
        </w:rPr>
        <w:t xml:space="preserve">copia de la carta </w:t>
      </w:r>
      <w:r w:rsidRPr="52C4702B" w:rsidR="002F158D">
        <w:rPr>
          <w:sz w:val="23"/>
          <w:szCs w:val="23"/>
          <w:lang w:val="es-PE"/>
        </w:rPr>
        <w:t>n.°</w:t>
      </w:r>
      <w:r w:rsidRPr="52C4702B" w:rsidR="002F158D">
        <w:rPr>
          <w:sz w:val="23"/>
          <w:szCs w:val="23"/>
          <w:lang w:val="es-PE"/>
        </w:rPr>
        <w:t xml:space="preserve"> </w:t>
      </w:r>
      <w:r w:rsidRPr="52C4702B" w:rsidR="0144AD99">
        <w:rPr>
          <w:sz w:val="23"/>
          <w:szCs w:val="23"/>
          <w:lang w:val="es-PE"/>
        </w:rPr>
        <w:t>.........................................</w:t>
      </w:r>
      <w:r w:rsidRPr="52C4702B" w:rsidR="002F158D">
        <w:rPr>
          <w:sz w:val="23"/>
          <w:szCs w:val="23"/>
          <w:lang w:val="es-PE"/>
        </w:rPr>
        <w:t xml:space="preserve"> de fecha 10 de febrero de 2025, la cual señala que «[e]</w:t>
      </w:r>
      <w:r w:rsidRPr="52C4702B" w:rsidR="002F158D">
        <w:rPr>
          <w:i w:val="1"/>
          <w:iCs w:val="1"/>
          <w:sz w:val="23"/>
          <w:szCs w:val="23"/>
          <w:lang w:val="es-PE"/>
        </w:rPr>
        <w:t>n ese sentido, le informamos que su solicitud carece de cobertura, asimismo le informamos que el contrato se encuentra resuelto, habiendo perdido cualquier derecho emanado del mismo.</w:t>
      </w:r>
      <w:r w:rsidRPr="52C4702B" w:rsidR="002F158D">
        <w:rPr>
          <w:sz w:val="23"/>
          <w:szCs w:val="23"/>
          <w:lang w:val="es-PE"/>
        </w:rPr>
        <w:t>» (“Carta de rechazo”)</w:t>
      </w:r>
    </w:p>
    <w:p w:rsidRPr="002F158D" w:rsidR="002F158D" w:rsidP="002F158D" w:rsidRDefault="002F158D" w14:paraId="4E2F0B3E" w14:textId="7F1E4DCE">
      <w:pPr>
        <w:spacing w:after="200"/>
        <w:jc w:val="both"/>
        <w:rPr>
          <w:sz w:val="23"/>
          <w:szCs w:val="23"/>
          <w:lang w:val="es-PE"/>
        </w:rPr>
      </w:pPr>
      <w:r w:rsidRPr="52C4702B" w:rsidR="002F158D">
        <w:rPr>
          <w:sz w:val="23"/>
          <w:szCs w:val="23"/>
          <w:lang w:val="es-PE"/>
        </w:rPr>
        <w:t xml:space="preserve">Que, </w:t>
      </w:r>
      <w:r w:rsidRPr="52C4702B" w:rsidR="1695D792">
        <w:rPr>
          <w:sz w:val="23"/>
          <w:szCs w:val="23"/>
          <w:lang w:val="es-PE"/>
        </w:rPr>
        <w:t>............................</w:t>
      </w:r>
      <w:r w:rsidRPr="52C4702B" w:rsidR="002F158D">
        <w:rPr>
          <w:sz w:val="23"/>
          <w:szCs w:val="23"/>
          <w:lang w:val="es-PE"/>
        </w:rPr>
        <w:t xml:space="preserve"> presentó su descargo el día 15 de abril de 2025, solicitando que el reclamo de la asegurada sea declarado infundado, sobre la base de los siguientes argumentos: </w:t>
      </w:r>
      <w:r w:rsidRPr="52C4702B" w:rsidR="002F158D">
        <w:rPr>
          <w:b w:val="1"/>
          <w:bCs w:val="1"/>
          <w:i w:val="1"/>
          <w:iCs w:val="1"/>
          <w:sz w:val="23"/>
          <w:szCs w:val="23"/>
          <w:lang w:val="es-PE"/>
        </w:rPr>
        <w:t>a)</w:t>
      </w:r>
      <w:r w:rsidRPr="52C4702B" w:rsidR="002F158D">
        <w:rPr>
          <w:sz w:val="23"/>
          <w:szCs w:val="23"/>
          <w:lang w:val="es-PE"/>
        </w:rPr>
        <w:t xml:space="preserve"> que, la señora </w:t>
      </w:r>
      <w:r w:rsidRPr="52C4702B" w:rsidR="2DB53D2A">
        <w:rPr>
          <w:sz w:val="23"/>
          <w:szCs w:val="23"/>
          <w:lang w:val="es-PE"/>
        </w:rPr>
        <w:t>..........................................</w:t>
      </w:r>
      <w:r w:rsidRPr="52C4702B" w:rsidR="002F158D">
        <w:rPr>
          <w:sz w:val="23"/>
          <w:szCs w:val="23"/>
          <w:lang w:val="es-PE"/>
        </w:rPr>
        <w:t xml:space="preserve"> contrató la Póliza el 13 de septiembre de 2024; </w:t>
      </w:r>
      <w:r w:rsidRPr="52C4702B" w:rsidR="002F158D">
        <w:rPr>
          <w:b w:val="1"/>
          <w:bCs w:val="1"/>
          <w:i w:val="1"/>
          <w:iCs w:val="1"/>
          <w:sz w:val="23"/>
          <w:szCs w:val="23"/>
          <w:lang w:val="es-PE"/>
        </w:rPr>
        <w:t>b)</w:t>
      </w:r>
      <w:r w:rsidRPr="52C4702B" w:rsidR="002F158D">
        <w:rPr>
          <w:sz w:val="23"/>
          <w:szCs w:val="23"/>
          <w:lang w:val="es-PE"/>
        </w:rPr>
        <w:t xml:space="preserve"> que, el 8 de enero del 2025, </w:t>
      </w:r>
      <w:r w:rsidRPr="52C4702B" w:rsidR="1695D792">
        <w:rPr>
          <w:sz w:val="23"/>
          <w:szCs w:val="23"/>
          <w:lang w:val="es-PE"/>
        </w:rPr>
        <w:t>............................</w:t>
      </w:r>
      <w:r w:rsidRPr="52C4702B" w:rsidR="002F158D">
        <w:rPr>
          <w:sz w:val="23"/>
          <w:szCs w:val="23"/>
          <w:lang w:val="es-PE"/>
        </w:rPr>
        <w:t xml:space="preserve"> recibió la solicitud de cobertura de la señora </w:t>
      </w:r>
      <w:r w:rsidRPr="52C4702B" w:rsidR="2DB53D2A">
        <w:rPr>
          <w:sz w:val="23"/>
          <w:szCs w:val="23"/>
          <w:lang w:val="es-PE"/>
        </w:rPr>
        <w:t>..........................................</w:t>
      </w:r>
      <w:r w:rsidRPr="52C4702B" w:rsidR="002F158D">
        <w:rPr>
          <w:sz w:val="23"/>
          <w:szCs w:val="23"/>
          <w:lang w:val="es-PE"/>
        </w:rPr>
        <w:t xml:space="preserve"> (a través del banco Interbank); </w:t>
      </w:r>
      <w:r w:rsidRPr="52C4702B" w:rsidR="002F158D">
        <w:rPr>
          <w:b w:val="1"/>
          <w:bCs w:val="1"/>
          <w:i w:val="1"/>
          <w:iCs w:val="1"/>
          <w:sz w:val="23"/>
          <w:szCs w:val="23"/>
          <w:lang w:val="es-PE"/>
        </w:rPr>
        <w:t>c)</w:t>
      </w:r>
      <w:r w:rsidRPr="52C4702B" w:rsidR="002F158D">
        <w:rPr>
          <w:sz w:val="23"/>
          <w:szCs w:val="23"/>
          <w:lang w:val="es-PE"/>
        </w:rPr>
        <w:t xml:space="preserve"> que, mediante la carta </w:t>
      </w:r>
      <w:r w:rsidRPr="52C4702B" w:rsidR="002F158D">
        <w:rPr>
          <w:sz w:val="23"/>
          <w:szCs w:val="23"/>
          <w:lang w:val="es-PE"/>
        </w:rPr>
        <w:t>n.°</w:t>
      </w:r>
      <w:r w:rsidRPr="52C4702B" w:rsidR="002F158D">
        <w:rPr>
          <w:sz w:val="23"/>
          <w:szCs w:val="23"/>
          <w:lang w:val="es-PE"/>
        </w:rPr>
        <w:t xml:space="preserve"> </w:t>
      </w:r>
      <w:r w:rsidRPr="52C4702B" w:rsidR="490607EC">
        <w:rPr>
          <w:sz w:val="23"/>
          <w:szCs w:val="23"/>
          <w:lang w:val="es-PE"/>
        </w:rPr>
        <w:t>.........................................</w:t>
      </w:r>
      <w:r w:rsidRPr="52C4702B" w:rsidR="002F158D">
        <w:rPr>
          <w:sz w:val="23"/>
          <w:szCs w:val="23"/>
          <w:lang w:val="es-PE"/>
        </w:rPr>
        <w:t xml:space="preserve"> de 21 de enero del 2025, </w:t>
      </w:r>
      <w:r w:rsidRPr="52C4702B" w:rsidR="1695D792">
        <w:rPr>
          <w:sz w:val="23"/>
          <w:szCs w:val="23"/>
          <w:lang w:val="es-PE"/>
        </w:rPr>
        <w:t>............................</w:t>
      </w:r>
      <w:r w:rsidRPr="52C4702B" w:rsidR="002F158D">
        <w:rPr>
          <w:sz w:val="23"/>
          <w:szCs w:val="23"/>
          <w:lang w:val="es-PE"/>
        </w:rPr>
        <w:t xml:space="preserve"> informó a la asegurada que, sería necesario seguir el procedimiento establecido en la sección “Aviso de Siniestro y Solicitud de Cobertura” establecido en la Póliza, respecto que cuando la empresa aseguradora lo estime conveniente realizará una entrevista personal con el asegurado, con el fin de obtener las aclaraciones y precisiones necesarias acerca del siniestro ocurrido y/o someterse a una prueba poligráfica con el fin de establecer la veracidad de los hechos declarados; </w:t>
      </w:r>
      <w:r w:rsidRPr="52C4702B" w:rsidR="002F158D">
        <w:rPr>
          <w:b w:val="1"/>
          <w:bCs w:val="1"/>
          <w:i w:val="1"/>
          <w:iCs w:val="1"/>
          <w:sz w:val="23"/>
          <w:szCs w:val="23"/>
          <w:lang w:val="es-PE"/>
        </w:rPr>
        <w:t>d)</w:t>
      </w:r>
      <w:r w:rsidRPr="52C4702B" w:rsidR="002F158D">
        <w:rPr>
          <w:sz w:val="23"/>
          <w:szCs w:val="23"/>
          <w:lang w:val="es-PE"/>
        </w:rPr>
        <w:t xml:space="preserve"> que, en los resultados de la prueba poligráfica, se identificaron respuestas significativas de engaño, en dicho sentido, mediante la Carta de rechazo se informó a la señora </w:t>
      </w:r>
      <w:r w:rsidRPr="52C4702B" w:rsidR="2DB53D2A">
        <w:rPr>
          <w:sz w:val="23"/>
          <w:szCs w:val="23"/>
          <w:lang w:val="es-PE"/>
        </w:rPr>
        <w:t>..........................................</w:t>
      </w:r>
      <w:r w:rsidRPr="52C4702B" w:rsidR="002F158D">
        <w:rPr>
          <w:sz w:val="23"/>
          <w:szCs w:val="23"/>
          <w:lang w:val="es-PE"/>
        </w:rPr>
        <w:t xml:space="preserve"> que su solicitud sería improcedente y la Póliza sería anulada; </w:t>
      </w:r>
      <w:r w:rsidRPr="52C4702B" w:rsidR="002F158D">
        <w:rPr>
          <w:b w:val="1"/>
          <w:bCs w:val="1"/>
          <w:i w:val="1"/>
          <w:iCs w:val="1"/>
          <w:sz w:val="23"/>
          <w:szCs w:val="23"/>
          <w:lang w:val="es-PE"/>
        </w:rPr>
        <w:t>e)</w:t>
      </w:r>
      <w:r w:rsidRPr="52C4702B" w:rsidR="002F158D">
        <w:rPr>
          <w:sz w:val="23"/>
          <w:szCs w:val="23"/>
          <w:lang w:val="es-PE"/>
        </w:rPr>
        <w:t xml:space="preserve"> que, está acreditado que trasladó oportunamente a la señora </w:t>
      </w:r>
      <w:r w:rsidRPr="52C4702B" w:rsidR="2DB53D2A">
        <w:rPr>
          <w:sz w:val="23"/>
          <w:szCs w:val="23"/>
          <w:lang w:val="es-PE"/>
        </w:rPr>
        <w:t>..........................................</w:t>
      </w:r>
      <w:r w:rsidRPr="52C4702B" w:rsidR="002F158D">
        <w:rPr>
          <w:sz w:val="23"/>
          <w:szCs w:val="23"/>
          <w:lang w:val="es-PE"/>
        </w:rPr>
        <w:t xml:space="preserve"> los documentos de contratación de la Póliza y brindó respuesta a la solicitud de cobertura presentada; y, </w:t>
      </w:r>
      <w:r w:rsidRPr="52C4702B" w:rsidR="002F158D">
        <w:rPr>
          <w:b w:val="1"/>
          <w:bCs w:val="1"/>
          <w:i w:val="1"/>
          <w:iCs w:val="1"/>
          <w:sz w:val="23"/>
          <w:szCs w:val="23"/>
          <w:lang w:val="es-PE"/>
        </w:rPr>
        <w:t>f)</w:t>
      </w:r>
      <w:r w:rsidRPr="52C4702B" w:rsidR="002F158D">
        <w:rPr>
          <w:sz w:val="23"/>
          <w:szCs w:val="23"/>
          <w:lang w:val="es-PE"/>
        </w:rPr>
        <w:t xml:space="preserve"> que, la anulación de la Póliza se fundamentada en lo establecido en el artículo 9 (Causales de resolución del contrato) del Condicionado general de la Póliza.</w:t>
      </w:r>
    </w:p>
    <w:p w:rsidRPr="002F158D" w:rsidR="002F158D" w:rsidP="002F158D" w:rsidRDefault="002F158D" w14:paraId="7DCF2BC0" w14:textId="6E6F1202">
      <w:pPr>
        <w:spacing w:after="200"/>
        <w:jc w:val="both"/>
        <w:rPr>
          <w:sz w:val="23"/>
          <w:szCs w:val="23"/>
          <w:lang w:val="es-PE"/>
        </w:rPr>
      </w:pPr>
      <w:r w:rsidRPr="52C4702B" w:rsidR="002F158D">
        <w:rPr>
          <w:sz w:val="23"/>
          <w:szCs w:val="23"/>
          <w:lang w:val="es-PE"/>
        </w:rPr>
        <w:t xml:space="preserve">Que, con la absolución del reclamo, </w:t>
      </w:r>
      <w:r w:rsidRPr="52C4702B" w:rsidR="1695D792">
        <w:rPr>
          <w:sz w:val="23"/>
          <w:szCs w:val="23"/>
          <w:lang w:val="es-PE"/>
        </w:rPr>
        <w:t>............................</w:t>
      </w:r>
      <w:r w:rsidRPr="52C4702B" w:rsidR="002F158D">
        <w:rPr>
          <w:sz w:val="23"/>
          <w:szCs w:val="23"/>
          <w:lang w:val="es-PE"/>
        </w:rPr>
        <w:t xml:space="preserve"> presentó los siguientes documentos: </w:t>
      </w:r>
      <w:r w:rsidRPr="52C4702B" w:rsidR="002F158D">
        <w:rPr>
          <w:b w:val="1"/>
          <w:bCs w:val="1"/>
          <w:i w:val="1"/>
          <w:iCs w:val="1"/>
          <w:sz w:val="23"/>
          <w:szCs w:val="23"/>
          <w:lang w:val="es-PE"/>
        </w:rPr>
        <w:t>(i)</w:t>
      </w:r>
      <w:r w:rsidRPr="52C4702B" w:rsidR="002F158D">
        <w:rPr>
          <w:sz w:val="23"/>
          <w:szCs w:val="23"/>
          <w:lang w:val="es-PE"/>
        </w:rPr>
        <w:t xml:space="preserve"> copia de la Póliza; </w:t>
      </w:r>
      <w:r w:rsidRPr="52C4702B" w:rsidR="002F158D">
        <w:rPr>
          <w:b w:val="1"/>
          <w:bCs w:val="1"/>
          <w:i w:val="1"/>
          <w:iCs w:val="1"/>
          <w:sz w:val="23"/>
          <w:szCs w:val="23"/>
          <w:lang w:val="es-PE"/>
        </w:rPr>
        <w:t>(</w:t>
      </w:r>
      <w:r w:rsidRPr="52C4702B" w:rsidR="002F158D">
        <w:rPr>
          <w:b w:val="1"/>
          <w:bCs w:val="1"/>
          <w:i w:val="1"/>
          <w:iCs w:val="1"/>
          <w:sz w:val="23"/>
          <w:szCs w:val="23"/>
          <w:lang w:val="es-PE"/>
        </w:rPr>
        <w:t>ii</w:t>
      </w:r>
      <w:r w:rsidRPr="52C4702B" w:rsidR="002F158D">
        <w:rPr>
          <w:b w:val="1"/>
          <w:bCs w:val="1"/>
          <w:i w:val="1"/>
          <w:iCs w:val="1"/>
          <w:sz w:val="23"/>
          <w:szCs w:val="23"/>
          <w:lang w:val="es-PE"/>
        </w:rPr>
        <w:t>)</w:t>
      </w:r>
      <w:r w:rsidRPr="52C4702B" w:rsidR="002F158D">
        <w:rPr>
          <w:sz w:val="23"/>
          <w:szCs w:val="23"/>
          <w:lang w:val="es-PE"/>
        </w:rPr>
        <w:t xml:space="preserve"> copia de las Condiciones generales del seguro de tarjetas 360° </w:t>
      </w:r>
      <w:r w:rsidRPr="52C4702B" w:rsidR="002F158D">
        <w:rPr>
          <w:b w:val="1"/>
          <w:bCs w:val="1"/>
          <w:i w:val="1"/>
          <w:iCs w:val="1"/>
          <w:sz w:val="23"/>
          <w:szCs w:val="23"/>
          <w:lang w:val="es-PE"/>
        </w:rPr>
        <w:t>(</w:t>
      </w:r>
      <w:r w:rsidRPr="52C4702B" w:rsidR="002F158D">
        <w:rPr>
          <w:b w:val="1"/>
          <w:bCs w:val="1"/>
          <w:i w:val="1"/>
          <w:iCs w:val="1"/>
          <w:sz w:val="23"/>
          <w:szCs w:val="23"/>
          <w:lang w:val="es-PE"/>
        </w:rPr>
        <w:t>iii</w:t>
      </w:r>
      <w:r w:rsidRPr="52C4702B" w:rsidR="002F158D">
        <w:rPr>
          <w:b w:val="1"/>
          <w:bCs w:val="1"/>
          <w:i w:val="1"/>
          <w:iCs w:val="1"/>
          <w:sz w:val="23"/>
          <w:szCs w:val="23"/>
          <w:lang w:val="es-PE"/>
        </w:rPr>
        <w:t>)</w:t>
      </w:r>
      <w:r w:rsidRPr="52C4702B" w:rsidR="002F158D">
        <w:rPr>
          <w:sz w:val="23"/>
          <w:szCs w:val="23"/>
          <w:lang w:val="es-PE"/>
        </w:rPr>
        <w:t xml:space="preserve"> copia del formato de solicitud de cobertura presentado por la asegurada; </w:t>
      </w:r>
      <w:r w:rsidRPr="52C4702B" w:rsidR="002F158D">
        <w:rPr>
          <w:b w:val="1"/>
          <w:bCs w:val="1"/>
          <w:i w:val="1"/>
          <w:iCs w:val="1"/>
          <w:sz w:val="23"/>
          <w:szCs w:val="23"/>
          <w:lang w:val="es-PE"/>
        </w:rPr>
        <w:t>(</w:t>
      </w:r>
      <w:r w:rsidRPr="52C4702B" w:rsidR="002F158D">
        <w:rPr>
          <w:b w:val="1"/>
          <w:bCs w:val="1"/>
          <w:i w:val="1"/>
          <w:iCs w:val="1"/>
          <w:sz w:val="23"/>
          <w:szCs w:val="23"/>
          <w:lang w:val="es-PE"/>
        </w:rPr>
        <w:t>iv</w:t>
      </w:r>
      <w:r w:rsidRPr="52C4702B" w:rsidR="002F158D">
        <w:rPr>
          <w:b w:val="1"/>
          <w:bCs w:val="1"/>
          <w:i w:val="1"/>
          <w:iCs w:val="1"/>
          <w:sz w:val="23"/>
          <w:szCs w:val="23"/>
          <w:lang w:val="es-PE"/>
        </w:rPr>
        <w:t>)</w:t>
      </w:r>
      <w:r w:rsidRPr="52C4702B" w:rsidR="002F158D">
        <w:rPr>
          <w:sz w:val="23"/>
          <w:szCs w:val="23"/>
          <w:lang w:val="es-PE"/>
        </w:rPr>
        <w:t xml:space="preserve"> copia de la carta </w:t>
      </w:r>
      <w:r w:rsidRPr="52C4702B" w:rsidR="002F158D">
        <w:rPr>
          <w:sz w:val="23"/>
          <w:szCs w:val="23"/>
          <w:lang w:val="es-PE"/>
        </w:rPr>
        <w:t>n.°</w:t>
      </w:r>
      <w:r w:rsidRPr="52C4702B" w:rsidR="002F158D">
        <w:rPr>
          <w:sz w:val="23"/>
          <w:szCs w:val="23"/>
          <w:lang w:val="es-PE"/>
        </w:rPr>
        <w:t xml:space="preserve"> </w:t>
      </w:r>
      <w:r w:rsidRPr="52C4702B" w:rsidR="490607EC">
        <w:rPr>
          <w:sz w:val="23"/>
          <w:szCs w:val="23"/>
          <w:lang w:val="es-PE"/>
        </w:rPr>
        <w:t>.........................................</w:t>
      </w:r>
      <w:r w:rsidRPr="52C4702B" w:rsidR="002F158D">
        <w:rPr>
          <w:sz w:val="23"/>
          <w:szCs w:val="23"/>
          <w:lang w:val="es-PE"/>
        </w:rPr>
        <w:t xml:space="preserve">, a través del cual la empresa aseguradora indica que será necesario realizar una entrevista personal con la asegurada a fin de obtener aclaraciones y precisiones acerca de las circunstancias en las que ocurrió el siniestro presentado, así como también la realización de una prueba poligráfica; </w:t>
      </w:r>
      <w:r w:rsidRPr="52C4702B" w:rsidR="002F158D">
        <w:rPr>
          <w:b w:val="1"/>
          <w:bCs w:val="1"/>
          <w:i w:val="1"/>
          <w:iCs w:val="1"/>
          <w:sz w:val="23"/>
          <w:szCs w:val="23"/>
          <w:lang w:val="es-PE"/>
        </w:rPr>
        <w:t>(v)</w:t>
      </w:r>
      <w:r w:rsidRPr="52C4702B" w:rsidR="002F158D">
        <w:rPr>
          <w:sz w:val="23"/>
          <w:szCs w:val="23"/>
          <w:lang w:val="es-PE"/>
        </w:rPr>
        <w:t xml:space="preserve"> copia del expediente con los documentos presentados por la asegurada; y, </w:t>
      </w:r>
      <w:r w:rsidRPr="52C4702B" w:rsidR="002F158D">
        <w:rPr>
          <w:b w:val="1"/>
          <w:bCs w:val="1"/>
          <w:i w:val="1"/>
          <w:iCs w:val="1"/>
          <w:sz w:val="23"/>
          <w:szCs w:val="23"/>
          <w:lang w:val="es-PE"/>
        </w:rPr>
        <w:t>(vi)</w:t>
      </w:r>
      <w:r w:rsidRPr="52C4702B" w:rsidR="002F158D">
        <w:rPr>
          <w:sz w:val="23"/>
          <w:szCs w:val="23"/>
          <w:lang w:val="es-PE"/>
        </w:rPr>
        <w:t xml:space="preserve"> copia de la Carta de rechazo.</w:t>
      </w:r>
    </w:p>
    <w:p w:rsidRPr="002F158D" w:rsidR="002F158D" w:rsidP="002F158D" w:rsidRDefault="002F158D" w14:paraId="0FCE69FA" w14:textId="0A5CCF96">
      <w:pPr>
        <w:spacing w:after="200"/>
        <w:jc w:val="both"/>
        <w:rPr>
          <w:sz w:val="23"/>
          <w:szCs w:val="23"/>
          <w:lang w:val="es-PE"/>
        </w:rPr>
      </w:pPr>
      <w:r w:rsidRPr="52C4702B" w:rsidR="002F158D">
        <w:rPr>
          <w:sz w:val="23"/>
          <w:szCs w:val="23"/>
          <w:lang w:val="es-PE"/>
        </w:rPr>
        <w:t xml:space="preserve">Que, mediante correo electrónico de fecha 29 de abril de 2025 la señora </w:t>
      </w:r>
      <w:r w:rsidRPr="52C4702B" w:rsidR="5A385041">
        <w:rPr>
          <w:sz w:val="23"/>
          <w:szCs w:val="23"/>
          <w:lang w:val="es-PE"/>
        </w:rPr>
        <w:t>...........................................</w:t>
      </w:r>
      <w:r w:rsidRPr="52C4702B" w:rsidR="002F158D">
        <w:rPr>
          <w:sz w:val="23"/>
          <w:szCs w:val="23"/>
          <w:lang w:val="es-PE"/>
        </w:rPr>
        <w:t xml:space="preserve">, señaló que </w:t>
      </w:r>
      <w:r w:rsidRPr="52C4702B" w:rsidR="1695D792">
        <w:rPr>
          <w:sz w:val="23"/>
          <w:szCs w:val="23"/>
          <w:lang w:val="es-PE"/>
        </w:rPr>
        <w:t>............................</w:t>
      </w:r>
      <w:r w:rsidRPr="52C4702B" w:rsidR="002F158D">
        <w:rPr>
          <w:sz w:val="23"/>
          <w:szCs w:val="23"/>
          <w:lang w:val="es-PE"/>
        </w:rPr>
        <w:t xml:space="preserve"> en sus descargos, no adjuntó toda la documentación que obra en el expediente, </w:t>
      </w:r>
      <w:r w:rsidRPr="52C4702B" w:rsidR="002F158D">
        <w:rPr>
          <w:sz w:val="23"/>
          <w:szCs w:val="23"/>
          <w:lang w:val="es-PE"/>
        </w:rPr>
        <w:t>como</w:t>
      </w:r>
      <w:r w:rsidRPr="52C4702B" w:rsidR="002F158D">
        <w:rPr>
          <w:sz w:val="23"/>
          <w:szCs w:val="23"/>
          <w:lang w:val="es-PE"/>
        </w:rPr>
        <w:t xml:space="preserve"> por ejemplo, su recurso de reconsideración y apelación, los cuales a la fecha aún no son resueltos. En dicha oportunidad presentó los siguientes documentos: </w:t>
      </w:r>
      <w:r w:rsidRPr="52C4702B" w:rsidR="002F158D">
        <w:rPr>
          <w:b w:val="1"/>
          <w:bCs w:val="1"/>
          <w:i w:val="1"/>
          <w:iCs w:val="1"/>
          <w:sz w:val="23"/>
          <w:szCs w:val="23"/>
          <w:lang w:val="es-PE"/>
        </w:rPr>
        <w:t>(i)</w:t>
      </w:r>
      <w:r w:rsidRPr="52C4702B" w:rsidR="002F158D">
        <w:rPr>
          <w:sz w:val="23"/>
          <w:szCs w:val="23"/>
          <w:lang w:val="es-PE"/>
        </w:rPr>
        <w:t xml:space="preserve"> el denominado recurso de apelación de fecha 18 de febrero de 2025, para que se revoque y/o declare la nulidad del acto contenido en la Carta de rechazo; y, </w:t>
      </w:r>
      <w:r w:rsidRPr="52C4702B" w:rsidR="002F158D">
        <w:rPr>
          <w:b w:val="1"/>
          <w:bCs w:val="1"/>
          <w:i w:val="1"/>
          <w:iCs w:val="1"/>
          <w:sz w:val="23"/>
          <w:szCs w:val="23"/>
          <w:lang w:val="es-PE"/>
        </w:rPr>
        <w:t>(</w:t>
      </w:r>
      <w:r w:rsidRPr="52C4702B" w:rsidR="002F158D">
        <w:rPr>
          <w:b w:val="1"/>
          <w:bCs w:val="1"/>
          <w:i w:val="1"/>
          <w:iCs w:val="1"/>
          <w:sz w:val="23"/>
          <w:szCs w:val="23"/>
          <w:lang w:val="es-PE"/>
        </w:rPr>
        <w:t>ii</w:t>
      </w:r>
      <w:r w:rsidRPr="52C4702B" w:rsidR="002F158D">
        <w:rPr>
          <w:b w:val="1"/>
          <w:bCs w:val="1"/>
          <w:i w:val="1"/>
          <w:iCs w:val="1"/>
          <w:sz w:val="23"/>
          <w:szCs w:val="23"/>
          <w:lang w:val="es-PE"/>
        </w:rPr>
        <w:t>)</w:t>
      </w:r>
      <w:r w:rsidRPr="52C4702B" w:rsidR="002F158D">
        <w:rPr>
          <w:sz w:val="23"/>
          <w:szCs w:val="23"/>
          <w:lang w:val="es-PE"/>
        </w:rPr>
        <w:t xml:space="preserve"> el denominado recurso de reconsideración fechado el 21 de febrero de 2025 contra la Carta de rechazo.</w:t>
      </w:r>
    </w:p>
    <w:p w:rsidRPr="002F158D" w:rsidR="002F158D" w:rsidP="002F158D" w:rsidRDefault="002F158D" w14:paraId="7CC44DCB" w14:textId="181133AD">
      <w:pPr>
        <w:spacing w:after="200"/>
        <w:jc w:val="both"/>
        <w:rPr>
          <w:sz w:val="23"/>
          <w:szCs w:val="23"/>
          <w:lang w:val="es-PE"/>
        </w:rPr>
      </w:pPr>
      <w:r w:rsidRPr="52C4702B" w:rsidR="002F158D">
        <w:rPr>
          <w:sz w:val="23"/>
          <w:szCs w:val="23"/>
          <w:lang w:val="es-PE"/>
        </w:rPr>
        <w:t xml:space="preserve">Que, el 26 de mayo de 2025 se realizó a través de </w:t>
      </w:r>
      <w:bookmarkStart w:name="_Hlk199292738" w:id="4"/>
      <w:r w:rsidRPr="52C4702B" w:rsidR="002F158D">
        <w:rPr>
          <w:sz w:val="23"/>
          <w:szCs w:val="23"/>
          <w:lang w:val="es-PE"/>
        </w:rPr>
        <w:t>videoconferencia</w:t>
      </w:r>
      <w:bookmarkEnd w:id="4"/>
      <w:r w:rsidRPr="52C4702B" w:rsidR="002F158D">
        <w:rPr>
          <w:sz w:val="23"/>
          <w:szCs w:val="23"/>
          <w:lang w:val="es-PE"/>
        </w:rPr>
        <w:t xml:space="preserve"> la audiencia de informe oral con la concurrencia de la señora </w:t>
      </w:r>
      <w:r w:rsidRPr="52C4702B" w:rsidR="2DB53D2A">
        <w:rPr>
          <w:sz w:val="23"/>
          <w:szCs w:val="23"/>
          <w:lang w:val="es-PE"/>
        </w:rPr>
        <w:t>..........................................</w:t>
      </w:r>
      <w:r w:rsidRPr="52C4702B" w:rsidR="002F158D">
        <w:rPr>
          <w:sz w:val="23"/>
          <w:szCs w:val="23"/>
          <w:lang w:val="es-PE"/>
        </w:rPr>
        <w:t xml:space="preserve"> y del representante de </w:t>
      </w:r>
      <w:r w:rsidRPr="52C4702B" w:rsidR="1695D792">
        <w:rPr>
          <w:sz w:val="23"/>
          <w:szCs w:val="23"/>
          <w:lang w:val="es-PE"/>
        </w:rPr>
        <w:t>............................</w:t>
      </w:r>
      <w:r w:rsidRPr="52C4702B" w:rsidR="002F158D">
        <w:rPr>
          <w:sz w:val="23"/>
          <w:szCs w:val="23"/>
          <w:lang w:val="es-PE"/>
        </w:rPr>
        <w:t xml:space="preserve">, los cuales tuvieron la oportunidad de exponer sus argumentos; asimismo, las partes absolvieron las preguntas que fueran formuladas por los miembros de la Defensoría. En la Audiencia, el Colegiado otorgó un plazo de tres (3) días hábiles para que la asegurada cumpla con presentar: </w:t>
      </w:r>
      <w:r w:rsidRPr="52C4702B" w:rsidR="002F158D">
        <w:rPr>
          <w:b w:val="1"/>
          <w:bCs w:val="1"/>
          <w:i w:val="1"/>
          <w:iCs w:val="1"/>
          <w:sz w:val="23"/>
          <w:szCs w:val="23"/>
          <w:lang w:val="es-PE"/>
        </w:rPr>
        <w:t>(i)</w:t>
      </w:r>
      <w:r w:rsidRPr="52C4702B" w:rsidR="002F158D">
        <w:rPr>
          <w:sz w:val="23"/>
          <w:szCs w:val="23"/>
          <w:lang w:val="es-PE"/>
        </w:rPr>
        <w:t xml:space="preserve"> el certificado del médico legista; y, </w:t>
      </w:r>
      <w:r w:rsidRPr="52C4702B" w:rsidR="002F158D">
        <w:rPr>
          <w:b w:val="1"/>
          <w:bCs w:val="1"/>
          <w:i w:val="1"/>
          <w:iCs w:val="1"/>
          <w:sz w:val="23"/>
          <w:szCs w:val="23"/>
          <w:lang w:val="es-PE"/>
        </w:rPr>
        <w:t>(</w:t>
      </w:r>
      <w:r w:rsidRPr="52C4702B" w:rsidR="002F158D">
        <w:rPr>
          <w:b w:val="1"/>
          <w:bCs w:val="1"/>
          <w:i w:val="1"/>
          <w:iCs w:val="1"/>
          <w:sz w:val="23"/>
          <w:szCs w:val="23"/>
          <w:lang w:val="es-PE"/>
        </w:rPr>
        <w:t>ii</w:t>
      </w:r>
      <w:r w:rsidRPr="52C4702B" w:rsidR="002F158D">
        <w:rPr>
          <w:b w:val="1"/>
          <w:bCs w:val="1"/>
          <w:i w:val="1"/>
          <w:iCs w:val="1"/>
          <w:sz w:val="23"/>
          <w:szCs w:val="23"/>
          <w:lang w:val="es-PE"/>
        </w:rPr>
        <w:t xml:space="preserve">) </w:t>
      </w:r>
      <w:r w:rsidRPr="52C4702B" w:rsidR="002F158D">
        <w:rPr>
          <w:sz w:val="23"/>
          <w:szCs w:val="23"/>
          <w:lang w:val="es-PE"/>
        </w:rPr>
        <w:t xml:space="preserve">evidencia de bloqueo de su tarjeta materia del siniestro por parte de Interbank. Asimismo, se otorgó el mismo plazo a </w:t>
      </w:r>
      <w:r w:rsidRPr="52C4702B" w:rsidR="1695D792">
        <w:rPr>
          <w:sz w:val="23"/>
          <w:szCs w:val="23"/>
          <w:lang w:val="es-PE"/>
        </w:rPr>
        <w:t>............................</w:t>
      </w:r>
      <w:r w:rsidRPr="52C4702B" w:rsidR="002F158D">
        <w:rPr>
          <w:sz w:val="23"/>
          <w:szCs w:val="23"/>
          <w:lang w:val="es-PE"/>
        </w:rPr>
        <w:t xml:space="preserve"> para que presente el resultado de la prueba poligráfica.</w:t>
      </w:r>
    </w:p>
    <w:p w:rsidRPr="002F158D" w:rsidR="002F158D" w:rsidP="002F158D" w:rsidRDefault="002F158D" w14:paraId="11E96ADF" w14:textId="3399CC41">
      <w:pPr>
        <w:spacing w:after="200"/>
        <w:jc w:val="both"/>
        <w:rPr>
          <w:sz w:val="23"/>
          <w:szCs w:val="23"/>
          <w:lang w:val="es-PE"/>
        </w:rPr>
      </w:pPr>
      <w:r w:rsidRPr="52C4702B" w:rsidR="002F158D">
        <w:rPr>
          <w:sz w:val="23"/>
          <w:szCs w:val="23"/>
          <w:lang w:val="es-PE"/>
        </w:rPr>
        <w:t xml:space="preserve">Que, el 29 de mayo de 2025, mediante correo electrónico la señora </w:t>
      </w:r>
      <w:r w:rsidRPr="52C4702B" w:rsidR="2DB53D2A">
        <w:rPr>
          <w:sz w:val="23"/>
          <w:szCs w:val="23"/>
          <w:lang w:val="es-PE"/>
        </w:rPr>
        <w:t>..........................................</w:t>
      </w:r>
      <w:r w:rsidRPr="52C4702B" w:rsidR="002F158D">
        <w:rPr>
          <w:sz w:val="23"/>
          <w:szCs w:val="23"/>
          <w:lang w:val="es-PE"/>
        </w:rPr>
        <w:t xml:space="preserve">, absolvió el requerimiento realizado por la Defensoría, presentando: </w:t>
      </w:r>
      <w:r w:rsidRPr="52C4702B" w:rsidR="002F158D">
        <w:rPr>
          <w:b w:val="1"/>
          <w:bCs w:val="1"/>
          <w:i w:val="1"/>
          <w:iCs w:val="1"/>
          <w:sz w:val="23"/>
          <w:szCs w:val="23"/>
          <w:lang w:val="es-PE"/>
        </w:rPr>
        <w:t>(i)</w:t>
      </w:r>
      <w:r w:rsidRPr="52C4702B" w:rsidR="002F158D">
        <w:rPr>
          <w:sz w:val="23"/>
          <w:szCs w:val="23"/>
          <w:lang w:val="es-PE"/>
        </w:rPr>
        <w:t xml:space="preserve"> Certificado médico legal </w:t>
      </w:r>
      <w:r w:rsidRPr="52C4702B" w:rsidR="002F158D">
        <w:rPr>
          <w:sz w:val="23"/>
          <w:szCs w:val="23"/>
          <w:lang w:val="es-PE"/>
        </w:rPr>
        <w:t>n.°</w:t>
      </w:r>
      <w:r w:rsidRPr="52C4702B" w:rsidR="002F158D">
        <w:rPr>
          <w:sz w:val="23"/>
          <w:szCs w:val="23"/>
          <w:lang w:val="es-PE"/>
        </w:rPr>
        <w:t xml:space="preserve"> 4862-L de fecha 28 de diciembre de 2024; y, </w:t>
      </w:r>
      <w:r w:rsidRPr="52C4702B" w:rsidR="002F158D">
        <w:rPr>
          <w:b w:val="1"/>
          <w:bCs w:val="1"/>
          <w:i w:val="1"/>
          <w:iCs w:val="1"/>
          <w:sz w:val="23"/>
          <w:szCs w:val="23"/>
          <w:lang w:val="es-PE"/>
        </w:rPr>
        <w:t>(</w:t>
      </w:r>
      <w:r w:rsidRPr="52C4702B" w:rsidR="002F158D">
        <w:rPr>
          <w:b w:val="1"/>
          <w:bCs w:val="1"/>
          <w:i w:val="1"/>
          <w:iCs w:val="1"/>
          <w:sz w:val="23"/>
          <w:szCs w:val="23"/>
          <w:lang w:val="es-PE"/>
        </w:rPr>
        <w:t>ii</w:t>
      </w:r>
      <w:r w:rsidRPr="52C4702B" w:rsidR="002F158D">
        <w:rPr>
          <w:b w:val="1"/>
          <w:bCs w:val="1"/>
          <w:i w:val="1"/>
          <w:iCs w:val="1"/>
          <w:sz w:val="23"/>
          <w:szCs w:val="23"/>
          <w:lang w:val="es-PE"/>
        </w:rPr>
        <w:t>)</w:t>
      </w:r>
      <w:r w:rsidRPr="52C4702B" w:rsidR="002F158D">
        <w:rPr>
          <w:sz w:val="23"/>
          <w:szCs w:val="23"/>
          <w:lang w:val="es-PE"/>
        </w:rPr>
        <w:t xml:space="preserve"> comunicación de fecha 8 de enero del 2025 de Interbank a través de la cual se absuelve el requerimiento </w:t>
      </w:r>
      <w:r w:rsidRPr="52C4702B" w:rsidR="002F158D">
        <w:rPr>
          <w:sz w:val="23"/>
          <w:szCs w:val="23"/>
          <w:lang w:val="es-PE"/>
        </w:rPr>
        <w:t>en relación al</w:t>
      </w:r>
      <w:r w:rsidRPr="52C4702B" w:rsidR="002F158D">
        <w:rPr>
          <w:sz w:val="23"/>
          <w:szCs w:val="23"/>
          <w:lang w:val="es-PE"/>
        </w:rPr>
        <w:t xml:space="preserve"> consumo del sitio denominado “</w:t>
      </w:r>
      <w:r w:rsidRPr="52C4702B" w:rsidR="002F158D">
        <w:rPr>
          <w:sz w:val="23"/>
          <w:szCs w:val="23"/>
          <w:lang w:val="es-PE"/>
        </w:rPr>
        <w:t>izi</w:t>
      </w:r>
      <w:r w:rsidRPr="52C4702B" w:rsidR="002F158D">
        <w:rPr>
          <w:sz w:val="23"/>
          <w:szCs w:val="23"/>
          <w:lang w:val="es-PE"/>
        </w:rPr>
        <w:t xml:space="preserve"> rey león”. </w:t>
      </w:r>
    </w:p>
    <w:p w:rsidRPr="002F158D" w:rsidR="002F158D" w:rsidP="002F158D" w:rsidRDefault="002F158D" w14:paraId="42B5A5E2" w14:textId="346AC92B">
      <w:pPr>
        <w:spacing w:after="200"/>
        <w:jc w:val="both"/>
        <w:rPr>
          <w:sz w:val="23"/>
          <w:szCs w:val="23"/>
          <w:lang w:val="es-PE"/>
        </w:rPr>
      </w:pPr>
      <w:r w:rsidRPr="52C4702B" w:rsidR="002F158D">
        <w:rPr>
          <w:sz w:val="23"/>
          <w:szCs w:val="23"/>
          <w:lang w:val="es-PE"/>
        </w:rPr>
        <w:t xml:space="preserve">Que, el 29 de mayo de 2025, </w:t>
      </w:r>
      <w:r w:rsidRPr="52C4702B" w:rsidR="1695D792">
        <w:rPr>
          <w:sz w:val="23"/>
          <w:szCs w:val="23"/>
          <w:lang w:val="es-PE"/>
        </w:rPr>
        <w:t>............................</w:t>
      </w:r>
      <w:r w:rsidRPr="52C4702B" w:rsidR="002F158D">
        <w:rPr>
          <w:sz w:val="23"/>
          <w:szCs w:val="23"/>
          <w:lang w:val="es-PE"/>
        </w:rPr>
        <w:t xml:space="preserve"> absolvió el requerimiento de información formulado por esta Defensoría presentando la siguiente información: </w:t>
      </w:r>
      <w:r w:rsidRPr="52C4702B" w:rsidR="002F158D">
        <w:rPr>
          <w:b w:val="1"/>
          <w:bCs w:val="1"/>
          <w:i w:val="1"/>
          <w:iCs w:val="1"/>
          <w:sz w:val="23"/>
          <w:szCs w:val="23"/>
          <w:lang w:val="es-PE"/>
        </w:rPr>
        <w:t>(i)</w:t>
      </w:r>
      <w:r w:rsidRPr="52C4702B" w:rsidR="002F158D">
        <w:rPr>
          <w:sz w:val="23"/>
          <w:szCs w:val="23"/>
          <w:lang w:val="es-PE"/>
        </w:rPr>
        <w:t xml:space="preserve"> Informe examen de polígrafo </w:t>
      </w:r>
      <w:r w:rsidRPr="52C4702B" w:rsidR="002F158D">
        <w:rPr>
          <w:sz w:val="23"/>
          <w:szCs w:val="23"/>
          <w:lang w:val="es-PE"/>
        </w:rPr>
        <w:t>n.°</w:t>
      </w:r>
      <w:r w:rsidRPr="52C4702B" w:rsidR="002F158D">
        <w:rPr>
          <w:sz w:val="23"/>
          <w:szCs w:val="23"/>
          <w:lang w:val="es-PE"/>
        </w:rPr>
        <w:t xml:space="preserve"> </w:t>
      </w:r>
      <w:r w:rsidRPr="52C4702B" w:rsidR="468E2703">
        <w:rPr>
          <w:sz w:val="23"/>
          <w:szCs w:val="23"/>
          <w:lang w:val="es-PE"/>
        </w:rPr>
        <w:t>...........................................</w:t>
      </w:r>
      <w:r w:rsidRPr="52C4702B" w:rsidR="002F158D">
        <w:rPr>
          <w:sz w:val="23"/>
          <w:szCs w:val="23"/>
          <w:lang w:val="es-PE"/>
        </w:rPr>
        <w:t xml:space="preserve"> realizado a la señora </w:t>
      </w:r>
      <w:r w:rsidRPr="52C4702B" w:rsidR="2DB53D2A">
        <w:rPr>
          <w:sz w:val="23"/>
          <w:szCs w:val="23"/>
          <w:lang w:val="es-PE"/>
        </w:rPr>
        <w:t>..........................................</w:t>
      </w:r>
      <w:r w:rsidRPr="52C4702B" w:rsidR="002F158D">
        <w:rPr>
          <w:sz w:val="23"/>
          <w:szCs w:val="23"/>
          <w:lang w:val="es-PE"/>
        </w:rPr>
        <w:t xml:space="preserve"> el 30 de enero de 2025; </w:t>
      </w:r>
      <w:r w:rsidRPr="52C4702B" w:rsidR="002F158D">
        <w:rPr>
          <w:b w:val="1"/>
          <w:bCs w:val="1"/>
          <w:i w:val="1"/>
          <w:iCs w:val="1"/>
          <w:sz w:val="23"/>
          <w:szCs w:val="23"/>
          <w:lang w:val="es-PE"/>
        </w:rPr>
        <w:t>(</w:t>
      </w:r>
      <w:r w:rsidRPr="52C4702B" w:rsidR="002F158D">
        <w:rPr>
          <w:b w:val="1"/>
          <w:bCs w:val="1"/>
          <w:i w:val="1"/>
          <w:iCs w:val="1"/>
          <w:sz w:val="23"/>
          <w:szCs w:val="23"/>
          <w:lang w:val="es-PE"/>
        </w:rPr>
        <w:t>ii</w:t>
      </w:r>
      <w:r w:rsidRPr="52C4702B" w:rsidR="002F158D">
        <w:rPr>
          <w:b w:val="1"/>
          <w:bCs w:val="1"/>
          <w:i w:val="1"/>
          <w:iCs w:val="1"/>
          <w:sz w:val="23"/>
          <w:szCs w:val="23"/>
          <w:lang w:val="es-PE"/>
        </w:rPr>
        <w:t>)</w:t>
      </w:r>
      <w:r w:rsidRPr="52C4702B" w:rsidR="002F158D">
        <w:rPr>
          <w:sz w:val="23"/>
          <w:szCs w:val="23"/>
          <w:lang w:val="es-PE"/>
        </w:rPr>
        <w:t xml:space="preserve"> resultados de la calificación algorítmica de la prueba realizada a la asegurada el 30 de enero de 2025.</w:t>
      </w:r>
    </w:p>
    <w:p w:rsidRPr="002F158D" w:rsidR="002F158D" w:rsidP="002F158D" w:rsidRDefault="002F158D" w14:paraId="4DA9A3C5" w14:textId="77777777">
      <w:pPr>
        <w:spacing w:after="200"/>
        <w:jc w:val="both"/>
        <w:rPr>
          <w:sz w:val="23"/>
          <w:szCs w:val="23"/>
          <w:lang w:val="es-PE"/>
        </w:rPr>
      </w:pPr>
      <w:r w:rsidRPr="002F158D">
        <w:rPr>
          <w:sz w:val="23"/>
          <w:szCs w:val="23"/>
          <w:lang w:val="es-PE"/>
        </w:rPr>
        <w:t>Al resolver, este Colegiado toma en cuenta las argumentaciones de las partes expresadas a lo largo del procedimiento.</w:t>
      </w:r>
    </w:p>
    <w:p w:rsidRPr="002F158D" w:rsidR="002F158D" w:rsidP="002F158D" w:rsidRDefault="002F158D" w14:paraId="4AA10080" w14:textId="77777777">
      <w:pPr>
        <w:spacing w:after="200"/>
        <w:jc w:val="both"/>
        <w:rPr>
          <w:sz w:val="23"/>
          <w:szCs w:val="23"/>
          <w:lang w:val="es-PE"/>
        </w:rPr>
      </w:pPr>
    </w:p>
    <w:p w:rsidRPr="002F158D" w:rsidR="002F158D" w:rsidP="002F158D" w:rsidRDefault="002F158D" w14:paraId="2F1BC356" w14:textId="77777777">
      <w:pPr>
        <w:spacing w:after="200"/>
        <w:jc w:val="both"/>
        <w:rPr>
          <w:color w:val="000000"/>
          <w:sz w:val="23"/>
          <w:szCs w:val="23"/>
          <w:lang w:val="es-PE"/>
        </w:rPr>
      </w:pPr>
    </w:p>
    <w:p w:rsidRPr="002F158D" w:rsidR="002F158D" w:rsidP="002F158D" w:rsidRDefault="002F158D" w14:paraId="7FFCA024" w14:textId="77777777">
      <w:pPr>
        <w:spacing w:after="200"/>
        <w:jc w:val="both"/>
        <w:outlineLvl w:val="0"/>
        <w:rPr>
          <w:b/>
          <w:bCs/>
          <w:sz w:val="23"/>
          <w:szCs w:val="23"/>
          <w:lang w:val="es-MX"/>
        </w:rPr>
      </w:pPr>
      <w:r w:rsidRPr="002F158D">
        <w:rPr>
          <w:b/>
          <w:bCs/>
          <w:sz w:val="23"/>
          <w:szCs w:val="23"/>
          <w:lang w:val="es-MX"/>
        </w:rPr>
        <w:t>CONSIDERANDO:</w:t>
      </w:r>
    </w:p>
    <w:p w:rsidRPr="002F158D" w:rsidR="002F158D" w:rsidP="002F158D" w:rsidRDefault="002F158D" w14:paraId="199894A5" w14:textId="77777777">
      <w:pPr>
        <w:spacing w:after="200"/>
        <w:jc w:val="both"/>
        <w:rPr>
          <w:sz w:val="23"/>
          <w:szCs w:val="23"/>
          <w:lang w:val="es-PE"/>
        </w:rPr>
      </w:pPr>
      <w:r w:rsidRPr="002F158D">
        <w:rPr>
          <w:b/>
          <w:bCs/>
          <w:sz w:val="23"/>
          <w:szCs w:val="23"/>
          <w:u w:val="single"/>
          <w:lang w:val="es-PE"/>
        </w:rPr>
        <w:t>PRIMERO</w:t>
      </w:r>
      <w:r w:rsidRPr="002F158D">
        <w:rPr>
          <w:sz w:val="23"/>
          <w:szCs w:val="23"/>
          <w:lang w:val="es-PE"/>
        </w:rPr>
        <w:t>: Conforme al Reglamento de la DEFASEG (el “Reglamento”)</w:t>
      </w:r>
      <w:r w:rsidRPr="002F158D">
        <w:rPr>
          <w:sz w:val="23"/>
          <w:szCs w:val="23"/>
          <w:vertAlign w:val="superscript"/>
        </w:rPr>
        <w:footnoteReference w:id="1"/>
      </w:r>
      <w:r w:rsidRPr="002F158D">
        <w:rPr>
          <w:sz w:val="23"/>
          <w:szCs w:val="23"/>
          <w:lang w:val="es-PE"/>
        </w:rPr>
        <w:t xml:space="preserve">, esta Defensoría sólo es competente para resolver aquellos reclamos indemnizatorios de los asegurados, que </w:t>
      </w:r>
      <w:r w:rsidRPr="002F158D">
        <w:rPr>
          <w:sz w:val="23"/>
          <w:szCs w:val="23"/>
          <w:lang w:val="es-PE"/>
        </w:rPr>
        <w:t>hubiesen sido sometidos a su conocimiento, sobre la base de la documentación obrante en el expediente y con arreglo a derecho, siempre y cuando los mismos cumplan los requisitos reglamentarios de materia, cuantía y oportunidad, de manera que, todos aquellos reclamos por materias distintas al otorgamiento de la cobertura, como podrían ser aquellas pretensiones indemnizatorias por daños y perjuicios, el reembolso de los gastos incurridos por el asegurado o la idoneidad del servicio brindado por la empresa aseguradora, son ajenas a la competencia funcional de esta Defensoría; y, por lo tanto, deberán discutirse ante las instancias competentes.</w:t>
      </w:r>
    </w:p>
    <w:p w:rsidRPr="002F158D" w:rsidR="002F158D" w:rsidP="002F158D" w:rsidRDefault="002F158D" w14:paraId="0D8B3252" w14:textId="77777777">
      <w:pPr>
        <w:spacing w:after="200"/>
        <w:jc w:val="both"/>
        <w:rPr>
          <w:sz w:val="23"/>
          <w:szCs w:val="23"/>
          <w:lang w:val="es-PE"/>
        </w:rPr>
      </w:pPr>
      <w:r w:rsidRPr="002F158D">
        <w:rPr>
          <w:b/>
          <w:bCs/>
          <w:sz w:val="23"/>
          <w:szCs w:val="23"/>
          <w:u w:val="single"/>
          <w:lang w:val="es-PE"/>
        </w:rPr>
        <w:t>SEGUNDO</w:t>
      </w:r>
      <w:r w:rsidRPr="002F158D">
        <w:rPr>
          <w:sz w:val="23"/>
          <w:szCs w:val="23"/>
          <w:lang w:val="es-PE"/>
        </w:rPr>
        <w:t xml:space="preserve">: De acuerdo con el Reglamento, las resoluciones emitidas por la sala colegiada de la DEFASEG que queden </w:t>
      </w:r>
      <w:proofErr w:type="gramStart"/>
      <w:r w:rsidRPr="002F158D">
        <w:rPr>
          <w:sz w:val="23"/>
          <w:szCs w:val="23"/>
          <w:lang w:val="es-PE"/>
        </w:rPr>
        <w:t>firmes,</w:t>
      </w:r>
      <w:proofErr w:type="gramEnd"/>
      <w:r w:rsidRPr="002F158D">
        <w:rPr>
          <w:sz w:val="23"/>
          <w:szCs w:val="23"/>
          <w:lang w:val="es-PE"/>
        </w:rPr>
        <w:t xml:space="preserve"> son vinculantes para las empresas aseguradoras, cuando son favorables para los asegurados, las cuales deberán proceder conforme a lo ordenado en ellas en un plazo máximo de quince días hábiles de notificada la resolución. </w:t>
      </w:r>
    </w:p>
    <w:p w:rsidRPr="002F158D" w:rsidR="002F158D" w:rsidP="002F158D" w:rsidRDefault="002F158D" w14:paraId="301625FE" w14:textId="77777777">
      <w:pPr>
        <w:spacing w:after="200"/>
        <w:jc w:val="both"/>
        <w:rPr>
          <w:sz w:val="23"/>
          <w:szCs w:val="23"/>
          <w:lang w:val="es-PE"/>
        </w:rPr>
      </w:pPr>
      <w:r w:rsidRPr="002F158D">
        <w:rPr>
          <w:b/>
          <w:bCs/>
          <w:sz w:val="23"/>
          <w:szCs w:val="23"/>
          <w:u w:val="single"/>
          <w:lang w:val="es-PE"/>
        </w:rPr>
        <w:t>TERCERO</w:t>
      </w:r>
      <w:r w:rsidRPr="002F158D">
        <w:rPr>
          <w:sz w:val="23"/>
          <w:szCs w:val="23"/>
          <w:lang w:val="es-PE"/>
        </w:rPr>
        <w:t>: El artículo 1 de la Ley del Contrato de Seguro</w:t>
      </w:r>
      <w:r w:rsidRPr="002F158D">
        <w:rPr>
          <w:rStyle w:val="Refdenotaalpie"/>
          <w:sz w:val="23"/>
          <w:szCs w:val="23"/>
          <w:lang w:val="es-PE"/>
        </w:rPr>
        <w:footnoteReference w:id="2"/>
      </w:r>
      <w:r w:rsidRPr="002F158D">
        <w:rPr>
          <w:sz w:val="23"/>
          <w:szCs w:val="23"/>
          <w:lang w:val="es-PE"/>
        </w:rPr>
        <w:t xml:space="preserve"> señala que el contrato de seguro es aquel acuerdo por el que una empresa aseguradora se obliga, por el cobro de una prima, a indemnizar el daño producido al asegurado, a satisfacer un capital, una renta u otras prestaciones convenidas en caso se produzca un evento cuyo riesgo es objeto de cobertura, dentro de los términos de una póliza que la empresa aseguradora deberá entregar al asegurado al momento de la contratación y cuyos requisitos están previstos en el artículo 26 de la Ley señalada.</w:t>
      </w:r>
    </w:p>
    <w:p w:rsidRPr="002F158D" w:rsidR="002F158D" w:rsidP="002F158D" w:rsidRDefault="002F158D" w14:paraId="5CBC4F92" w14:textId="77777777">
      <w:pPr>
        <w:spacing w:after="200"/>
        <w:jc w:val="both"/>
        <w:rPr>
          <w:sz w:val="23"/>
          <w:szCs w:val="23"/>
          <w:lang w:val="es-PE"/>
        </w:rPr>
      </w:pPr>
      <w:r w:rsidRPr="002F158D">
        <w:rPr>
          <w:b/>
          <w:bCs/>
          <w:sz w:val="23"/>
          <w:szCs w:val="23"/>
          <w:u w:val="single"/>
          <w:lang w:val="es-PE"/>
        </w:rPr>
        <w:t>CUARTO</w:t>
      </w:r>
      <w:r w:rsidRPr="002F158D">
        <w:rPr>
          <w:sz w:val="23"/>
          <w:szCs w:val="23"/>
          <w:lang w:val="es-PE"/>
        </w:rPr>
        <w:t>: Que, el artículo 1361 del Código Civil</w:t>
      </w:r>
      <w:r w:rsidRPr="002F158D">
        <w:rPr>
          <w:rStyle w:val="Refdenotaalpie"/>
          <w:sz w:val="23"/>
          <w:szCs w:val="23"/>
          <w:lang w:val="es-PE"/>
        </w:rPr>
        <w:footnoteReference w:id="3"/>
      </w:r>
      <w:r w:rsidRPr="002F158D">
        <w:rPr>
          <w:sz w:val="23"/>
          <w:szCs w:val="23"/>
          <w:lang w:val="es-PE"/>
        </w:rPr>
        <w:t xml:space="preserve"> establece que los contratos son obligatorios en cuanto se encuentre expresado en ellos, presumiéndose que lo declarado en ellos corresponde a la voluntad de las partes, de manera que la parte que sostenga lo contrario a lo establecido expresamente en ellos deberá probarlo.</w:t>
      </w:r>
    </w:p>
    <w:p w:rsidRPr="002F158D" w:rsidR="002F158D" w:rsidP="002F158D" w:rsidRDefault="002F158D" w14:paraId="3F458D20" w14:textId="77777777">
      <w:pPr>
        <w:spacing w:after="200"/>
        <w:jc w:val="both"/>
        <w:rPr>
          <w:sz w:val="23"/>
          <w:szCs w:val="23"/>
          <w:lang w:val="es-PE"/>
        </w:rPr>
      </w:pPr>
      <w:r w:rsidRPr="002F158D">
        <w:rPr>
          <w:b/>
          <w:bCs/>
          <w:sz w:val="23"/>
          <w:szCs w:val="23"/>
          <w:u w:val="single"/>
          <w:lang w:val="es-PE"/>
        </w:rPr>
        <w:t>QUINTO</w:t>
      </w:r>
      <w:r w:rsidRPr="002F158D">
        <w:rPr>
          <w:sz w:val="23"/>
          <w:szCs w:val="23"/>
          <w:lang w:val="es-PE"/>
        </w:rPr>
        <w:t>: Que, en materia procesal, corresponde a quien invoque los hechos probar su existencia; carga a la que se refiere el artículo 196 del Código Procesal Civil</w:t>
      </w:r>
      <w:r w:rsidRPr="002F158D">
        <w:rPr>
          <w:rStyle w:val="Refdenotaalpie"/>
          <w:sz w:val="23"/>
          <w:szCs w:val="23"/>
          <w:lang w:val="es-PE"/>
        </w:rPr>
        <w:footnoteReference w:id="4"/>
      </w:r>
      <w:r w:rsidRPr="002F158D">
        <w:rPr>
          <w:sz w:val="23"/>
          <w:szCs w:val="23"/>
          <w:lang w:val="es-PE"/>
        </w:rPr>
        <w:t>, salvo que se acoja a alguna presunción legal de carácter relativa o absoluta contemplada expresamente en la legislación pertinente.</w:t>
      </w:r>
    </w:p>
    <w:p w:rsidRPr="002F158D" w:rsidR="002F158D" w:rsidP="002F158D" w:rsidRDefault="002F158D" w14:paraId="6A43CC7B" w14:textId="77777777">
      <w:pPr>
        <w:spacing w:after="200"/>
        <w:jc w:val="both"/>
        <w:rPr>
          <w:sz w:val="23"/>
          <w:szCs w:val="23"/>
          <w:lang w:val="es-PE"/>
        </w:rPr>
      </w:pPr>
      <w:r w:rsidRPr="002F158D">
        <w:rPr>
          <w:b/>
          <w:bCs/>
          <w:sz w:val="23"/>
          <w:szCs w:val="23"/>
          <w:u w:val="single"/>
          <w:lang w:val="es-PE"/>
        </w:rPr>
        <w:t>SEXTO</w:t>
      </w:r>
      <w:r w:rsidRPr="002F158D">
        <w:rPr>
          <w:sz w:val="23"/>
          <w:szCs w:val="23"/>
          <w:lang w:val="es-PE"/>
        </w:rPr>
        <w:t>: Que este Colegiado al resolver ha tomado en consideración los argumentos presentados por ambas partes. En ese sentido, el detalle de las posiciones de las partes refleja sus principales argumentos, no pretendiendo ser un listado exhaustivo de los mismos.</w:t>
      </w:r>
    </w:p>
    <w:p w:rsidRPr="002F158D" w:rsidR="002F158D" w:rsidP="002F158D" w:rsidRDefault="002F158D" w14:paraId="46086BF1" w14:textId="77777777">
      <w:pPr>
        <w:spacing w:after="200"/>
        <w:jc w:val="both"/>
        <w:rPr>
          <w:sz w:val="23"/>
          <w:szCs w:val="23"/>
          <w:lang w:val="es-PE"/>
        </w:rPr>
      </w:pPr>
      <w:bookmarkStart w:name="_Hlk200061658" w:id="5"/>
      <w:r w:rsidRPr="002F158D">
        <w:rPr>
          <w:b/>
          <w:bCs/>
          <w:sz w:val="23"/>
          <w:szCs w:val="23"/>
          <w:u w:val="single"/>
          <w:lang w:val="es-PE"/>
        </w:rPr>
        <w:t>SÉPTIMO</w:t>
      </w:r>
      <w:r w:rsidRPr="002F158D">
        <w:rPr>
          <w:sz w:val="23"/>
          <w:szCs w:val="23"/>
          <w:lang w:val="es-PE"/>
        </w:rPr>
        <w:t xml:space="preserve">: El Reglamento de la DEFASEG dispone en su artículo 4 que, la Defensoría es competente para resolver aquellas controversias suscitadas entre asegurados y empresas de </w:t>
      </w:r>
      <w:r w:rsidRPr="002F158D">
        <w:rPr>
          <w:sz w:val="23"/>
          <w:szCs w:val="23"/>
          <w:lang w:val="es-PE"/>
        </w:rPr>
        <w:t xml:space="preserve">seguros, siempre que se cumplan con los siguientes requisitos de materia, plazo y cuantía de manera concurrente: </w:t>
      </w:r>
      <w:r w:rsidRPr="002F158D">
        <w:rPr>
          <w:b/>
          <w:bCs/>
          <w:i/>
          <w:iCs/>
          <w:sz w:val="23"/>
          <w:szCs w:val="23"/>
          <w:lang w:val="es-PE"/>
        </w:rPr>
        <w:t>(i)</w:t>
      </w:r>
      <w:r w:rsidRPr="002F158D">
        <w:rPr>
          <w:sz w:val="23"/>
          <w:szCs w:val="23"/>
          <w:lang w:val="es-PE"/>
        </w:rPr>
        <w:t xml:space="preserve"> por un rechazo o liquidación de un siniestro por parte de una empresa de seguros; </w:t>
      </w:r>
      <w:r w:rsidRPr="002F158D">
        <w:rPr>
          <w:b/>
          <w:bCs/>
          <w:i/>
          <w:iCs/>
          <w:sz w:val="23"/>
          <w:szCs w:val="23"/>
          <w:lang w:val="es-PE"/>
        </w:rPr>
        <w:t>(</w:t>
      </w:r>
      <w:proofErr w:type="spellStart"/>
      <w:r w:rsidRPr="002F158D">
        <w:rPr>
          <w:b/>
          <w:bCs/>
          <w:i/>
          <w:iCs/>
          <w:sz w:val="23"/>
          <w:szCs w:val="23"/>
          <w:lang w:val="es-PE"/>
        </w:rPr>
        <w:t>ii</w:t>
      </w:r>
      <w:proofErr w:type="spellEnd"/>
      <w:r w:rsidRPr="002F158D">
        <w:rPr>
          <w:b/>
          <w:bCs/>
          <w:i/>
          <w:iCs/>
          <w:sz w:val="23"/>
          <w:szCs w:val="23"/>
          <w:lang w:val="es-PE"/>
        </w:rPr>
        <w:t>)</w:t>
      </w:r>
      <w:r w:rsidRPr="002F158D">
        <w:rPr>
          <w:sz w:val="23"/>
          <w:szCs w:val="23"/>
          <w:lang w:val="es-PE"/>
        </w:rPr>
        <w:t xml:space="preserve"> el reclamo debe presentarse dentro del plazo de dos años desde el día siguiente de recibida la primera notificación en que es rechazada la pretensión de cobertura por parte de la empresa de seguros; y, </w:t>
      </w:r>
      <w:r w:rsidRPr="002F158D">
        <w:rPr>
          <w:b/>
          <w:bCs/>
          <w:i/>
          <w:iCs/>
          <w:sz w:val="23"/>
          <w:szCs w:val="23"/>
          <w:lang w:val="es-PE"/>
        </w:rPr>
        <w:t>(</w:t>
      </w:r>
      <w:proofErr w:type="spellStart"/>
      <w:r w:rsidRPr="002F158D">
        <w:rPr>
          <w:b/>
          <w:bCs/>
          <w:i/>
          <w:iCs/>
          <w:sz w:val="23"/>
          <w:szCs w:val="23"/>
          <w:lang w:val="es-PE"/>
        </w:rPr>
        <w:t>iii</w:t>
      </w:r>
      <w:proofErr w:type="spellEnd"/>
      <w:r w:rsidRPr="002F158D">
        <w:rPr>
          <w:b/>
          <w:bCs/>
          <w:i/>
          <w:iCs/>
          <w:sz w:val="23"/>
          <w:szCs w:val="23"/>
          <w:lang w:val="es-PE"/>
        </w:rPr>
        <w:t>)</w:t>
      </w:r>
      <w:r w:rsidRPr="002F158D">
        <w:rPr>
          <w:sz w:val="23"/>
          <w:szCs w:val="23"/>
          <w:lang w:val="es-PE"/>
        </w:rPr>
        <w:t xml:space="preserve"> el total de la indemnización exigida por el asegurado a la empresa de seguros no debe exceder los USD 50 000 (cincuenta mil dólares americanos y 00/100)</w:t>
      </w:r>
      <w:r w:rsidRPr="002F158D">
        <w:rPr>
          <w:rStyle w:val="Refdenotaalpie"/>
          <w:sz w:val="23"/>
          <w:szCs w:val="23"/>
          <w:lang w:val="es-PE"/>
        </w:rPr>
        <w:footnoteReference w:id="5"/>
      </w:r>
      <w:r w:rsidRPr="002F158D">
        <w:rPr>
          <w:sz w:val="23"/>
          <w:szCs w:val="23"/>
          <w:lang w:val="es-PE"/>
        </w:rPr>
        <w:t xml:space="preserve">.  </w:t>
      </w:r>
    </w:p>
    <w:p w:rsidRPr="002F158D" w:rsidR="002F158D" w:rsidP="002F158D" w:rsidRDefault="002F158D" w14:paraId="4C21CD8C" w14:textId="0E46D377">
      <w:pPr>
        <w:spacing w:after="200"/>
        <w:jc w:val="both"/>
        <w:rPr>
          <w:sz w:val="23"/>
          <w:szCs w:val="23"/>
          <w:lang w:val="es-PE"/>
        </w:rPr>
      </w:pPr>
      <w:r w:rsidRPr="52C4702B" w:rsidR="002F158D">
        <w:rPr>
          <w:b w:val="1"/>
          <w:bCs w:val="1"/>
          <w:sz w:val="23"/>
          <w:szCs w:val="23"/>
          <w:u w:val="single"/>
          <w:lang w:val="es-PE"/>
        </w:rPr>
        <w:t>OCTAVO:</w:t>
      </w:r>
      <w:r w:rsidRPr="52C4702B" w:rsidR="002F158D">
        <w:rPr>
          <w:sz w:val="23"/>
          <w:szCs w:val="23"/>
          <w:lang w:val="es-PE"/>
        </w:rPr>
        <w:t xml:space="preserve"> De los actuados se desprende que no se encuentra en discusión el hecho que la señora </w:t>
      </w:r>
      <w:r w:rsidRPr="52C4702B" w:rsidR="2DB53D2A">
        <w:rPr>
          <w:sz w:val="23"/>
          <w:szCs w:val="23"/>
          <w:lang w:val="es-PE"/>
        </w:rPr>
        <w:t>..........................................</w:t>
      </w:r>
      <w:r w:rsidRPr="52C4702B" w:rsidR="002F158D">
        <w:rPr>
          <w:sz w:val="23"/>
          <w:szCs w:val="23"/>
          <w:lang w:val="es-PE"/>
        </w:rPr>
        <w:t xml:space="preserve"> adquirió un seguro denominado comercialmente «Tarjetas 360°» que ofrece protección por un posible uso indebido de sus tarjetas por robo, secuestro, hurto o extravío, con una cobertura de hasta PEN 13 000 (trece mil soles y 00/100) y por compras fraudulentas por internet, teléfono y transferencias de dinero virtual hasta por la suma de PEN 12 000 (doce mil soles y 00/100).</w:t>
      </w:r>
    </w:p>
    <w:p w:rsidRPr="002F158D" w:rsidR="002F158D" w:rsidP="002F158D" w:rsidRDefault="002F158D" w14:paraId="47D75B43" w14:textId="7E278F0B">
      <w:pPr>
        <w:spacing w:after="200"/>
        <w:jc w:val="both"/>
        <w:rPr>
          <w:sz w:val="23"/>
          <w:szCs w:val="23"/>
          <w:lang w:val="es-PE"/>
        </w:rPr>
      </w:pPr>
      <w:r w:rsidRPr="52C4702B" w:rsidR="002F158D">
        <w:rPr>
          <w:b w:val="1"/>
          <w:bCs w:val="1"/>
          <w:sz w:val="23"/>
          <w:szCs w:val="23"/>
          <w:u w:val="single"/>
          <w:lang w:val="es-PE"/>
        </w:rPr>
        <w:t>NOVENO</w:t>
      </w:r>
      <w:r w:rsidRPr="52C4702B" w:rsidR="002F158D">
        <w:rPr>
          <w:sz w:val="23"/>
          <w:szCs w:val="23"/>
          <w:lang w:val="es-PE"/>
        </w:rPr>
        <w:t xml:space="preserve">: Sobre la base de los documentos presentados por las partes en esta controversia, este Colegiado considera que la materia controvertida consiste en determinar la legitimidad del rechazo de la cobertura comunicada por </w:t>
      </w:r>
      <w:r w:rsidRPr="52C4702B" w:rsidR="1695D792">
        <w:rPr>
          <w:sz w:val="23"/>
          <w:szCs w:val="23"/>
          <w:lang w:val="es-PE"/>
        </w:rPr>
        <w:t>............................</w:t>
      </w:r>
      <w:r w:rsidRPr="52C4702B" w:rsidR="002F158D">
        <w:rPr>
          <w:sz w:val="23"/>
          <w:szCs w:val="23"/>
          <w:lang w:val="es-PE"/>
        </w:rPr>
        <w:t xml:space="preserve"> respecto del siniestro reportado por la señora </w:t>
      </w:r>
      <w:r w:rsidRPr="52C4702B" w:rsidR="2DB53D2A">
        <w:rPr>
          <w:sz w:val="23"/>
          <w:szCs w:val="23"/>
          <w:lang w:val="es-PE"/>
        </w:rPr>
        <w:t>..........................................</w:t>
      </w:r>
      <w:r w:rsidRPr="52C4702B" w:rsidR="002F158D">
        <w:rPr>
          <w:sz w:val="23"/>
          <w:szCs w:val="23"/>
          <w:lang w:val="es-PE"/>
        </w:rPr>
        <w:t xml:space="preserve">. Específicamente, sí es correcto afirmar razonable y racionalmente a partir de los documentos que obran en el expediente, que la asegurada presentó una declaración de siniestro fraudulenta. </w:t>
      </w:r>
    </w:p>
    <w:p w:rsidRPr="002F158D" w:rsidR="002F158D" w:rsidP="002F158D" w:rsidRDefault="002F158D" w14:paraId="2BD4E64B" w14:textId="77777777">
      <w:pPr>
        <w:spacing w:after="200"/>
        <w:jc w:val="both"/>
        <w:rPr>
          <w:sz w:val="23"/>
          <w:szCs w:val="23"/>
          <w:lang w:val="es-PE"/>
        </w:rPr>
      </w:pPr>
      <w:r w:rsidRPr="002F158D">
        <w:rPr>
          <w:sz w:val="23"/>
          <w:szCs w:val="23"/>
          <w:lang w:val="es-PE"/>
        </w:rPr>
        <w:t>En la medida que se reclama el rechazo de la cobertura del siniestro por parte de la empresa aseguradora, la controversia planteada cumple con el requisito de materia establecido en el Reglamento de la DEFASEG.</w:t>
      </w:r>
    </w:p>
    <w:p w:rsidRPr="002F158D" w:rsidR="002F158D" w:rsidP="002F158D" w:rsidRDefault="002F158D" w14:paraId="219393A1" w14:textId="77777777">
      <w:pPr>
        <w:spacing w:after="200"/>
        <w:jc w:val="both"/>
        <w:rPr>
          <w:sz w:val="23"/>
          <w:szCs w:val="23"/>
          <w:lang w:val="es-PE"/>
        </w:rPr>
      </w:pPr>
      <w:r w:rsidRPr="002F158D" w:rsidR="002F158D">
        <w:rPr>
          <w:sz w:val="23"/>
          <w:szCs w:val="23"/>
          <w:lang w:val="es-PE"/>
        </w:rPr>
        <w:t>Respecto de la resolución del Contrato de seguro, este Colegiado considera, como ya lo ha hecho en anteriores oportunidades, que su competencia se encuentra restringida a la revisión de la legalidad del rechazo. La Defensoría carece de competencia para pronunciarse respecto del extremo contenido en la Carta de rechazo que resuelve el contrato de seguro por causal de declaración fraudulenta, aspecto que en caso se pretenda discutir, deberá hacerse ante la instancia competente.</w:t>
      </w:r>
      <w:r w:rsidRPr="002F158D">
        <w:rPr>
          <w:rStyle w:val="Refdenotaalpie"/>
          <w:sz w:val="23"/>
          <w:szCs w:val="23"/>
          <w:lang w:val="es-PE"/>
        </w:rPr>
        <w:footnoteReference w:id="6"/>
      </w:r>
    </w:p>
    <w:p w:rsidRPr="002F158D" w:rsidR="002F158D" w:rsidP="002F158D" w:rsidRDefault="002F158D" w14:paraId="35934CCC" w14:textId="77777777">
      <w:pPr>
        <w:spacing w:after="200"/>
        <w:jc w:val="both"/>
        <w:rPr>
          <w:sz w:val="23"/>
          <w:szCs w:val="23"/>
          <w:lang w:val="es-PE"/>
        </w:rPr>
      </w:pPr>
      <w:r w:rsidRPr="002F158D">
        <w:rPr>
          <w:b/>
          <w:bCs/>
          <w:sz w:val="23"/>
          <w:szCs w:val="23"/>
          <w:u w:val="single"/>
          <w:lang w:val="es-PE"/>
        </w:rPr>
        <w:t>DÉCIMO:</w:t>
      </w:r>
      <w:r w:rsidRPr="002F158D">
        <w:rPr>
          <w:sz w:val="23"/>
          <w:szCs w:val="23"/>
          <w:lang w:val="es-PE"/>
        </w:rPr>
        <w:t xml:space="preserve"> El reclamo fue presentado por la asegurada el 17 de febrero de 2025, por lo tanto, nos encontramos dentro del plazo perentorio para su presentación contemplado en el Reglamento de la DEFASEG. </w:t>
      </w:r>
    </w:p>
    <w:p w:rsidRPr="002F158D" w:rsidR="002F158D" w:rsidP="002F158D" w:rsidRDefault="002F158D" w14:paraId="6EF6089F" w14:textId="77777777">
      <w:pPr>
        <w:spacing w:after="200"/>
        <w:jc w:val="both"/>
        <w:rPr>
          <w:sz w:val="23"/>
          <w:szCs w:val="23"/>
          <w:lang w:val="es-PE"/>
        </w:rPr>
      </w:pPr>
      <w:r w:rsidRPr="002F158D">
        <w:rPr>
          <w:b/>
          <w:bCs/>
          <w:sz w:val="23"/>
          <w:szCs w:val="23"/>
          <w:u w:val="single"/>
          <w:lang w:val="es-PE"/>
        </w:rPr>
        <w:t>UNDÉCIMO:</w:t>
      </w:r>
      <w:r w:rsidRPr="002F158D">
        <w:rPr>
          <w:sz w:val="23"/>
          <w:szCs w:val="23"/>
          <w:lang w:val="es-PE"/>
        </w:rPr>
        <w:t xml:space="preserve"> El monto solicitado por la reclamante asciende a la suma de PEN 21,750 (veintiún mil setecientos cincuenta soles y 00/100), en dicho sentido, el reclamo se encuentra dentro de los límites por cuantía de la competencia establecida por el Reglamento de la DEFASEG.</w:t>
      </w:r>
    </w:p>
    <w:p w:rsidRPr="002F158D" w:rsidR="002F158D" w:rsidP="002F158D" w:rsidRDefault="002F158D" w14:paraId="6FB5A5C8" w14:textId="3C4C4FAF">
      <w:pPr>
        <w:spacing w:after="200"/>
        <w:jc w:val="both"/>
        <w:rPr>
          <w:sz w:val="23"/>
          <w:szCs w:val="23"/>
          <w:lang w:val="es-PE"/>
        </w:rPr>
      </w:pPr>
      <w:r w:rsidRPr="52C4702B" w:rsidR="002F158D">
        <w:rPr>
          <w:b w:val="1"/>
          <w:bCs w:val="1"/>
          <w:sz w:val="23"/>
          <w:szCs w:val="23"/>
          <w:u w:val="single"/>
          <w:lang w:val="es-PE"/>
        </w:rPr>
        <w:t>DUODÉCIMO:</w:t>
      </w:r>
      <w:r w:rsidRPr="52C4702B" w:rsidR="002F158D">
        <w:rPr>
          <w:sz w:val="23"/>
          <w:szCs w:val="23"/>
          <w:lang w:val="es-PE"/>
        </w:rPr>
        <w:t xml:space="preserve"> Siendo que el reclamo presentado por la señora </w:t>
      </w:r>
      <w:r w:rsidRPr="52C4702B" w:rsidR="2DB53D2A">
        <w:rPr>
          <w:sz w:val="23"/>
          <w:szCs w:val="23"/>
          <w:lang w:val="es-PE"/>
        </w:rPr>
        <w:t>..........................................</w:t>
      </w:r>
      <w:r w:rsidRPr="52C4702B" w:rsidR="002F158D">
        <w:rPr>
          <w:sz w:val="23"/>
          <w:szCs w:val="23"/>
          <w:lang w:val="es-PE"/>
        </w:rPr>
        <w:t xml:space="preserve"> cumple con los requisitos reglamentarios de </w:t>
      </w:r>
      <w:bookmarkStart w:name="_Hlk200120316" w:id="6"/>
      <w:r w:rsidRPr="52C4702B" w:rsidR="002F158D">
        <w:rPr>
          <w:sz w:val="23"/>
          <w:szCs w:val="23"/>
          <w:lang w:val="es-PE"/>
        </w:rPr>
        <w:t>materia, plazo y cuantía</w:t>
      </w:r>
      <w:bookmarkEnd w:id="6"/>
      <w:r w:rsidRPr="52C4702B" w:rsidR="002F158D">
        <w:rPr>
          <w:sz w:val="23"/>
          <w:szCs w:val="23"/>
          <w:lang w:val="es-PE"/>
        </w:rPr>
        <w:t xml:space="preserve">, esta Defensoría es competente para pronunciarse sobre el fondo de la controversia planteada. </w:t>
      </w:r>
    </w:p>
    <w:p w:rsidRPr="002F158D" w:rsidR="002F158D" w:rsidP="002F158D" w:rsidRDefault="002F158D" w14:paraId="26A5EAC2" w14:textId="01C74CB7">
      <w:pPr>
        <w:spacing w:after="200"/>
        <w:jc w:val="both"/>
        <w:rPr>
          <w:sz w:val="23"/>
          <w:szCs w:val="23"/>
          <w:lang w:val="es-PE"/>
        </w:rPr>
      </w:pPr>
      <w:r w:rsidRPr="52C4702B" w:rsidR="002F158D">
        <w:rPr>
          <w:b w:val="1"/>
          <w:bCs w:val="1"/>
          <w:sz w:val="23"/>
          <w:szCs w:val="23"/>
          <w:u w:val="single"/>
          <w:lang w:val="es-PE"/>
        </w:rPr>
        <w:t>DÉCIMO PRIMERO</w:t>
      </w:r>
      <w:r w:rsidRPr="52C4702B" w:rsidR="002F158D">
        <w:rPr>
          <w:sz w:val="23"/>
          <w:szCs w:val="23"/>
          <w:lang w:val="es-PE"/>
        </w:rPr>
        <w:t xml:space="preserve">: Que, de acuerdo con la Solicitud Certificado (Descripción de la cobertura), </w:t>
      </w:r>
      <w:r w:rsidRPr="52C4702B" w:rsidR="1695D792">
        <w:rPr>
          <w:sz w:val="23"/>
          <w:szCs w:val="23"/>
          <w:lang w:val="es-PE"/>
        </w:rPr>
        <w:t>............................</w:t>
      </w:r>
      <w:r w:rsidRPr="52C4702B" w:rsidR="002F158D">
        <w:rPr>
          <w:sz w:val="23"/>
          <w:szCs w:val="23"/>
          <w:lang w:val="es-PE"/>
        </w:rPr>
        <w:t xml:space="preserve"> se encuentra obligada a indemnizar al asegurado por el daño patrimonial que pudiera sufrir como consecuencia del uso indebido y con presencia física, de las tarjetas aseguradas, en un negocio afiliado, hasta la suma asegurada máxima que obra en la Solicitud Certificado.</w:t>
      </w:r>
    </w:p>
    <w:p w:rsidRPr="002F158D" w:rsidR="002F158D" w:rsidP="002F158D" w:rsidRDefault="002F158D" w14:paraId="462BED1E" w14:textId="184A2169">
      <w:pPr>
        <w:spacing w:after="200"/>
        <w:jc w:val="both"/>
        <w:rPr>
          <w:sz w:val="23"/>
          <w:szCs w:val="23"/>
          <w:lang w:val="es-PE"/>
        </w:rPr>
      </w:pPr>
      <w:r w:rsidRPr="52C4702B" w:rsidR="002F158D">
        <w:rPr>
          <w:sz w:val="23"/>
          <w:szCs w:val="23"/>
          <w:lang w:val="es-PE"/>
        </w:rPr>
        <w:t xml:space="preserve">De acuerdo con los términos de la Solicitud Certificado </w:t>
      </w:r>
      <w:r w:rsidRPr="52C4702B" w:rsidR="1695D792">
        <w:rPr>
          <w:sz w:val="23"/>
          <w:szCs w:val="23"/>
          <w:lang w:val="es-PE"/>
        </w:rPr>
        <w:t>............................</w:t>
      </w:r>
      <w:r w:rsidRPr="52C4702B" w:rsidR="002F158D">
        <w:rPr>
          <w:sz w:val="23"/>
          <w:szCs w:val="23"/>
          <w:lang w:val="es-PE"/>
        </w:rPr>
        <w:t xml:space="preserve"> estaría obligada a indemnizar al asegurado por las pérdidas derivadas del siniestro del 18 de agosto de 2024. No obstante, si bien una vez ocurrido el hecho, el asegurado tendría derecho a recibir la indemnización contratada, es claro que a la empresa aseguradora también le asiste el derecho de investigar respecto de la verdadera naturaleza del siniestro.   </w:t>
      </w:r>
    </w:p>
    <w:p w:rsidRPr="002F158D" w:rsidR="002F158D" w:rsidP="002F158D" w:rsidRDefault="002F158D" w14:paraId="1E346D2B" w14:textId="77777777">
      <w:pPr>
        <w:spacing w:after="200"/>
        <w:jc w:val="both"/>
        <w:rPr>
          <w:sz w:val="23"/>
          <w:szCs w:val="23"/>
          <w:lang w:val="es-PE"/>
        </w:rPr>
      </w:pPr>
      <w:r w:rsidRPr="002F158D">
        <w:rPr>
          <w:b/>
          <w:bCs/>
          <w:sz w:val="23"/>
          <w:szCs w:val="23"/>
          <w:u w:val="single"/>
          <w:lang w:val="es-PE"/>
        </w:rPr>
        <w:t>DÉCIMO SEGUNDO</w:t>
      </w:r>
      <w:r w:rsidRPr="002F158D">
        <w:rPr>
          <w:sz w:val="23"/>
          <w:szCs w:val="23"/>
          <w:lang w:val="es-PE"/>
        </w:rPr>
        <w:t xml:space="preserve">: Sobre el particular, no podemos dejar de perder de vista, tal como ha señalado este Colegiado en anteriores oportunidades, </w:t>
      </w:r>
      <w:proofErr w:type="gramStart"/>
      <w:r w:rsidRPr="002F158D">
        <w:rPr>
          <w:sz w:val="23"/>
          <w:szCs w:val="23"/>
          <w:lang w:val="es-PE"/>
        </w:rPr>
        <w:t>que</w:t>
      </w:r>
      <w:proofErr w:type="gramEnd"/>
      <w:r w:rsidRPr="002F158D">
        <w:rPr>
          <w:sz w:val="23"/>
          <w:szCs w:val="23"/>
          <w:lang w:val="es-PE"/>
        </w:rPr>
        <w:t xml:space="preserve"> en todo contrato de seguro, hay una asimetría informativa entre el asegurado y la empresa aseguradora, no sólo al momento de perfeccionarse el contrato, sino a lo largo de toda la relación. Lo primero tiene suma importancia para definir la aceptación de los riesgos y la estimación de la prima; lo segundo, para fines de concluir en la ocurrencia del siniestro indemnizable y en la procedencia del respectivo pago de la indemnización.  De manera literal, una empresa aseguradora se encomienda al asegurado, porque éste es quien sabe cuál es el verdadero estado del riesgo y cómo se produjo el siniestro.  Por ello, en la práctica de la industria de los seguros y en la propia normativa, se reconocen una serie de figuras que pretenden de alguna manera compensar o paliar los efectos de la señalada asimetría informativa, como lo son, por ejemplo, el régimen legal aplicable a la reticencia y/o declaración inexacta al momento de contratar, el régimen por agravación del riesgo, o el régimen del derecho potestativo de la empresa aseguradora de investigar lo ocurrido para confrontar las declaraciones del asegurado y/o el severo régimen de la caducidad de la pretensión indemnizatoria en caso se presente una reclamación fraudulenta o engañosa.</w:t>
      </w:r>
      <w:r w:rsidRPr="002F158D">
        <w:rPr>
          <w:sz w:val="23"/>
          <w:szCs w:val="23"/>
          <w:vertAlign w:val="superscript"/>
        </w:rPr>
        <w:footnoteReference w:id="7"/>
      </w:r>
    </w:p>
    <w:p w:rsidRPr="002F158D" w:rsidR="002F158D" w:rsidP="002F158D" w:rsidRDefault="002F158D" w14:paraId="5C4CD938" w14:textId="77777777">
      <w:pPr>
        <w:spacing w:after="200"/>
        <w:jc w:val="both"/>
        <w:rPr>
          <w:sz w:val="23"/>
          <w:szCs w:val="23"/>
          <w:lang w:val="es-PE"/>
        </w:rPr>
      </w:pPr>
      <w:r w:rsidRPr="002F158D">
        <w:rPr>
          <w:sz w:val="23"/>
          <w:szCs w:val="23"/>
          <w:lang w:val="es-PE"/>
        </w:rPr>
        <w:t xml:space="preserve">Efectivamente, el asegurado pierde los derechos indemnizatorios en caso actúe fraudulentamente, exagere los daños o emplee medios falsos para probarlos. El fundamento de ello radica en que se está ante una actuación maliciosa, dado que se entiende que el propio asegurado habría procurado intencionalmente la ocurrencia del siniestro, exagerado sus consecuencias o empleado medios falsos para justificar su solicitud de cobertura, todo ello, con el propósito subalterno de obtener una indemnización que no le correspondería, con el </w:t>
      </w:r>
      <w:r w:rsidRPr="002F158D">
        <w:rPr>
          <w:sz w:val="23"/>
          <w:szCs w:val="23"/>
          <w:lang w:val="es-PE"/>
        </w:rPr>
        <w:t>consiguiente enriquecimiento indebido, por lo que se está ante una grave violación del principio rector de máxima buena fe en materia de seguros. Conforme a lo anterior, la reclamación fraudulenta es una grave inconducta del asegurado que no puede ser amparada por el Derecho</w:t>
      </w:r>
      <w:r w:rsidRPr="002F158D">
        <w:rPr>
          <w:rStyle w:val="Refdenotaalpie"/>
          <w:sz w:val="23"/>
          <w:szCs w:val="23"/>
          <w:lang w:val="es-PE"/>
        </w:rPr>
        <w:footnoteReference w:id="8"/>
      </w:r>
      <w:r w:rsidRPr="002F158D">
        <w:rPr>
          <w:sz w:val="23"/>
          <w:szCs w:val="23"/>
          <w:lang w:val="es-PE"/>
        </w:rPr>
        <w:t>.</w:t>
      </w:r>
    </w:p>
    <w:p w:rsidRPr="002F158D" w:rsidR="002F158D" w:rsidP="002F158D" w:rsidRDefault="002F158D" w14:paraId="0B3627F1" w14:textId="77777777">
      <w:pPr>
        <w:spacing w:after="200"/>
        <w:jc w:val="both"/>
        <w:rPr>
          <w:sz w:val="23"/>
          <w:szCs w:val="23"/>
          <w:lang w:val="es-PE"/>
        </w:rPr>
      </w:pPr>
      <w:r w:rsidRPr="002F158D">
        <w:rPr>
          <w:b/>
          <w:bCs/>
          <w:sz w:val="23"/>
          <w:szCs w:val="23"/>
          <w:u w:val="single"/>
          <w:lang w:val="es-PE"/>
        </w:rPr>
        <w:t>DÉCIMO TERCERO</w:t>
      </w:r>
      <w:r w:rsidRPr="002F158D">
        <w:rPr>
          <w:sz w:val="23"/>
          <w:szCs w:val="23"/>
          <w:lang w:val="es-PE"/>
        </w:rPr>
        <w:t>: Es en sintonía con lo señalado en el considerando anterior, es que el artículo 69 de la Ley del contrato de seguro</w:t>
      </w:r>
      <w:r w:rsidRPr="002F158D">
        <w:rPr>
          <w:rStyle w:val="Refdenotaalpie"/>
          <w:sz w:val="23"/>
          <w:szCs w:val="23"/>
          <w:lang w:val="es-PE"/>
        </w:rPr>
        <w:footnoteReference w:id="9"/>
      </w:r>
      <w:r w:rsidRPr="002F158D">
        <w:rPr>
          <w:sz w:val="23"/>
          <w:szCs w:val="23"/>
          <w:lang w:val="es-PE"/>
        </w:rPr>
        <w:t xml:space="preserve"> establece que cuando se realice un aviso de siniestro, el contratante, el asegurado o el beneficiario -según sea el caso-, debe suministrar a la empresa aseguradora, información veraz, razonable y necesaria para verificar la ocurrencia </w:t>
      </w:r>
      <w:proofErr w:type="gramStart"/>
      <w:r w:rsidRPr="002F158D">
        <w:rPr>
          <w:sz w:val="23"/>
          <w:szCs w:val="23"/>
          <w:lang w:val="es-PE"/>
        </w:rPr>
        <w:t>del mismo</w:t>
      </w:r>
      <w:proofErr w:type="gramEnd"/>
      <w:r w:rsidRPr="002F158D">
        <w:rPr>
          <w:sz w:val="23"/>
          <w:szCs w:val="23"/>
          <w:lang w:val="es-PE"/>
        </w:rPr>
        <w:t>. En esa línea, el artículo 73 de la Ley del contrato de seguro</w:t>
      </w:r>
      <w:r w:rsidRPr="002F158D">
        <w:rPr>
          <w:rStyle w:val="Refdenotaalpie"/>
          <w:sz w:val="23"/>
          <w:szCs w:val="23"/>
          <w:lang w:val="es-PE"/>
        </w:rPr>
        <w:footnoteReference w:id="10"/>
      </w:r>
      <w:r w:rsidRPr="002F158D">
        <w:rPr>
          <w:sz w:val="23"/>
          <w:szCs w:val="23"/>
          <w:lang w:val="es-PE"/>
        </w:rPr>
        <w:t xml:space="preserve">, prescribe que el asegurado pierde se derecho a ser indemnizado si actúa fraudulentamente. Se entiende por un actuar fraudulento a aquel comportamiento que involucra, procede o actúa con fraude. </w:t>
      </w:r>
    </w:p>
    <w:p w:rsidRPr="002F158D" w:rsidR="002F158D" w:rsidP="002F158D" w:rsidRDefault="002F158D" w14:paraId="37A6FFEC" w14:textId="77777777">
      <w:pPr>
        <w:spacing w:after="200"/>
        <w:jc w:val="both"/>
        <w:rPr>
          <w:sz w:val="23"/>
          <w:szCs w:val="23"/>
          <w:lang w:val="es-PE"/>
        </w:rPr>
      </w:pPr>
      <w:r w:rsidRPr="002F158D">
        <w:rPr>
          <w:sz w:val="23"/>
          <w:szCs w:val="23"/>
          <w:lang w:val="es-PE"/>
        </w:rPr>
        <w:t>Se entiende por fraude en un sentido amplio a aquella acción contraria a la verdad y a la rectitud que perjudica a la persona contra quien se comete</w:t>
      </w:r>
      <w:r w:rsidRPr="002F158D">
        <w:rPr>
          <w:rStyle w:val="Refdenotaalpie"/>
          <w:sz w:val="23"/>
          <w:szCs w:val="23"/>
          <w:lang w:val="es-PE"/>
        </w:rPr>
        <w:footnoteReference w:id="11"/>
      </w:r>
      <w:r w:rsidRPr="002F158D">
        <w:rPr>
          <w:sz w:val="23"/>
          <w:szCs w:val="23"/>
          <w:lang w:val="es-PE"/>
        </w:rPr>
        <w:t>, y, en un sentido técnico en el plano de los seguros, a aquella situación que se produce cuando el asegurado ha procurado intencionalmente la ocurrencia del siniestro o exagerado sus consecuencias con ánimo de conseguir un enriquecimiento injusto a través de la indemnización que espera lograr de la empresa aseguradora.</w:t>
      </w:r>
      <w:r w:rsidRPr="002F158D">
        <w:rPr>
          <w:rStyle w:val="Refdenotaalpie"/>
          <w:sz w:val="23"/>
          <w:szCs w:val="23"/>
          <w:lang w:val="es-PE"/>
        </w:rPr>
        <w:footnoteReference w:id="12"/>
      </w:r>
      <w:r w:rsidRPr="002F158D">
        <w:rPr>
          <w:sz w:val="23"/>
          <w:szCs w:val="23"/>
          <w:lang w:val="es-PE"/>
        </w:rPr>
        <w:t xml:space="preserve"> Siguiendo esta línea, la Administración de Seguros de Maryland considera como un reclamo fraudulento, por ejemplo, el hecho de presentar un robo o vandalismo falso con la intención de obtener un beneficio irregular por ello.</w:t>
      </w:r>
      <w:r w:rsidRPr="002F158D">
        <w:rPr>
          <w:rStyle w:val="Refdenotaalpie"/>
          <w:sz w:val="23"/>
          <w:szCs w:val="23"/>
          <w:lang w:val="es-PE"/>
        </w:rPr>
        <w:footnoteReference w:id="13"/>
      </w:r>
      <w:r w:rsidRPr="002F158D">
        <w:rPr>
          <w:sz w:val="23"/>
          <w:szCs w:val="23"/>
          <w:lang w:val="es-PE"/>
        </w:rPr>
        <w:t xml:space="preserve"> </w:t>
      </w:r>
    </w:p>
    <w:p w:rsidRPr="002F158D" w:rsidR="002F158D" w:rsidP="002F158D" w:rsidRDefault="002F158D" w14:paraId="1CB4E37E" w14:textId="77777777">
      <w:pPr>
        <w:spacing w:after="200"/>
        <w:jc w:val="both"/>
        <w:rPr>
          <w:sz w:val="23"/>
          <w:szCs w:val="23"/>
          <w:lang w:val="es-PE"/>
        </w:rPr>
      </w:pPr>
      <w:r w:rsidRPr="002F158D">
        <w:rPr>
          <w:sz w:val="23"/>
          <w:szCs w:val="23"/>
          <w:lang w:val="es-PE"/>
        </w:rPr>
        <w:t xml:space="preserve">Por lo expresado, no cabe duda, que el hecho de dar aviso de un siniestro que no ocurrió, urdiendo para ello una serie de actos para dar la apariencia de que el hecho efectivamente sí se perpetró, constituye un actuar fraudulento, proscrito – como hemos visto- por el artículo 73 de la Ley del contrato de seguro.  </w:t>
      </w:r>
    </w:p>
    <w:p w:rsidRPr="002F158D" w:rsidR="002F158D" w:rsidP="002F158D" w:rsidRDefault="002F158D" w14:paraId="62881BAF" w14:textId="77777777">
      <w:pPr>
        <w:spacing w:after="200"/>
        <w:jc w:val="both"/>
        <w:rPr>
          <w:sz w:val="23"/>
          <w:szCs w:val="23"/>
          <w:lang w:val="es-PE"/>
        </w:rPr>
      </w:pPr>
      <w:r w:rsidRPr="002F158D">
        <w:rPr>
          <w:sz w:val="23"/>
          <w:szCs w:val="23"/>
          <w:lang w:val="es-PE"/>
        </w:rPr>
        <w:t>De acuerdo con el marco legal peruano, y tal como está establecido en el artículo 77 de la Ley del contrato de seguro</w:t>
      </w:r>
      <w:r w:rsidRPr="002F158D">
        <w:rPr>
          <w:rStyle w:val="Refdenotaalpie"/>
          <w:sz w:val="23"/>
          <w:szCs w:val="23"/>
          <w:lang w:val="es-PE"/>
        </w:rPr>
        <w:footnoteReference w:id="14"/>
      </w:r>
      <w:r w:rsidRPr="002F158D">
        <w:rPr>
          <w:sz w:val="23"/>
          <w:szCs w:val="23"/>
          <w:lang w:val="es-PE"/>
        </w:rPr>
        <w:t xml:space="preserve">, corresponde, al asegurado probar la ocurrencia del siniestro y al </w:t>
      </w:r>
      <w:r w:rsidRPr="002F158D">
        <w:rPr>
          <w:sz w:val="23"/>
          <w:szCs w:val="23"/>
          <w:lang w:val="es-PE"/>
        </w:rPr>
        <w:t>asegurador, el demostrar las causas que lo liberan de su prestación indemnizatoria, en este caso, la empresa aseguradora debe presentar evidencia suficiente que nos encontramos ante una declaración fraudulenta en los términos señalados en el artículo 73 de la Ley del contrato de seguro.</w:t>
      </w:r>
    </w:p>
    <w:p w:rsidRPr="002F158D" w:rsidR="002F158D" w:rsidP="002F158D" w:rsidRDefault="002F158D" w14:paraId="1A9AEA49" w14:textId="77777777">
      <w:pPr>
        <w:spacing w:after="200"/>
        <w:jc w:val="both"/>
        <w:rPr>
          <w:sz w:val="23"/>
          <w:szCs w:val="23"/>
          <w:lang w:val="es-PE"/>
        </w:rPr>
      </w:pPr>
      <w:bookmarkStart w:name="_Hlk198053358" w:id="7"/>
      <w:bookmarkEnd w:id="5"/>
      <w:r w:rsidRPr="002F158D" w:rsidR="002F158D">
        <w:rPr>
          <w:b w:val="1"/>
          <w:bCs w:val="1"/>
          <w:sz w:val="23"/>
          <w:szCs w:val="23"/>
          <w:u w:val="single"/>
          <w:lang w:val="es-PE"/>
        </w:rPr>
        <w:t>DÉCIMO CUARTO</w:t>
      </w:r>
      <w:r w:rsidRPr="002F158D" w:rsidR="002F158D">
        <w:rPr>
          <w:sz w:val="23"/>
          <w:szCs w:val="23"/>
          <w:lang w:val="es-PE"/>
        </w:rPr>
        <w:t xml:space="preserve">: Como es sabido, la prueba tiene por finalidad, a través del ofrecimiento, práctica y valoración de los medios probatorios, producir en el juzgador la convicción o certeza sobre los hechos afirmados por las partes. En dicho sentido, parafraseando al profesor </w:t>
      </w:r>
      <w:r w:rsidRPr="002F158D" w:rsidR="19B9A078">
        <w:rPr>
          <w:sz w:val="23"/>
          <w:szCs w:val="23"/>
          <w:lang w:val="es-PE"/>
        </w:rPr>
        <w:t>..................................</w:t>
      </w:r>
      <w:r w:rsidRPr="002F158D" w:rsidR="002F158D">
        <w:rPr>
          <w:sz w:val="23"/>
          <w:szCs w:val="23"/>
          <w:lang w:val="es-PE"/>
        </w:rPr>
        <w:t xml:space="preserve"> no nos encontramos ante una certeza metafísica, absoluta, que pueda confundirse con la prueba perfecta de la verdad, sino de una certeza histórica, lógica, sicológica y humana, a la que llega el juzgador después de todo un procedimiento complejo. Por tanto, se trata de una certeza con sus naturales limitaciones y su inseparable posibilidad de error.</w:t>
      </w:r>
      <w:r w:rsidRPr="002F158D">
        <w:rPr>
          <w:rStyle w:val="Refdenotaalpie"/>
          <w:sz w:val="23"/>
          <w:szCs w:val="23"/>
          <w:lang w:val="es-PE"/>
        </w:rPr>
        <w:footnoteReference w:id="15"/>
      </w:r>
    </w:p>
    <w:p w:rsidRPr="002F158D" w:rsidR="002F158D" w:rsidP="002F158D" w:rsidRDefault="002F158D" w14:paraId="441AA09A" w14:textId="77777777">
      <w:pPr>
        <w:spacing w:after="200"/>
        <w:jc w:val="both"/>
        <w:rPr>
          <w:sz w:val="23"/>
          <w:szCs w:val="23"/>
          <w:lang w:val="es-PE"/>
        </w:rPr>
      </w:pPr>
      <w:r w:rsidRPr="002F158D">
        <w:rPr>
          <w:sz w:val="23"/>
          <w:szCs w:val="23"/>
          <w:lang w:val="es-PE"/>
        </w:rPr>
        <w:t>Nos encontramos entontes ante lo que la doctrina conoce como “verdad formal”, es decir, aquella que permite aceptar como acreditados hechos o circunstancias cuando su existencia es racionalmente probable para considerarlos como efectivamente ocurridos. Se alcanza esta verdad formal a partir de una tarea analítica en la que se deben conjugar criterios de razonabilidad, objetividad y flexibilidad en el análisis y evaluación de todos los elementos y circunstancias que rodea cada caso en su conjunto. Es entonces, para llegar a esta verdad formal, que el asegurador tiene amplias facultades informativas y de investigación, las cuales debe usar con responsabilidad, diligencia y prudencia.</w:t>
      </w:r>
      <w:r w:rsidRPr="002F158D">
        <w:rPr>
          <w:rStyle w:val="Refdenotaalpie"/>
          <w:sz w:val="23"/>
          <w:szCs w:val="23"/>
          <w:lang w:val="es-PE"/>
        </w:rPr>
        <w:footnoteReference w:id="16"/>
      </w:r>
    </w:p>
    <w:p w:rsidRPr="002F158D" w:rsidR="002F158D" w:rsidP="002F158D" w:rsidRDefault="002F158D" w14:paraId="4C90029F" w14:textId="7F1CF069">
      <w:pPr>
        <w:spacing w:after="200"/>
        <w:jc w:val="both"/>
        <w:rPr>
          <w:sz w:val="23"/>
          <w:szCs w:val="23"/>
          <w:lang w:val="es-PE"/>
        </w:rPr>
      </w:pPr>
      <w:r w:rsidRPr="002F158D" w:rsidR="002F158D">
        <w:rPr>
          <w:b w:val="1"/>
          <w:bCs w:val="1"/>
          <w:sz w:val="23"/>
          <w:szCs w:val="23"/>
          <w:u w:val="single"/>
          <w:lang w:val="es-PE"/>
        </w:rPr>
        <w:t>DECIMO QUINTO</w:t>
      </w:r>
      <w:r w:rsidRPr="002F158D" w:rsidR="002F158D">
        <w:rPr>
          <w:sz w:val="23"/>
          <w:szCs w:val="23"/>
          <w:lang w:val="es-PE"/>
        </w:rPr>
        <w:t xml:space="preserve">: Es en el marco de las facultades de información e investigación que la Ley del contrato de seguro otorga a las empresas aseguradoras, que </w:t>
      </w:r>
      <w:r w:rsidRPr="002F158D" w:rsidR="1695D792">
        <w:rPr>
          <w:sz w:val="23"/>
          <w:szCs w:val="23"/>
          <w:lang w:val="es-PE"/>
        </w:rPr>
        <w:t>............................</w:t>
      </w:r>
      <w:r w:rsidRPr="002F158D" w:rsidR="002F158D">
        <w:rPr>
          <w:sz w:val="23"/>
          <w:szCs w:val="23"/>
          <w:lang w:val="es-PE"/>
        </w:rPr>
        <w:t xml:space="preserve"> ha habilitado la prueba de polígrafo</w:t>
      </w:r>
      <w:r w:rsidRPr="002F158D">
        <w:rPr>
          <w:rStyle w:val="Refdenotaalpie"/>
          <w:sz w:val="23"/>
          <w:szCs w:val="23"/>
          <w:lang w:val="es-PE"/>
        </w:rPr>
        <w:footnoteReference w:id="17"/>
      </w:r>
      <w:r w:rsidRPr="002F158D" w:rsidR="002F158D">
        <w:rPr>
          <w:sz w:val="23"/>
          <w:szCs w:val="23"/>
          <w:lang w:val="es-PE"/>
        </w:rPr>
        <w:t xml:space="preserve"> como un mecanismo válido para alcanzar la verdad formal respecto de determinar la ocurrencia -o no- del siniestro reportado por la señora </w:t>
      </w:r>
      <w:r w:rsidRPr="002F158D" w:rsidR="5A385041">
        <w:rPr>
          <w:sz w:val="23"/>
          <w:szCs w:val="23"/>
          <w:lang w:val="es-PE"/>
        </w:rPr>
        <w:t xml:space="preserve">...........................................</w:t>
      </w:r>
      <w:r w:rsidRPr="002F158D" w:rsidR="002F158D">
        <w:rPr>
          <w:sz w:val="23"/>
          <w:szCs w:val="23"/>
          <w:lang w:val="es-PE"/>
        </w:rPr>
        <w:t xml:space="preserve">. </w:t>
      </w:r>
    </w:p>
    <w:p w:rsidRPr="002F158D" w:rsidR="002F158D" w:rsidP="002F158D" w:rsidRDefault="002F158D" w14:paraId="4BC15CF6" w14:textId="77777777">
      <w:pPr>
        <w:spacing w:after="200"/>
        <w:jc w:val="both"/>
        <w:rPr>
          <w:sz w:val="23"/>
          <w:szCs w:val="23"/>
          <w:lang w:val="es-PE"/>
        </w:rPr>
      </w:pPr>
      <w:r w:rsidRPr="002F158D">
        <w:rPr>
          <w:sz w:val="23"/>
          <w:szCs w:val="23"/>
          <w:lang w:val="es-PE"/>
        </w:rPr>
        <w:t xml:space="preserve">El Tribunal Constitucional ha señalado que existen supuestos en los cuales el examen del polígrafo se encuentra justificado pues, ningún derecho fundamental es absoluto, sino que puede ser sometido a restricciones o limitaciones, a condición de que éstas sean en definitiva razonables y proporcionales, por derivarse de ellas más beneficios o ventajas para el interés general que perjuicios sobre otros bienes en conflicto. Señala el máximo </w:t>
      </w:r>
      <w:proofErr w:type="spellStart"/>
      <w:r w:rsidRPr="002F158D">
        <w:rPr>
          <w:sz w:val="23"/>
          <w:szCs w:val="23"/>
          <w:lang w:val="es-PE"/>
        </w:rPr>
        <w:t>interprete</w:t>
      </w:r>
      <w:proofErr w:type="spellEnd"/>
      <w:r w:rsidRPr="002F158D">
        <w:rPr>
          <w:sz w:val="23"/>
          <w:szCs w:val="23"/>
          <w:lang w:val="es-PE"/>
        </w:rPr>
        <w:t xml:space="preserve"> de nuestra Constitución, que esta prueba debe realizarse con la debida diligencia y siguiendo determinados procedimientos mínimos, </w:t>
      </w:r>
      <w:proofErr w:type="gramStart"/>
      <w:r w:rsidRPr="002F158D">
        <w:rPr>
          <w:sz w:val="23"/>
          <w:szCs w:val="23"/>
          <w:lang w:val="es-PE"/>
        </w:rPr>
        <w:t>como</w:t>
      </w:r>
      <w:proofErr w:type="gramEnd"/>
      <w:r w:rsidRPr="002F158D">
        <w:rPr>
          <w:sz w:val="23"/>
          <w:szCs w:val="23"/>
          <w:lang w:val="es-PE"/>
        </w:rPr>
        <w:t xml:space="preserve"> por ejemplo, el examinado debe tener conocimiento de las razones por las cuales se le realiza el examen o mediar un plazo razonable entre la notificación de la necesidad de la prueba y su actuación definitiva.</w:t>
      </w:r>
      <w:r w:rsidRPr="002F158D">
        <w:rPr>
          <w:rStyle w:val="Refdenotaalpie"/>
          <w:sz w:val="23"/>
          <w:szCs w:val="23"/>
          <w:lang w:val="es-PE"/>
        </w:rPr>
        <w:footnoteReference w:id="18"/>
      </w:r>
    </w:p>
    <w:p w:rsidRPr="002F158D" w:rsidR="002F158D" w:rsidP="002F158D" w:rsidRDefault="002F158D" w14:paraId="541822FB" w14:textId="77777777">
      <w:pPr>
        <w:spacing w:after="200"/>
        <w:jc w:val="both"/>
        <w:rPr>
          <w:sz w:val="23"/>
          <w:szCs w:val="23"/>
          <w:lang w:val="es-PE"/>
        </w:rPr>
      </w:pPr>
      <w:r w:rsidRPr="002F158D">
        <w:rPr>
          <w:sz w:val="23"/>
          <w:szCs w:val="23"/>
          <w:lang w:val="es-PE"/>
        </w:rPr>
        <w:t xml:space="preserve">Este Colegiado se ha pronunciado en numerosas oportunidades respecto de la validez de la prueba de polígrafo, específicamente a partir de una controversia resuelta en el año 2021, señalándose lo siguiente respecto de esta prueba:  </w:t>
      </w:r>
    </w:p>
    <w:p w:rsidRPr="002F158D" w:rsidR="002F158D" w:rsidP="002F158D" w:rsidRDefault="002F158D" w14:paraId="3D02DA50" w14:textId="77777777">
      <w:pPr>
        <w:spacing w:after="200"/>
        <w:ind w:left="1701"/>
        <w:jc w:val="both"/>
        <w:rPr>
          <w:i/>
          <w:iCs/>
          <w:sz w:val="23"/>
          <w:szCs w:val="23"/>
          <w:lang w:val="es-PE"/>
        </w:rPr>
      </w:pPr>
      <w:r w:rsidRPr="002F158D">
        <w:rPr>
          <w:i/>
          <w:iCs/>
          <w:sz w:val="23"/>
          <w:szCs w:val="23"/>
          <w:lang w:val="es-PE"/>
        </w:rPr>
        <w:t>«[…]. Debe destacarse que, si bien la prueba del polígrafo no arroja resultados absolutos, sí son al menos científicamente confiables, y permiten razonablemente poner bajo cuestionamiento la veracidad del relato sobre lo sucedido y la real configuración del robo denunciado. Y si a ello se suma lo relativo a los movimientos en la cuenta de ahorros, según documentación obrante en el expediente, bien puede concluirse que existen criterios objetivos para postular que se está ante una reclamación fraudulenta, por lo que resulta justificada la negativa de la aseguradora de otorgar la cobertura reclamada.»</w:t>
      </w:r>
      <w:r w:rsidRPr="002F158D">
        <w:rPr>
          <w:rStyle w:val="Refdenotaalpie"/>
          <w:i/>
          <w:iCs/>
          <w:sz w:val="23"/>
          <w:szCs w:val="23"/>
          <w:lang w:val="es-PE"/>
        </w:rPr>
        <w:footnoteReference w:id="19"/>
      </w:r>
    </w:p>
    <w:p w:rsidRPr="002F158D" w:rsidR="002F158D" w:rsidP="002F158D" w:rsidRDefault="002F158D" w14:paraId="317E14D1" w14:textId="6067DA06">
      <w:pPr>
        <w:spacing w:after="200"/>
        <w:jc w:val="both"/>
        <w:rPr>
          <w:sz w:val="23"/>
          <w:szCs w:val="23"/>
          <w:lang w:val="es-PE"/>
        </w:rPr>
      </w:pPr>
      <w:r w:rsidRPr="52C4702B" w:rsidR="002F158D">
        <w:rPr>
          <w:b w:val="1"/>
          <w:bCs w:val="1"/>
          <w:sz w:val="23"/>
          <w:szCs w:val="23"/>
          <w:u w:val="single"/>
          <w:lang w:val="es-PE"/>
        </w:rPr>
        <w:t>DÉCIMO SEXTO</w:t>
      </w:r>
      <w:r w:rsidRPr="52C4702B" w:rsidR="002F158D">
        <w:rPr>
          <w:sz w:val="23"/>
          <w:szCs w:val="23"/>
          <w:lang w:val="es-PE"/>
        </w:rPr>
        <w:t xml:space="preserve">: Corresponde en este extremo evaluar, si </w:t>
      </w:r>
      <w:r w:rsidRPr="52C4702B" w:rsidR="1695D792">
        <w:rPr>
          <w:sz w:val="23"/>
          <w:szCs w:val="23"/>
          <w:lang w:val="es-PE"/>
        </w:rPr>
        <w:t>............................</w:t>
      </w:r>
      <w:r w:rsidRPr="52C4702B" w:rsidR="002F158D">
        <w:rPr>
          <w:sz w:val="23"/>
          <w:szCs w:val="23"/>
          <w:lang w:val="es-PE"/>
        </w:rPr>
        <w:t xml:space="preserve"> ha logrado probar racionalmente con algún grado suficiente de certeza si la señora </w:t>
      </w:r>
      <w:r w:rsidRPr="52C4702B" w:rsidR="2DB53D2A">
        <w:rPr>
          <w:sz w:val="23"/>
          <w:szCs w:val="23"/>
          <w:lang w:val="es-PE"/>
        </w:rPr>
        <w:t>..........................................</w:t>
      </w:r>
      <w:r w:rsidRPr="52C4702B" w:rsidR="002F158D">
        <w:rPr>
          <w:sz w:val="23"/>
          <w:szCs w:val="23"/>
          <w:lang w:val="es-PE"/>
        </w:rPr>
        <w:t xml:space="preserve"> presentó una declaración fraudulenta de solicitud de cobertura. </w:t>
      </w:r>
    </w:p>
    <w:p w:rsidRPr="002F158D" w:rsidR="002F158D" w:rsidP="002F158D" w:rsidRDefault="002F158D" w14:paraId="4CF16307" w14:textId="352A049E">
      <w:pPr>
        <w:spacing w:after="200"/>
        <w:jc w:val="both"/>
        <w:rPr>
          <w:sz w:val="23"/>
          <w:szCs w:val="23"/>
          <w:lang w:val="es-PE"/>
        </w:rPr>
      </w:pPr>
      <w:r w:rsidRPr="52C4702B" w:rsidR="1695D792">
        <w:rPr>
          <w:sz w:val="23"/>
          <w:szCs w:val="23"/>
          <w:lang w:val="es-PE"/>
        </w:rPr>
        <w:t>............................</w:t>
      </w:r>
      <w:r w:rsidRPr="52C4702B" w:rsidR="002F158D">
        <w:rPr>
          <w:sz w:val="23"/>
          <w:szCs w:val="23"/>
          <w:lang w:val="es-PE"/>
        </w:rPr>
        <w:t xml:space="preserve"> sustenta su rechazo a brindar cobertura al asegurado sobre la base de los resultados obtenidos por ésta en la prueba de polígrafo. Efectivamente, la Carta de rechazo señala sobre el particular lo siguiente: </w:t>
      </w:r>
    </w:p>
    <w:p w:rsidRPr="002F158D" w:rsidR="002F158D" w:rsidP="002F158D" w:rsidRDefault="002F158D" w14:paraId="6370D9DC" w14:textId="77777777">
      <w:pPr>
        <w:spacing w:after="120"/>
        <w:ind w:left="1701"/>
        <w:jc w:val="both"/>
        <w:rPr>
          <w:i/>
          <w:iCs/>
          <w:sz w:val="23"/>
          <w:szCs w:val="23"/>
          <w:lang w:val="es-PE"/>
        </w:rPr>
      </w:pPr>
      <w:r w:rsidRPr="002F158D">
        <w:rPr>
          <w:i/>
          <w:iCs/>
          <w:sz w:val="23"/>
          <w:szCs w:val="23"/>
          <w:lang w:val="es-PE"/>
        </w:rPr>
        <w:t>«[…] le informamos que se han remitido l</w:t>
      </w:r>
      <w:r w:rsidRPr="002F158D">
        <w:rPr>
          <w:b/>
          <w:bCs/>
          <w:i/>
          <w:iCs/>
          <w:sz w:val="23"/>
          <w:szCs w:val="23"/>
          <w:u w:val="single"/>
          <w:lang w:val="es-PE"/>
        </w:rPr>
        <w:t>os resultados de la prueba poligráfica realizada a su persona el día 31 de enero del año 2025</w:t>
      </w:r>
      <w:r w:rsidRPr="002F158D">
        <w:rPr>
          <w:i/>
          <w:iCs/>
          <w:sz w:val="23"/>
          <w:szCs w:val="23"/>
          <w:lang w:val="es-PE"/>
        </w:rPr>
        <w:t>, como parte de las investigaciones necesarias para la evaluación del siniestro.</w:t>
      </w:r>
    </w:p>
    <w:p w:rsidRPr="002F158D" w:rsidR="002F158D" w:rsidP="52C4702B" w:rsidRDefault="002F158D" w14:paraId="7B62B059" w14:textId="3F1E6CE4">
      <w:pPr>
        <w:spacing w:after="120"/>
        <w:ind w:left="1701"/>
        <w:jc w:val="both"/>
        <w:rPr>
          <w:i w:val="1"/>
          <w:iCs w:val="1"/>
          <w:sz w:val="23"/>
          <w:szCs w:val="23"/>
          <w:lang w:val="es-PE"/>
        </w:rPr>
      </w:pPr>
      <w:r w:rsidRPr="52C4702B" w:rsidR="002F158D">
        <w:rPr>
          <w:i w:val="1"/>
          <w:iCs w:val="1"/>
          <w:sz w:val="23"/>
          <w:szCs w:val="23"/>
          <w:lang w:val="es-PE"/>
        </w:rPr>
        <w:t xml:space="preserve">Al respecto, debemos indicarle, de un cuidadoso análisis de los resultados matemáticos del Sistema Computarizado de Polígrafo, así como una detallada revisión de las gráficas poligráficas, </w:t>
      </w:r>
      <w:r w:rsidRPr="52C4702B" w:rsidR="002F158D">
        <w:rPr>
          <w:b w:val="1"/>
          <w:bCs w:val="1"/>
          <w:i w:val="1"/>
          <w:iCs w:val="1"/>
          <w:sz w:val="23"/>
          <w:szCs w:val="23"/>
          <w:u w:val="single"/>
          <w:lang w:val="es-PE"/>
        </w:rPr>
        <w:t xml:space="preserve">es la opinión de la examinadora que al señor(a) </w:t>
      </w:r>
      <w:r w:rsidRPr="52C4702B" w:rsidR="4DA6EF30">
        <w:rPr>
          <w:b w:val="1"/>
          <w:bCs w:val="1"/>
          <w:i w:val="1"/>
          <w:iCs w:val="1"/>
          <w:sz w:val="23"/>
          <w:szCs w:val="23"/>
          <w:u w:val="single"/>
          <w:lang w:val="es-PE"/>
        </w:rPr>
        <w:t>..................................................................................</w:t>
      </w:r>
      <w:r w:rsidRPr="52C4702B" w:rsidR="002F158D">
        <w:rPr>
          <w:b w:val="1"/>
          <w:bCs w:val="1"/>
          <w:i w:val="1"/>
          <w:iCs w:val="1"/>
          <w:sz w:val="23"/>
          <w:szCs w:val="23"/>
          <w:u w:val="single"/>
          <w:lang w:val="es-PE"/>
        </w:rPr>
        <w:t>, SI presentó respuestas significativas de engaño</w:t>
      </w:r>
      <w:r w:rsidRPr="52C4702B" w:rsidR="002F158D">
        <w:rPr>
          <w:i w:val="1"/>
          <w:iCs w:val="1"/>
          <w:sz w:val="23"/>
          <w:szCs w:val="23"/>
          <w:lang w:val="es-PE"/>
        </w:rPr>
        <w:t xml:space="preserve"> (SR) a las preguntas relevantes del </w:t>
      </w:r>
      <w:r w:rsidRPr="52C4702B" w:rsidR="002F158D">
        <w:rPr>
          <w:i w:val="1"/>
          <w:iCs w:val="1"/>
          <w:sz w:val="23"/>
          <w:szCs w:val="23"/>
          <w:lang w:val="es-PE"/>
        </w:rPr>
        <w:t>SUB TEST</w:t>
      </w:r>
      <w:r w:rsidRPr="52C4702B" w:rsidR="002F158D">
        <w:rPr>
          <w:i w:val="1"/>
          <w:iCs w:val="1"/>
          <w:sz w:val="23"/>
          <w:szCs w:val="23"/>
          <w:lang w:val="es-PE"/>
        </w:rPr>
        <w:t xml:space="preserve"> A</w:t>
      </w:r>
    </w:p>
    <w:p w:rsidRPr="002F158D" w:rsidR="002F158D" w:rsidP="002F158D" w:rsidRDefault="002F158D" w14:paraId="141447F6" w14:textId="77777777">
      <w:pPr>
        <w:spacing w:after="120"/>
        <w:ind w:left="1701"/>
        <w:jc w:val="both"/>
        <w:rPr>
          <w:i/>
          <w:iCs/>
          <w:sz w:val="23"/>
          <w:szCs w:val="23"/>
          <w:lang w:val="es-PE"/>
        </w:rPr>
      </w:pPr>
      <w:proofErr w:type="gramStart"/>
      <w:r w:rsidRPr="002F158D">
        <w:rPr>
          <w:i/>
          <w:iCs/>
          <w:sz w:val="23"/>
          <w:szCs w:val="23"/>
          <w:lang w:val="es-PE"/>
        </w:rPr>
        <w:t>Sub Test</w:t>
      </w:r>
      <w:proofErr w:type="gramEnd"/>
      <w:r w:rsidRPr="002F158D">
        <w:rPr>
          <w:i/>
          <w:iCs/>
          <w:sz w:val="23"/>
          <w:szCs w:val="23"/>
          <w:lang w:val="es-PE"/>
        </w:rPr>
        <w:t xml:space="preserve"> A:</w:t>
      </w:r>
    </w:p>
    <w:p w:rsidRPr="002F158D" w:rsidR="002F158D" w:rsidP="002F158D" w:rsidRDefault="002F158D" w14:paraId="69196522" w14:textId="77777777">
      <w:pPr>
        <w:tabs>
          <w:tab w:val="left" w:pos="2127"/>
        </w:tabs>
        <w:spacing w:after="120"/>
        <w:ind w:left="2126" w:hanging="425"/>
        <w:jc w:val="both"/>
        <w:rPr>
          <w:i/>
          <w:iCs/>
          <w:sz w:val="23"/>
          <w:szCs w:val="23"/>
          <w:lang w:val="es-PE"/>
        </w:rPr>
      </w:pPr>
      <w:r w:rsidRPr="002F158D">
        <w:rPr>
          <w:i/>
          <w:iCs/>
          <w:sz w:val="23"/>
          <w:szCs w:val="23"/>
          <w:lang w:val="es-PE"/>
        </w:rPr>
        <w:t xml:space="preserve">R1. </w:t>
      </w:r>
      <w:r w:rsidRPr="002F158D">
        <w:rPr>
          <w:i/>
          <w:iCs/>
          <w:sz w:val="23"/>
          <w:szCs w:val="23"/>
          <w:lang w:val="es-PE"/>
        </w:rPr>
        <w:tab/>
      </w:r>
      <w:r w:rsidRPr="002F158D">
        <w:rPr>
          <w:i/>
          <w:iCs/>
          <w:sz w:val="23"/>
          <w:szCs w:val="23"/>
          <w:lang w:val="es-PE"/>
        </w:rPr>
        <w:t>¿HA PRESENTADO USTED ALGUNA DECLARACIÓN FALSA SOBRE EL SINIESTRO DEL 28 DE DICIEMBRE DEL 2024?</w:t>
      </w:r>
    </w:p>
    <w:p w:rsidRPr="002F158D" w:rsidR="002F158D" w:rsidP="002F158D" w:rsidRDefault="002F158D" w14:paraId="0E49AF1C" w14:textId="77777777">
      <w:pPr>
        <w:tabs>
          <w:tab w:val="left" w:pos="2127"/>
        </w:tabs>
        <w:spacing w:after="120"/>
        <w:ind w:left="2126" w:hanging="425"/>
        <w:jc w:val="both"/>
        <w:rPr>
          <w:i/>
          <w:iCs/>
          <w:sz w:val="23"/>
          <w:szCs w:val="23"/>
          <w:lang w:val="es-PE"/>
        </w:rPr>
      </w:pPr>
      <w:r w:rsidRPr="002F158D">
        <w:rPr>
          <w:i/>
          <w:iCs/>
          <w:sz w:val="23"/>
          <w:szCs w:val="23"/>
          <w:lang w:val="es-PE"/>
        </w:rPr>
        <w:t xml:space="preserve">R2. </w:t>
      </w:r>
      <w:r w:rsidRPr="002F158D">
        <w:rPr>
          <w:i/>
          <w:iCs/>
          <w:sz w:val="23"/>
          <w:szCs w:val="23"/>
          <w:lang w:val="es-PE"/>
        </w:rPr>
        <w:tab/>
      </w:r>
      <w:r w:rsidRPr="002F158D">
        <w:rPr>
          <w:i/>
          <w:iCs/>
          <w:sz w:val="23"/>
          <w:szCs w:val="23"/>
          <w:lang w:val="es-PE"/>
        </w:rPr>
        <w:t>¿HA PARTICIPADO USTED COMO AUTOR DEL SINIESTRO DECLARADO?</w:t>
      </w:r>
    </w:p>
    <w:p w:rsidRPr="002F158D" w:rsidR="002F158D" w:rsidP="002F158D" w:rsidRDefault="002F158D" w14:paraId="3BCF6BE9" w14:textId="77777777">
      <w:pPr>
        <w:tabs>
          <w:tab w:val="left" w:pos="2127"/>
        </w:tabs>
        <w:spacing w:after="120"/>
        <w:ind w:left="2126" w:hanging="425"/>
        <w:jc w:val="both"/>
        <w:rPr>
          <w:i/>
          <w:iCs/>
          <w:sz w:val="23"/>
          <w:szCs w:val="23"/>
          <w:lang w:val="es-PE"/>
        </w:rPr>
      </w:pPr>
      <w:r w:rsidRPr="002F158D">
        <w:rPr>
          <w:i/>
          <w:iCs/>
          <w:sz w:val="23"/>
          <w:szCs w:val="23"/>
          <w:lang w:val="es-PE"/>
        </w:rPr>
        <w:t>(…)</w:t>
      </w:r>
    </w:p>
    <w:p w:rsidRPr="002F158D" w:rsidR="002F158D" w:rsidP="002F158D" w:rsidRDefault="002F158D" w14:paraId="1F6B9FF7" w14:textId="77777777">
      <w:pPr>
        <w:spacing w:after="200"/>
        <w:ind w:left="1701"/>
        <w:jc w:val="both"/>
        <w:rPr>
          <w:i/>
          <w:iCs/>
          <w:sz w:val="23"/>
          <w:szCs w:val="23"/>
          <w:lang w:val="es-PE"/>
        </w:rPr>
      </w:pPr>
      <w:r w:rsidRPr="002F158D">
        <w:rPr>
          <w:i/>
          <w:iCs/>
          <w:sz w:val="23"/>
          <w:szCs w:val="23"/>
          <w:lang w:val="es-PE"/>
        </w:rPr>
        <w:t xml:space="preserve">En ese sentido, es de aplicación lo estipulado en el art. 9° del Condicionado General de la póliza […]» </w:t>
      </w:r>
      <w:r w:rsidRPr="002F158D">
        <w:rPr>
          <w:sz w:val="23"/>
          <w:szCs w:val="23"/>
          <w:lang w:val="es-PE"/>
        </w:rPr>
        <w:t>(el énfasis es agregado)</w:t>
      </w:r>
    </w:p>
    <w:p w:rsidRPr="002F158D" w:rsidR="002F158D" w:rsidP="002F158D" w:rsidRDefault="002F158D" w14:paraId="7EE483CB" w14:textId="1949FF63">
      <w:pPr>
        <w:spacing w:after="200"/>
        <w:jc w:val="both"/>
        <w:rPr>
          <w:sz w:val="23"/>
          <w:szCs w:val="23"/>
          <w:lang w:val="es-PE"/>
        </w:rPr>
      </w:pPr>
      <w:r w:rsidRPr="52C4702B" w:rsidR="002F158D">
        <w:rPr>
          <w:sz w:val="23"/>
          <w:szCs w:val="23"/>
          <w:lang w:val="es-PE"/>
        </w:rPr>
        <w:t xml:space="preserve">Asimismo, en su escrito de contestación del reclamo, </w:t>
      </w:r>
      <w:r w:rsidRPr="52C4702B" w:rsidR="1695D792">
        <w:rPr>
          <w:sz w:val="23"/>
          <w:szCs w:val="23"/>
          <w:lang w:val="es-PE"/>
        </w:rPr>
        <w:t>............................</w:t>
      </w:r>
      <w:r w:rsidRPr="52C4702B" w:rsidR="002F158D">
        <w:rPr>
          <w:sz w:val="23"/>
          <w:szCs w:val="23"/>
          <w:lang w:val="es-PE"/>
        </w:rPr>
        <w:t xml:space="preserve"> incide sobre la validez de los resultados obtenidos en la prueba de polígrafo:  </w:t>
      </w:r>
    </w:p>
    <w:p w:rsidRPr="002F158D" w:rsidR="002F158D" w:rsidP="52C4702B" w:rsidRDefault="002F158D" w14:paraId="1FA10460" w14:textId="21FFB7C5">
      <w:pPr>
        <w:spacing w:after="120"/>
        <w:ind w:left="1701"/>
        <w:jc w:val="both"/>
        <w:rPr>
          <w:i w:val="1"/>
          <w:iCs w:val="1"/>
          <w:sz w:val="23"/>
          <w:szCs w:val="23"/>
          <w:lang w:val="es-PE"/>
        </w:rPr>
      </w:pPr>
      <w:r w:rsidRPr="52C4702B" w:rsidR="002F158D">
        <w:rPr>
          <w:i w:val="1"/>
          <w:iCs w:val="1"/>
          <w:sz w:val="23"/>
          <w:szCs w:val="23"/>
          <w:lang w:val="es-PE"/>
        </w:rPr>
        <w:t xml:space="preserve">«En ese sentido, </w:t>
      </w:r>
      <w:r w:rsidRPr="52C4702B" w:rsidR="1695D792">
        <w:rPr>
          <w:i w:val="1"/>
          <w:iCs w:val="1"/>
          <w:sz w:val="23"/>
          <w:szCs w:val="23"/>
          <w:lang w:val="es-PE"/>
        </w:rPr>
        <w:t>............................</w:t>
      </w:r>
      <w:r w:rsidRPr="52C4702B" w:rsidR="002F158D">
        <w:rPr>
          <w:i w:val="1"/>
          <w:iCs w:val="1"/>
          <w:sz w:val="23"/>
          <w:szCs w:val="23"/>
          <w:lang w:val="es-PE"/>
        </w:rPr>
        <w:t xml:space="preserve"> tomó la prueba poligráfica según los términos establecidos en la Solicitud Certificado. </w:t>
      </w:r>
    </w:p>
    <w:p w:rsidRPr="002F158D" w:rsidR="002F158D" w:rsidP="52C4702B" w:rsidRDefault="002F158D" w14:paraId="7F3193A3" w14:textId="51DABE59">
      <w:pPr>
        <w:spacing w:after="200"/>
        <w:ind w:left="1701"/>
        <w:jc w:val="both"/>
        <w:rPr>
          <w:i w:val="1"/>
          <w:iCs w:val="1"/>
          <w:sz w:val="23"/>
          <w:szCs w:val="23"/>
          <w:lang w:val="es-PE"/>
        </w:rPr>
      </w:pPr>
      <w:r w:rsidRPr="52C4702B" w:rsidR="002F158D">
        <w:rPr>
          <w:i w:val="1"/>
          <w:iCs w:val="1"/>
          <w:sz w:val="23"/>
          <w:szCs w:val="23"/>
          <w:lang w:val="es-PE"/>
        </w:rPr>
        <w:t xml:space="preserve">2.3 Tras la realización de dicha prueba, mediante carta </w:t>
      </w:r>
      <w:r w:rsidRPr="52C4702B" w:rsidR="775CC566">
        <w:rPr>
          <w:i w:val="1"/>
          <w:iCs w:val="1"/>
          <w:sz w:val="23"/>
          <w:szCs w:val="23"/>
          <w:lang w:val="es-PE"/>
        </w:rPr>
        <w:t>...........................................</w:t>
      </w:r>
      <w:r w:rsidRPr="52C4702B" w:rsidR="002F158D">
        <w:rPr>
          <w:i w:val="1"/>
          <w:iCs w:val="1"/>
          <w:sz w:val="23"/>
          <w:szCs w:val="23"/>
          <w:lang w:val="es-PE"/>
        </w:rPr>
        <w:t xml:space="preserve"> del 10 de febrero del 2025, </w:t>
      </w:r>
      <w:r w:rsidRPr="52C4702B" w:rsidR="1695D792">
        <w:rPr>
          <w:i w:val="1"/>
          <w:iCs w:val="1"/>
          <w:sz w:val="23"/>
          <w:szCs w:val="23"/>
          <w:lang w:val="es-PE"/>
        </w:rPr>
        <w:t>............................</w:t>
      </w:r>
      <w:r w:rsidRPr="52C4702B" w:rsidR="002F158D">
        <w:rPr>
          <w:i w:val="1"/>
          <w:iCs w:val="1"/>
          <w:sz w:val="23"/>
          <w:szCs w:val="23"/>
          <w:lang w:val="es-PE"/>
        </w:rPr>
        <w:t xml:space="preserve"> informó a la señora Córdova que su solicitud carecería de cobertura y que la Póliza contratada estaría siendo anulada.»</w:t>
      </w:r>
    </w:p>
    <w:p w:rsidRPr="002F158D" w:rsidR="002F158D" w:rsidP="002F158D" w:rsidRDefault="002F158D" w14:paraId="2BF9E055" w14:textId="12236527">
      <w:pPr>
        <w:spacing w:after="200"/>
        <w:jc w:val="both"/>
        <w:rPr>
          <w:sz w:val="23"/>
          <w:szCs w:val="23"/>
          <w:lang w:val="es-PE"/>
        </w:rPr>
      </w:pPr>
      <w:r w:rsidRPr="52C4702B" w:rsidR="002F158D">
        <w:rPr>
          <w:sz w:val="23"/>
          <w:szCs w:val="23"/>
          <w:lang w:val="es-PE"/>
        </w:rPr>
        <w:t xml:space="preserve">Es decir, </w:t>
      </w:r>
      <w:r w:rsidRPr="52C4702B" w:rsidR="1695D792">
        <w:rPr>
          <w:sz w:val="23"/>
          <w:szCs w:val="23"/>
          <w:lang w:val="es-PE"/>
        </w:rPr>
        <w:t>............................</w:t>
      </w:r>
      <w:r w:rsidRPr="52C4702B" w:rsidR="002F158D">
        <w:rPr>
          <w:sz w:val="23"/>
          <w:szCs w:val="23"/>
          <w:lang w:val="es-PE"/>
        </w:rPr>
        <w:t xml:space="preserve"> concluye que ha operado la causal de resolución estipulada en el artículo 9 de las Condiciones generales de la Póliza, únicamente a partir de los resultados de la prueba de polígrafo. </w:t>
      </w:r>
    </w:p>
    <w:p w:rsidRPr="002F158D" w:rsidR="002F158D" w:rsidP="002F158D" w:rsidRDefault="002F158D" w14:paraId="2C1FEA22" w14:textId="173469B8">
      <w:pPr>
        <w:spacing w:after="200"/>
        <w:jc w:val="both"/>
        <w:rPr>
          <w:sz w:val="23"/>
          <w:szCs w:val="23"/>
          <w:lang w:val="es-PE"/>
        </w:rPr>
      </w:pPr>
      <w:r w:rsidRPr="52C4702B" w:rsidR="002F158D">
        <w:rPr>
          <w:sz w:val="23"/>
          <w:szCs w:val="23"/>
          <w:lang w:val="es-PE"/>
        </w:rPr>
        <w:t xml:space="preserve">No obstante, </w:t>
      </w:r>
      <w:r w:rsidRPr="52C4702B" w:rsidR="1695D792">
        <w:rPr>
          <w:sz w:val="23"/>
          <w:szCs w:val="23"/>
          <w:lang w:val="es-PE"/>
        </w:rPr>
        <w:t>............................</w:t>
      </w:r>
      <w:r w:rsidRPr="52C4702B" w:rsidR="002F158D">
        <w:rPr>
          <w:sz w:val="23"/>
          <w:szCs w:val="23"/>
          <w:lang w:val="es-PE"/>
        </w:rPr>
        <w:t xml:space="preserve"> no sólo resolvió el Contrato de seguro contratado por la señora </w:t>
      </w:r>
      <w:r w:rsidRPr="52C4702B" w:rsidR="5A385041">
        <w:rPr>
          <w:sz w:val="23"/>
          <w:szCs w:val="23"/>
          <w:lang w:val="es-PE"/>
        </w:rPr>
        <w:t>...........................................</w:t>
      </w:r>
      <w:r w:rsidRPr="52C4702B" w:rsidR="002F158D">
        <w:rPr>
          <w:sz w:val="23"/>
          <w:szCs w:val="23"/>
          <w:lang w:val="es-PE"/>
        </w:rPr>
        <w:t xml:space="preserve"> sino también, se negó a dar cobertura al siniestro reportado. Dadas las características del presente caso ello sólo podía deberse a que la empresa aseguradora consideró que se encontraba ante acción fraudulenta atribuible al asegurado, supuesto regulado por el artículo 73 de la Ley del contrato de seguro. </w:t>
      </w:r>
    </w:p>
    <w:p w:rsidRPr="002F158D" w:rsidR="002F158D" w:rsidP="002F158D" w:rsidRDefault="002F158D" w14:paraId="5F65D83E" w14:textId="77777777">
      <w:pPr>
        <w:spacing w:after="200"/>
        <w:jc w:val="both"/>
        <w:rPr>
          <w:sz w:val="23"/>
          <w:szCs w:val="23"/>
          <w:lang w:val="es-PE"/>
        </w:rPr>
      </w:pPr>
      <w:r w:rsidRPr="002F158D">
        <w:rPr>
          <w:b/>
          <w:bCs/>
          <w:sz w:val="23"/>
          <w:szCs w:val="23"/>
          <w:u w:val="single"/>
          <w:lang w:val="es-PE"/>
        </w:rPr>
        <w:t>DÉCIMO SÉPTIMO</w:t>
      </w:r>
      <w:r w:rsidRPr="002F158D">
        <w:rPr>
          <w:sz w:val="23"/>
          <w:szCs w:val="23"/>
          <w:lang w:val="es-PE"/>
        </w:rPr>
        <w:t xml:space="preserve">: La prueba de polígrafo se realizó el 31 de enero del 2025, arrojando, de acuerdo con la Carta de rechazo, respuestas significativas de engaño, </w:t>
      </w:r>
      <w:proofErr w:type="gramStart"/>
      <w:r w:rsidRPr="002F158D">
        <w:rPr>
          <w:sz w:val="23"/>
          <w:szCs w:val="23"/>
          <w:lang w:val="es-PE"/>
        </w:rPr>
        <w:t>y</w:t>
      </w:r>
      <w:proofErr w:type="gramEnd"/>
      <w:r w:rsidRPr="002F158D">
        <w:rPr>
          <w:sz w:val="23"/>
          <w:szCs w:val="23"/>
          <w:lang w:val="es-PE"/>
        </w:rPr>
        <w:t xml:space="preserve"> por lo tanto, razón suficiente para que en aplicación del artículo 9 de las Condiciones generales de la Póliza la empresa asegurada procediera con la resolución del Contrato de seguro. </w:t>
      </w:r>
    </w:p>
    <w:p w:rsidRPr="002F158D" w:rsidR="002F158D" w:rsidP="002F158D" w:rsidRDefault="002F158D" w14:paraId="61259DB6" w14:textId="30CEDD71">
      <w:pPr>
        <w:spacing w:after="200"/>
        <w:jc w:val="both"/>
        <w:rPr>
          <w:sz w:val="23"/>
          <w:szCs w:val="23"/>
          <w:lang w:val="es-PE"/>
        </w:rPr>
      </w:pPr>
      <w:r w:rsidRPr="002F158D" w:rsidR="002F158D">
        <w:rPr>
          <w:b w:val="1"/>
          <w:bCs w:val="1"/>
          <w:sz w:val="23"/>
          <w:szCs w:val="23"/>
          <w:u w:val="single"/>
          <w:lang w:val="es-PE"/>
        </w:rPr>
        <w:t>DÉCIMO OCTAVO</w:t>
      </w:r>
      <w:r w:rsidRPr="002F158D" w:rsidR="002F158D">
        <w:rPr>
          <w:sz w:val="23"/>
          <w:szCs w:val="23"/>
          <w:lang w:val="es-PE"/>
        </w:rPr>
        <w:t xml:space="preserve">: Como ha señalado en numerosas oportunidades este Colegiado, si </w:t>
      </w:r>
      <w:r w:rsidRPr="002F158D" w:rsidR="002F158D">
        <w:rPr>
          <w:sz w:val="23"/>
          <w:szCs w:val="23"/>
          <w:lang w:val="es-PE"/>
        </w:rPr>
        <w:t>de acuerdo al</w:t>
      </w:r>
      <w:r w:rsidRPr="002F158D" w:rsidR="002F158D">
        <w:rPr>
          <w:sz w:val="23"/>
          <w:szCs w:val="23"/>
          <w:lang w:val="es-PE"/>
        </w:rPr>
        <w:t xml:space="preserve"> artículo 77 de la Ley del contrato de seguro, la empresa aseguradora debe probar la causa que la libera de su prestación indemnizatoria, ello implicaría que </w:t>
      </w:r>
      <w:r w:rsidRPr="002F158D" w:rsidR="1695D792">
        <w:rPr>
          <w:sz w:val="23"/>
          <w:szCs w:val="23"/>
          <w:lang w:val="es-PE"/>
        </w:rPr>
        <w:t xml:space="preserve">............................</w:t>
      </w:r>
      <w:r w:rsidRPr="002F158D" w:rsidR="002F158D">
        <w:rPr>
          <w:sz w:val="23"/>
          <w:szCs w:val="23"/>
          <w:lang w:val="es-PE"/>
        </w:rPr>
        <w:t xml:space="preserve"> deba probar que no ocurrió el hecho denunciado, lo que en doctrina constituye una prueba diabólica</w:t>
      </w:r>
      <w:r w:rsidRPr="002F158D">
        <w:rPr>
          <w:rStyle w:val="Refdenotaalpie"/>
          <w:sz w:val="23"/>
          <w:szCs w:val="23"/>
          <w:lang w:val="es-PE"/>
        </w:rPr>
        <w:footnoteReference w:id="20"/>
      </w:r>
      <w:r w:rsidRPr="002F158D" w:rsidR="002F158D">
        <w:rPr>
          <w:sz w:val="23"/>
          <w:szCs w:val="23"/>
          <w:lang w:val="es-PE"/>
        </w:rPr>
        <w:t xml:space="preserve">, porque se prueba un hecho positivo, no uno negativo. Por ello, se admite que en tales circunstancias que opera una suerte de inversión de la carga probatoria, de manera que el asegurado debe demostrar razonablemente lo que ocurrió. Sin embargo, </w:t>
      </w:r>
      <w:r w:rsidRPr="002F158D" w:rsidR="002F158D">
        <w:rPr>
          <w:sz w:val="23"/>
          <w:szCs w:val="23"/>
          <w:lang w:val="es-PE"/>
        </w:rPr>
        <w:t>planteadas</w:t>
      </w:r>
      <w:r w:rsidRPr="002F158D" w:rsidR="002F158D">
        <w:rPr>
          <w:sz w:val="23"/>
          <w:szCs w:val="23"/>
          <w:lang w:val="es-PE"/>
        </w:rPr>
        <w:t xml:space="preserve"> así las cosas, se vuelve al punto inicial conforme al cual el asegurado debe probar lo sucedido, retomándose la cuestión de cómo probarlo. Por ello, a criterio del presente Colegiado, una manera en que la aseguradora cumpla con su carga probatoria procesal de desvirtuar la idoneidad de las declaraciones del asegurado, es acreditando que, en el recuento de los hechos detallados en los diferentes documentos presentados por el asegurado, se encuentran inexactitudes, contradicciones o inconsistencias, de manera que no se llega a probar la existencia del siniestro o destacando que existen criterios objetivos para poner en duda razonable que el hecho supuestamente sucedido ocurrió realmente.</w:t>
      </w:r>
      <w:r w:rsidRPr="002F158D">
        <w:rPr>
          <w:sz w:val="23"/>
          <w:szCs w:val="23"/>
          <w:vertAlign w:val="superscript"/>
        </w:rPr>
        <w:footnoteReference w:id="21"/>
      </w:r>
    </w:p>
    <w:p w:rsidRPr="002F158D" w:rsidR="002F158D" w:rsidP="002F158D" w:rsidRDefault="002F158D" w14:paraId="7B202B20" w14:textId="77777777">
      <w:pPr>
        <w:spacing w:after="200"/>
        <w:jc w:val="both"/>
        <w:rPr>
          <w:sz w:val="23"/>
          <w:szCs w:val="23"/>
          <w:lang w:val="es-PE"/>
        </w:rPr>
      </w:pPr>
      <w:r w:rsidRPr="002F158D">
        <w:rPr>
          <w:b/>
          <w:bCs/>
          <w:sz w:val="23"/>
          <w:szCs w:val="23"/>
          <w:u w:val="single"/>
          <w:lang w:val="es-PE"/>
        </w:rPr>
        <w:t>DÉCIMO NOVENO</w:t>
      </w:r>
      <w:r w:rsidRPr="002F158D">
        <w:rPr>
          <w:sz w:val="23"/>
          <w:szCs w:val="23"/>
          <w:lang w:val="es-PE"/>
        </w:rPr>
        <w:t>: Sobre la base del criterio desarrollado en el considerando anterior, debemos tener en cuenta que nuestro sistema procesal ha adoptado un sistema de libre valoración de las pruebas, de forma opuesta a la valoración tasada materializada en la llamada prueba plena. Así, el artículo 197 del Código Procesal Civil señala que todos los medios probatorios deben sen valorados por el juzgador de forma conjunta, utilizando para ello su apreciación razonada.</w:t>
      </w:r>
      <w:r w:rsidRPr="002F158D">
        <w:rPr>
          <w:rStyle w:val="Refdenotaalpie"/>
          <w:sz w:val="23"/>
          <w:szCs w:val="23"/>
          <w:lang w:val="es-PE"/>
        </w:rPr>
        <w:footnoteReference w:id="22"/>
      </w:r>
      <w:r w:rsidRPr="002F158D">
        <w:rPr>
          <w:sz w:val="23"/>
          <w:szCs w:val="23"/>
          <w:lang w:val="es-PE"/>
        </w:rPr>
        <w:t xml:space="preserve"> Sobre la valoración conjunta de los medios probatorios, la Corte </w:t>
      </w:r>
      <w:r w:rsidRPr="002F158D">
        <w:rPr>
          <w:sz w:val="23"/>
          <w:szCs w:val="23"/>
          <w:lang w:val="es-PE"/>
        </w:rPr>
        <w:t>Suprema de la República ha señalado, aunque en un caso penal cuyo razonamiento es plenamente aplicable al presente caso, una serie de criterios respecto de la valoración probatoria conjunta. Señala la Corte Suprema que la valoración conjunta de las pruebas aportadas implica en que el juzgador debe tomar en cuenta todos los medios de prueba presentados y actuados, confrontando los resultados probatorios, para determinar su correlación, coherencia y convergencia respecto al objeto del proceso.</w:t>
      </w:r>
      <w:r w:rsidRPr="002F158D">
        <w:rPr>
          <w:rStyle w:val="Refdenotaalpie"/>
          <w:sz w:val="23"/>
          <w:szCs w:val="23"/>
          <w:lang w:val="es-PE"/>
        </w:rPr>
        <w:footnoteReference w:id="23"/>
      </w:r>
      <w:r w:rsidRPr="002F158D">
        <w:rPr>
          <w:sz w:val="23"/>
          <w:szCs w:val="23"/>
          <w:lang w:val="es-PE"/>
        </w:rPr>
        <w:t xml:space="preserve"> </w:t>
      </w:r>
    </w:p>
    <w:p w:rsidRPr="002F158D" w:rsidR="002F158D" w:rsidP="002F158D" w:rsidRDefault="002F158D" w14:paraId="1C236CEE" w14:textId="052033AA">
      <w:pPr>
        <w:spacing w:after="200"/>
        <w:jc w:val="both"/>
        <w:rPr>
          <w:sz w:val="23"/>
          <w:szCs w:val="23"/>
          <w:lang w:val="es-PE"/>
        </w:rPr>
      </w:pPr>
      <w:r w:rsidRPr="52C4702B" w:rsidR="002F158D">
        <w:rPr>
          <w:sz w:val="23"/>
          <w:szCs w:val="23"/>
          <w:lang w:val="es-PE"/>
        </w:rPr>
        <w:t xml:space="preserve">Siendo el objeto de este procedimiento el determinar la validez del rechazo por parte de </w:t>
      </w:r>
      <w:r w:rsidRPr="52C4702B" w:rsidR="1695D792">
        <w:rPr>
          <w:sz w:val="23"/>
          <w:szCs w:val="23"/>
          <w:lang w:val="es-PE"/>
        </w:rPr>
        <w:t>............................</w:t>
      </w:r>
      <w:r w:rsidRPr="52C4702B" w:rsidR="002F158D">
        <w:rPr>
          <w:sz w:val="23"/>
          <w:szCs w:val="23"/>
          <w:lang w:val="es-PE"/>
        </w:rPr>
        <w:t xml:space="preserve"> de la cobertura solicitada por el señor </w:t>
      </w:r>
      <w:r w:rsidRPr="52C4702B" w:rsidR="5A385041">
        <w:rPr>
          <w:sz w:val="23"/>
          <w:szCs w:val="23"/>
          <w:lang w:val="es-PE"/>
        </w:rPr>
        <w:t>...........................................</w:t>
      </w:r>
      <w:r w:rsidRPr="52C4702B" w:rsidR="002F158D">
        <w:rPr>
          <w:sz w:val="23"/>
          <w:szCs w:val="23"/>
          <w:lang w:val="es-PE"/>
        </w:rPr>
        <w:t>, corresponde en este extremo establecer si, a partir de los medios probatorios actuados por la empresa aseguradora (prueba de polígrafo), es posible concluir razonablemente que se produjo una solicitud de cobertura fraudulenta.</w:t>
      </w:r>
    </w:p>
    <w:p w:rsidRPr="002F158D" w:rsidR="002F158D" w:rsidP="002F158D" w:rsidRDefault="002F158D" w14:paraId="16169525" w14:textId="77777777">
      <w:pPr>
        <w:spacing w:after="200"/>
        <w:jc w:val="both"/>
        <w:rPr>
          <w:sz w:val="23"/>
          <w:szCs w:val="23"/>
          <w:lang w:val="es-PE"/>
        </w:rPr>
      </w:pPr>
      <w:r w:rsidRPr="002F158D">
        <w:rPr>
          <w:sz w:val="23"/>
          <w:szCs w:val="23"/>
          <w:lang w:val="es-PE"/>
        </w:rPr>
        <w:t xml:space="preserve">De acuerdo con la Carta de rechazo, solo se consideran relevantes para la determinación de la posible conducta fraudulenta de la asegurada las siguientes preguntas del </w:t>
      </w:r>
      <w:proofErr w:type="gramStart"/>
      <w:r w:rsidRPr="002F158D">
        <w:rPr>
          <w:sz w:val="23"/>
          <w:szCs w:val="23"/>
          <w:lang w:val="es-PE"/>
        </w:rPr>
        <w:t>Sub Test</w:t>
      </w:r>
      <w:proofErr w:type="gramEnd"/>
      <w:r w:rsidRPr="002F158D">
        <w:rPr>
          <w:sz w:val="23"/>
          <w:szCs w:val="23"/>
          <w:lang w:val="es-PE"/>
        </w:rPr>
        <w:t xml:space="preserve"> A realizados en la prueba de polígrafo: </w:t>
      </w:r>
    </w:p>
    <w:p w:rsidRPr="002F158D" w:rsidR="002F158D" w:rsidP="002F158D" w:rsidRDefault="002F158D" w14:paraId="7B646622" w14:textId="77777777">
      <w:pPr>
        <w:tabs>
          <w:tab w:val="left" w:pos="2268"/>
        </w:tabs>
        <w:spacing w:after="120"/>
        <w:ind w:left="2268" w:hanging="567"/>
        <w:jc w:val="both"/>
        <w:rPr>
          <w:i/>
          <w:iCs/>
          <w:sz w:val="23"/>
          <w:szCs w:val="23"/>
          <w:lang w:val="es-PE"/>
        </w:rPr>
      </w:pPr>
      <w:r w:rsidRPr="002F158D">
        <w:rPr>
          <w:i/>
          <w:iCs/>
          <w:sz w:val="23"/>
          <w:szCs w:val="23"/>
          <w:lang w:val="es-PE"/>
        </w:rPr>
        <w:t xml:space="preserve">«R1. </w:t>
      </w:r>
      <w:r w:rsidRPr="002F158D">
        <w:rPr>
          <w:i/>
          <w:iCs/>
          <w:sz w:val="23"/>
          <w:szCs w:val="23"/>
          <w:lang w:val="es-PE"/>
        </w:rPr>
        <w:tab/>
      </w:r>
      <w:r w:rsidRPr="002F158D">
        <w:rPr>
          <w:i/>
          <w:iCs/>
          <w:sz w:val="23"/>
          <w:szCs w:val="23"/>
          <w:lang w:val="es-PE"/>
        </w:rPr>
        <w:t>¿HA PRESENTADO USTED ALGUNA DECLARACIÓN FALSA SOBRE EL SINIESTRO DEL 28 DE DICIEMBRE DEL 2024?</w:t>
      </w:r>
    </w:p>
    <w:p w:rsidRPr="002F158D" w:rsidR="002F158D" w:rsidP="002F158D" w:rsidRDefault="002F158D" w14:paraId="55AF214F" w14:textId="77777777">
      <w:pPr>
        <w:tabs>
          <w:tab w:val="left" w:pos="2268"/>
        </w:tabs>
        <w:spacing w:after="200"/>
        <w:ind w:left="2268" w:hanging="567"/>
        <w:jc w:val="both"/>
        <w:rPr>
          <w:i/>
          <w:iCs/>
          <w:sz w:val="23"/>
          <w:szCs w:val="23"/>
          <w:lang w:val="es-PE"/>
        </w:rPr>
      </w:pPr>
      <w:r w:rsidRPr="002F158D">
        <w:rPr>
          <w:i/>
          <w:iCs/>
          <w:sz w:val="23"/>
          <w:szCs w:val="23"/>
          <w:lang w:val="es-PE"/>
        </w:rPr>
        <w:t xml:space="preserve">R2. </w:t>
      </w:r>
      <w:r w:rsidRPr="002F158D">
        <w:rPr>
          <w:i/>
          <w:iCs/>
          <w:sz w:val="23"/>
          <w:szCs w:val="23"/>
          <w:lang w:val="es-PE"/>
        </w:rPr>
        <w:tab/>
      </w:r>
      <w:r w:rsidRPr="002F158D">
        <w:rPr>
          <w:i/>
          <w:iCs/>
          <w:sz w:val="23"/>
          <w:szCs w:val="23"/>
          <w:lang w:val="es-PE"/>
        </w:rPr>
        <w:t>¿HA PARTICIPADO USTED COMO AUTOR DEL SINIESTRO DECLARADO?»</w:t>
      </w:r>
    </w:p>
    <w:p w:rsidRPr="002F158D" w:rsidR="002F158D" w:rsidP="002F158D" w:rsidRDefault="002F158D" w14:paraId="3A9DB063" w14:textId="7692ED94">
      <w:pPr>
        <w:spacing w:after="200"/>
        <w:jc w:val="both"/>
        <w:rPr>
          <w:sz w:val="23"/>
          <w:szCs w:val="23"/>
          <w:lang w:val="es-PE"/>
        </w:rPr>
      </w:pPr>
      <w:r w:rsidRPr="52C4702B" w:rsidR="002F158D">
        <w:rPr>
          <w:sz w:val="23"/>
          <w:szCs w:val="23"/>
          <w:lang w:val="es-PE"/>
        </w:rPr>
        <w:t xml:space="preserve">De lo señalado en la Carta de rechazo se desprende que las respuestas a estas dos preguntas serían significativas de engaño. Cabe destacar, que </w:t>
      </w:r>
      <w:r w:rsidRPr="52C4702B" w:rsidR="1695D792">
        <w:rPr>
          <w:sz w:val="23"/>
          <w:szCs w:val="23"/>
          <w:lang w:val="es-PE"/>
        </w:rPr>
        <w:t>............................</w:t>
      </w:r>
      <w:r w:rsidRPr="52C4702B" w:rsidR="002F158D">
        <w:rPr>
          <w:sz w:val="23"/>
          <w:szCs w:val="23"/>
          <w:lang w:val="es-PE"/>
        </w:rPr>
        <w:t xml:space="preserve"> incluyó en su Carta de rechazo otras 21 respuestas de la prueba de polígrafo relacionadas con el siniestro, dónde en principio no se habrían obtenido estos resultados, e </w:t>
      </w:r>
      <w:r w:rsidRPr="52C4702B" w:rsidR="1695D792">
        <w:rPr>
          <w:sz w:val="23"/>
          <w:szCs w:val="23"/>
          <w:lang w:val="es-PE"/>
        </w:rPr>
        <w:t>............................</w:t>
      </w:r>
      <w:r w:rsidRPr="52C4702B" w:rsidR="002F158D">
        <w:rPr>
          <w:sz w:val="23"/>
          <w:szCs w:val="23"/>
          <w:lang w:val="es-PE"/>
        </w:rPr>
        <w:t xml:space="preserve"> no ha presentado argumento alguno que permita aclarar por qué las dos respuestas cuyo resultado se emplea para determinar la falsedad de la solicitud de la asegurada tiene un mayor peso o valor que las otras 21 y, ello sin tener en cuenta que las respuestas reproducidas en la Carta de rechazo no constituyen la totalidad de las obtenidas en la prueba de polígrafo realizada al asegurado. </w:t>
      </w:r>
    </w:p>
    <w:p w:rsidRPr="002F158D" w:rsidR="002F158D" w:rsidP="002F158D" w:rsidRDefault="002F158D" w14:paraId="4E8493E4" w14:textId="77777777">
      <w:pPr>
        <w:spacing w:after="200"/>
        <w:jc w:val="both"/>
        <w:rPr>
          <w:sz w:val="23"/>
          <w:szCs w:val="23"/>
          <w:lang w:val="es-PE"/>
        </w:rPr>
      </w:pPr>
      <w:r w:rsidRPr="002F158D">
        <w:rPr>
          <w:sz w:val="23"/>
          <w:szCs w:val="23"/>
          <w:lang w:val="es-PE"/>
        </w:rPr>
        <w:t>Es oportuno señalar que la prueba del polígrafo no es parte de un procedimiento administrativo ni judicial, sino que es una carga pactada por las partes de manera convencional; es decir, mediante la celebración de un contrato de seguro con consentimiento de ambas partes y vinculadas por el principio de obligatoriedad, que sirve como un elemento adicional para determinar la veracidad del relato, y que aunado a las inconsistencias o conductas sospechosas puede permitir rechazar un siniestro.</w:t>
      </w:r>
    </w:p>
    <w:p w:rsidRPr="002F158D" w:rsidR="002F158D" w:rsidP="002F158D" w:rsidRDefault="002F158D" w14:paraId="4F2A6812" w14:textId="52570623">
      <w:pPr>
        <w:spacing w:after="200"/>
        <w:jc w:val="both"/>
        <w:rPr>
          <w:sz w:val="23"/>
          <w:szCs w:val="23"/>
          <w:lang w:val="es-PE"/>
        </w:rPr>
      </w:pPr>
      <w:r w:rsidRPr="52C4702B" w:rsidR="002F158D">
        <w:rPr>
          <w:sz w:val="23"/>
          <w:szCs w:val="23"/>
          <w:lang w:val="es-PE"/>
        </w:rPr>
        <w:t xml:space="preserve">Por lo tanto, para este Colegiado, los resultados de la prueba de polígrafo, por sí mismos, no cumplen con evidenciar de forma racional y razonada una inconsistencia respecto de la posible naturaleza fraudulenta del aviso de siniestro; si acaso, podrían ser tomados en cuenta como indicios, para que la aseguradora, sobre la base de las prerrogativas otorgadas en la Ley del contrato de seguro, realice mayores pesquisas con la finalidad de determinar con un grado de certeza razonable si efectivamente el siniestro se produjo. Por ejemplo, la Póliza permite que, en caso exista incertidumbre respecto a los hechos que originaron el siniestro, </w:t>
      </w:r>
      <w:r w:rsidRPr="52C4702B" w:rsidR="1695D792">
        <w:rPr>
          <w:sz w:val="23"/>
          <w:szCs w:val="23"/>
          <w:lang w:val="es-PE"/>
        </w:rPr>
        <w:t>............................</w:t>
      </w:r>
      <w:r w:rsidRPr="52C4702B" w:rsidR="002F158D">
        <w:rPr>
          <w:sz w:val="23"/>
          <w:szCs w:val="23"/>
          <w:lang w:val="es-PE"/>
        </w:rPr>
        <w:t xml:space="preserve"> solicite el original o copia certificada de las conclusiones de la investigación fiscal. </w:t>
      </w:r>
    </w:p>
    <w:p w:rsidRPr="002F158D" w:rsidR="002F158D" w:rsidP="002F158D" w:rsidRDefault="002F158D" w14:paraId="28E75701" w14:textId="77777777">
      <w:pPr>
        <w:spacing w:after="200"/>
        <w:jc w:val="both"/>
        <w:rPr>
          <w:sz w:val="23"/>
          <w:szCs w:val="23"/>
          <w:lang w:val="es-PE"/>
        </w:rPr>
      </w:pPr>
      <w:r w:rsidRPr="002F158D">
        <w:rPr>
          <w:sz w:val="23"/>
          <w:szCs w:val="23"/>
          <w:lang w:val="es-PE"/>
        </w:rPr>
        <w:t xml:space="preserve">Por lo expuesto, esta Defensoría considera que los resultados de la prueba de polígrafo no pueden ser concluyentes respecto de la existencia de una posible declaración fraudulenta por parte del asegurado. </w:t>
      </w:r>
    </w:p>
    <w:p w:rsidRPr="002F158D" w:rsidR="002F158D" w:rsidP="002F158D" w:rsidRDefault="002F158D" w14:paraId="4E017A62" w14:textId="77777777">
      <w:pPr>
        <w:spacing w:after="200"/>
        <w:jc w:val="both"/>
        <w:rPr>
          <w:sz w:val="23"/>
          <w:szCs w:val="23"/>
          <w:lang w:val="es-PE"/>
        </w:rPr>
      </w:pPr>
      <w:r w:rsidRPr="002F158D">
        <w:rPr>
          <w:b/>
          <w:bCs/>
          <w:sz w:val="23"/>
          <w:szCs w:val="23"/>
          <w:u w:val="single"/>
          <w:lang w:val="es-PE"/>
        </w:rPr>
        <w:t>VIGÉSIMO</w:t>
      </w:r>
      <w:r w:rsidRPr="002F158D">
        <w:rPr>
          <w:b/>
          <w:bCs/>
          <w:sz w:val="23"/>
          <w:szCs w:val="23"/>
          <w:lang w:val="es-PE"/>
        </w:rPr>
        <w:t xml:space="preserve">: </w:t>
      </w:r>
      <w:r w:rsidRPr="002F158D">
        <w:rPr>
          <w:sz w:val="23"/>
          <w:szCs w:val="23"/>
          <w:lang w:val="es-PE"/>
        </w:rPr>
        <w:t xml:space="preserve">Por otro lado, este Colegiado advierte que la Solicitud Certificado señala lo siguiente con relación al procedimiento de solicitud de cobertura: </w:t>
      </w:r>
    </w:p>
    <w:p w:rsidRPr="002F158D" w:rsidR="002F158D" w:rsidP="002F158D" w:rsidRDefault="002F158D" w14:paraId="29C0E435" w14:textId="77777777">
      <w:pPr>
        <w:spacing w:after="200"/>
        <w:ind w:left="1701"/>
        <w:jc w:val="both"/>
        <w:rPr>
          <w:i/>
          <w:iCs/>
          <w:sz w:val="23"/>
          <w:szCs w:val="23"/>
          <w:lang w:val="es-PE"/>
        </w:rPr>
      </w:pPr>
      <w:r w:rsidRPr="002F158D">
        <w:rPr>
          <w:i/>
          <w:iCs/>
          <w:sz w:val="23"/>
          <w:szCs w:val="23"/>
          <w:lang w:val="es-PE"/>
        </w:rPr>
        <w:t xml:space="preserve">«Cuando la Compañía </w:t>
      </w:r>
      <w:r w:rsidRPr="002F158D">
        <w:rPr>
          <w:b/>
          <w:bCs/>
          <w:i/>
          <w:iCs/>
          <w:sz w:val="23"/>
          <w:szCs w:val="23"/>
          <w:u w:val="single"/>
          <w:lang w:val="es-PE"/>
        </w:rPr>
        <w:t>lo estime conveniente</w:t>
      </w:r>
      <w:r w:rsidRPr="002F158D">
        <w:rPr>
          <w:i/>
          <w:iCs/>
          <w:sz w:val="23"/>
          <w:szCs w:val="23"/>
          <w:lang w:val="es-PE"/>
        </w:rPr>
        <w:t xml:space="preserve"> y dentro de los 20 días contados desde la fecha en que se completó la entrega de los documentos antes listados, </w:t>
      </w:r>
      <w:r w:rsidRPr="002F158D">
        <w:rPr>
          <w:b/>
          <w:bCs/>
          <w:i/>
          <w:iCs/>
          <w:sz w:val="23"/>
          <w:szCs w:val="23"/>
          <w:u w:val="single"/>
          <w:lang w:val="es-PE"/>
        </w:rPr>
        <w:t>realizará una entrevista personal con el asegurado</w:t>
      </w:r>
      <w:r w:rsidRPr="002F158D">
        <w:rPr>
          <w:i/>
          <w:iCs/>
          <w:sz w:val="23"/>
          <w:szCs w:val="23"/>
          <w:lang w:val="es-PE"/>
        </w:rPr>
        <w:t xml:space="preserve">, </w:t>
      </w:r>
      <w:r w:rsidRPr="002F158D">
        <w:rPr>
          <w:b/>
          <w:bCs/>
          <w:i/>
          <w:iCs/>
          <w:sz w:val="23"/>
          <w:szCs w:val="23"/>
          <w:u w:val="single"/>
          <w:lang w:val="es-PE"/>
        </w:rPr>
        <w:t>con el fin de obtener las aclaraciones y/o precisiones necesarias acerca del siniestro ocurrido y/o someterse a una prueba poligráfica</w:t>
      </w:r>
      <w:r w:rsidRPr="002F158D">
        <w:rPr>
          <w:i/>
          <w:iCs/>
          <w:sz w:val="23"/>
          <w:szCs w:val="23"/>
          <w:lang w:val="es-PE"/>
        </w:rPr>
        <w:t xml:space="preserve"> con el fin de establecer la veracidad de los hechos declarados.» (el énfasis es agregado)</w:t>
      </w:r>
    </w:p>
    <w:p w:rsidRPr="002F158D" w:rsidR="002F158D" w:rsidP="002F158D" w:rsidRDefault="002F158D" w14:paraId="67FFA097" w14:textId="77777777">
      <w:pPr>
        <w:spacing w:after="200"/>
        <w:jc w:val="both"/>
        <w:rPr>
          <w:sz w:val="23"/>
          <w:szCs w:val="23"/>
          <w:lang w:val="es-PE"/>
        </w:rPr>
      </w:pPr>
      <w:r w:rsidRPr="002F158D">
        <w:rPr>
          <w:sz w:val="23"/>
          <w:szCs w:val="23"/>
          <w:lang w:val="es-PE"/>
        </w:rPr>
        <w:t xml:space="preserve">En este caso, dado que la empresa aseguradora no ha presentado ninguna evidencia que permita determinar que la entrevista personal con el asegurado efectivamente se llevó a cabo, debemos concluir que la entrevista personal a la que se refiere la Solicitud Certificado no se realizó, pasándose directamente a la prueba de polígrafo, es decir, sin que la empresa aseguradora tuviera algún indicio que acreditara inexactitudes, contradicciones o inconsistencias en las declaraciones del asegurado que generen válidas sospechas sobre la posible existencia de una reclamación fraudulenta. Por lo tanto, la prueba de polígrafo pareciera ser la única actuación realizada por la aseguradora para determinar la existencia de una declaración fraudulenta. </w:t>
      </w:r>
    </w:p>
    <w:p w:rsidRPr="002F158D" w:rsidR="002F158D" w:rsidP="002F158D" w:rsidRDefault="002F158D" w14:paraId="54C0AACE" w14:textId="77777777">
      <w:pPr>
        <w:spacing w:after="200"/>
        <w:jc w:val="both"/>
        <w:rPr>
          <w:sz w:val="23"/>
          <w:szCs w:val="23"/>
          <w:lang w:val="es-PE"/>
        </w:rPr>
      </w:pPr>
      <w:r w:rsidRPr="002F158D">
        <w:rPr>
          <w:sz w:val="23"/>
          <w:szCs w:val="23"/>
          <w:lang w:val="es-PE"/>
        </w:rPr>
        <w:t xml:space="preserve">En efecto, a diferencia de otros casos sometidos a conocimiento de la DEFASEG, la aseguradora se ha limitado a señalar que la prueba poligráfica determina que existen respuestas “significativas” de engaño, en dos preguntas relevantes de un cuestionario de cuando menos 21 preguntas, sin mencionar qué parte de lo narrado por el asegurado configuraría un engaño o generaría suspicacias sobre que lo ocurrido no corresponde a la realidad. </w:t>
      </w:r>
    </w:p>
    <w:p w:rsidRPr="002F158D" w:rsidR="002F158D" w:rsidP="002F158D" w:rsidRDefault="002F158D" w14:paraId="7E657487" w14:textId="77777777">
      <w:pPr>
        <w:spacing w:after="200"/>
        <w:jc w:val="both"/>
        <w:rPr>
          <w:sz w:val="23"/>
          <w:szCs w:val="23"/>
          <w:lang w:val="es-PE"/>
        </w:rPr>
      </w:pPr>
      <w:r w:rsidRPr="002F158D">
        <w:rPr>
          <w:sz w:val="23"/>
          <w:szCs w:val="23"/>
          <w:lang w:val="es-PE"/>
        </w:rPr>
        <w:t>Esta Defensoría considera que la empresa aseguradora, sobre la base de su experiencia, podría determinar qué ocurrencias permiten presumir que nos encontramos ante una solicitud de cobertura fraudulenta, por ejemplo, cuando se evidencian inconsistencias en la forma cómo ocurrió el siniestro; no es posible identificar a la persona o entidad que realiza el fraude; la persona ha presentado siniestros similares previos; se muestra un comportamiento de abonos inusual previo al siniestro; demoras injustificadas o poco diligentes al momento de realizar el bloqueo permitiendo que se realicen mayores consumos indebidos; entre otros actos que generan suspicacias sobre lo ocurrido, los cuales sumados a la realización de una prueba poligráfica que arroja respuestas significativas de engaño, podrían permitir determinar en su conjunto que lo afirmado por el asegurado no se corresponde con la realidad y, por lo tanto, es procedente rechazar el siniestro invocando la causal de reclamación fraudulenta.</w:t>
      </w:r>
    </w:p>
    <w:p w:rsidRPr="002F158D" w:rsidR="002F158D" w:rsidP="002F158D" w:rsidRDefault="002F158D" w14:paraId="15345B21" w14:textId="77777777">
      <w:pPr>
        <w:spacing w:after="200"/>
        <w:jc w:val="both"/>
        <w:rPr>
          <w:sz w:val="23"/>
          <w:szCs w:val="23"/>
          <w:lang w:val="es-PE"/>
        </w:rPr>
      </w:pPr>
      <w:r w:rsidRPr="002F158D">
        <w:rPr>
          <w:sz w:val="23"/>
          <w:szCs w:val="23"/>
          <w:lang w:val="es-PE"/>
        </w:rPr>
        <w:t>Este Colegiado no niega que contractualmente el contrato de seguro habilita la prueba de polígrafo como mecanismo válido para aclarar las circunstancias del siniestro, pero ello no puede relevar a la aseguradora de realizar su propio análisis sobre los hechos, evidenciando ante el asegurado en la carta de rechazo y, de ser el caso, ante este Colegiado, aquellos elementos o indicios que determinan inconsistencias y contradicciones. Por lo que, no existiendo inconsistencia o sospecha alguna informada al asegurado o evidenciada, sobre los hechos y circunstancias del siniestro, no resulta razonable que la aseguradora se base solo en un resultado “significativo de engaño” (“significativo” no es categórico ni absoluto) para relevarse de su obligación de acreditar el fraude que invoca.</w:t>
      </w:r>
    </w:p>
    <w:p w:rsidRPr="002F158D" w:rsidR="002F158D" w:rsidP="002F158D" w:rsidRDefault="002F158D" w14:paraId="1498ACAD" w14:textId="77777777">
      <w:pPr>
        <w:spacing w:after="200"/>
        <w:jc w:val="both"/>
        <w:rPr>
          <w:sz w:val="23"/>
          <w:szCs w:val="23"/>
          <w:lang w:val="es-PE"/>
        </w:rPr>
      </w:pPr>
      <w:r w:rsidRPr="002F158D">
        <w:rPr>
          <w:b/>
          <w:bCs/>
          <w:sz w:val="23"/>
          <w:szCs w:val="23"/>
          <w:u w:val="single"/>
          <w:lang w:val="es-PE"/>
        </w:rPr>
        <w:t>VIGÉSIMO PRIMERO</w:t>
      </w:r>
      <w:r w:rsidRPr="002F158D">
        <w:rPr>
          <w:sz w:val="23"/>
          <w:szCs w:val="23"/>
          <w:lang w:val="es-PE"/>
        </w:rPr>
        <w:t>: Que, el asegurado en su escrito de reclamación solicita se le reconozca una compensación ascendente a la suma de PEN 21 750 (veintiún mil setecientos cincuenta soles y 00/100), sin embargo, la cobertura que conforme a la presente resolución debe otorgar la empresa aseguradora, debe de realizarse conforme a los límites establecidos en la Póliza, independiente de una pérdida mayor que hubiera podido sufrir el asegurado.</w:t>
      </w:r>
    </w:p>
    <w:p w:rsidRPr="002F158D" w:rsidR="002F158D" w:rsidP="002F158D" w:rsidRDefault="002F158D" w14:paraId="4025185A" w14:textId="77777777">
      <w:pPr>
        <w:spacing w:after="200"/>
        <w:jc w:val="both"/>
        <w:rPr>
          <w:noProof/>
          <w:sz w:val="23"/>
          <w:szCs w:val="23"/>
          <w:lang w:val="es-PE"/>
        </w:rPr>
      </w:pPr>
      <w:r w:rsidRPr="002F158D">
        <w:rPr>
          <w:sz w:val="23"/>
          <w:szCs w:val="23"/>
          <w:lang w:val="es-PE"/>
        </w:rPr>
        <w:t>Que, en consecuencia, esta Defensoría del Asegurado concluye su apreciación razonada</w:t>
      </w:r>
      <w:r w:rsidRPr="002F158D">
        <w:rPr>
          <w:noProof/>
          <w:sz w:val="23"/>
          <w:szCs w:val="23"/>
          <w:lang w:val="es-PE"/>
        </w:rPr>
        <w:t xml:space="preserve"> y conjunta al amparo de lo establecido en su Reglamento, por lo que:</w:t>
      </w:r>
    </w:p>
    <w:p w:rsidRPr="002F158D" w:rsidR="002F158D" w:rsidP="002F158D" w:rsidRDefault="002F158D" w14:paraId="6A2414AD" w14:textId="77777777">
      <w:pPr>
        <w:spacing w:after="200"/>
        <w:jc w:val="both"/>
        <w:rPr>
          <w:b/>
          <w:bCs/>
          <w:sz w:val="23"/>
          <w:szCs w:val="23"/>
          <w:u w:val="single"/>
          <w:lang w:val="es-PE"/>
        </w:rPr>
      </w:pPr>
      <w:r w:rsidRPr="002F158D">
        <w:rPr>
          <w:b/>
          <w:bCs/>
          <w:sz w:val="23"/>
          <w:szCs w:val="23"/>
          <w:lang w:val="es-PE"/>
        </w:rPr>
        <w:t>RESUELVE:</w:t>
      </w:r>
    </w:p>
    <w:p w:rsidRPr="002F158D" w:rsidR="002F158D" w:rsidP="002F158D" w:rsidRDefault="002F158D" w14:paraId="053A24D7" w14:textId="0807377C">
      <w:pPr>
        <w:spacing w:after="200"/>
        <w:jc w:val="both"/>
        <w:rPr>
          <w:sz w:val="23"/>
          <w:szCs w:val="23"/>
          <w:lang w:val="es-PE"/>
        </w:rPr>
      </w:pPr>
      <w:r w:rsidRPr="52C4702B" w:rsidR="002F158D">
        <w:rPr>
          <w:sz w:val="23"/>
          <w:szCs w:val="23"/>
          <w:lang w:val="es-PE"/>
        </w:rPr>
        <w:t xml:space="preserve">Declarar </w:t>
      </w:r>
      <w:r w:rsidRPr="52C4702B" w:rsidR="002F158D">
        <w:rPr>
          <w:b w:val="1"/>
          <w:bCs w:val="1"/>
          <w:sz w:val="23"/>
          <w:szCs w:val="23"/>
          <w:lang w:val="es-PE"/>
        </w:rPr>
        <w:t>FUNDADA</w:t>
      </w:r>
      <w:r w:rsidRPr="52C4702B" w:rsidR="002F158D">
        <w:rPr>
          <w:sz w:val="23"/>
          <w:szCs w:val="23"/>
          <w:lang w:val="es-PE"/>
        </w:rPr>
        <w:t xml:space="preserve"> la reclamación presentada por el señor </w:t>
      </w:r>
      <w:r w:rsidRPr="52C4702B" w:rsidR="4DA6EF30">
        <w:rPr>
          <w:b w:val="1"/>
          <w:bCs w:val="1"/>
          <w:sz w:val="23"/>
          <w:szCs w:val="23"/>
          <w:lang w:val="es-PE"/>
        </w:rPr>
        <w:t>..................................................................................</w:t>
      </w:r>
      <w:r w:rsidRPr="52C4702B" w:rsidR="002F158D">
        <w:rPr>
          <w:b w:val="1"/>
          <w:bCs w:val="1"/>
          <w:sz w:val="23"/>
          <w:szCs w:val="23"/>
          <w:lang w:val="es-PE"/>
        </w:rPr>
        <w:t xml:space="preserve"> </w:t>
      </w:r>
      <w:r w:rsidRPr="52C4702B" w:rsidR="002F158D">
        <w:rPr>
          <w:sz w:val="23"/>
          <w:szCs w:val="23"/>
          <w:lang w:val="es-PE"/>
        </w:rPr>
        <w:t xml:space="preserve">contra </w:t>
      </w:r>
      <w:r w:rsidRPr="52C4702B" w:rsidR="1695D792">
        <w:rPr>
          <w:b w:val="1"/>
          <w:bCs w:val="1"/>
          <w:color w:val="000000" w:themeColor="text1" w:themeTint="FF" w:themeShade="FF"/>
          <w:sz w:val="23"/>
          <w:szCs w:val="23"/>
          <w:lang w:val="es-PE" w:eastAsia="es-PE"/>
        </w:rPr>
        <w:t>............................</w:t>
      </w:r>
      <w:r w:rsidRPr="52C4702B" w:rsidR="002F158D">
        <w:rPr>
          <w:b w:val="1"/>
          <w:bCs w:val="1"/>
          <w:color w:val="000000" w:themeColor="text1" w:themeTint="FF" w:themeShade="FF"/>
          <w:sz w:val="23"/>
          <w:szCs w:val="23"/>
          <w:lang w:val="es-PE" w:eastAsia="es-PE"/>
        </w:rPr>
        <w:t xml:space="preserve"> </w:t>
      </w:r>
      <w:r w:rsidRPr="52C4702B" w:rsidR="2E349E79">
        <w:rPr>
          <w:b w:val="1"/>
          <w:bCs w:val="1"/>
          <w:color w:val="000000" w:themeColor="text1" w:themeTint="FF" w:themeShade="FF"/>
          <w:sz w:val="23"/>
          <w:szCs w:val="23"/>
          <w:lang w:val="es-PE" w:eastAsia="es-PE"/>
        </w:rPr>
        <w:t>...................................................</w:t>
      </w:r>
      <w:r w:rsidRPr="52C4702B" w:rsidR="002F158D">
        <w:rPr>
          <w:b w:val="1"/>
          <w:bCs w:val="1"/>
          <w:sz w:val="23"/>
          <w:szCs w:val="23"/>
          <w:lang w:val="es-PE"/>
        </w:rPr>
        <w:t xml:space="preserve"> </w:t>
      </w:r>
      <w:r w:rsidRPr="52C4702B" w:rsidR="002F158D">
        <w:rPr>
          <w:sz w:val="23"/>
          <w:szCs w:val="23"/>
          <w:lang w:val="es-PE"/>
        </w:rPr>
        <w:t>para</w:t>
      </w:r>
      <w:r w:rsidRPr="52C4702B" w:rsidR="002F158D">
        <w:rPr>
          <w:b w:val="1"/>
          <w:bCs w:val="1"/>
          <w:sz w:val="23"/>
          <w:szCs w:val="23"/>
          <w:lang w:val="es-PE"/>
        </w:rPr>
        <w:t xml:space="preserve"> </w:t>
      </w:r>
      <w:r w:rsidRPr="52C4702B" w:rsidR="002F158D">
        <w:rPr>
          <w:sz w:val="23"/>
          <w:szCs w:val="23"/>
          <w:lang w:val="es-PE"/>
        </w:rPr>
        <w:t xml:space="preserve">que se le otorgue cobertura producto del siniestro ocurrido el 28 de diciembre de 2024, conforme a la Póliza. </w:t>
      </w:r>
    </w:p>
    <w:bookmarkEnd w:id="7"/>
    <w:p w:rsidRPr="002F158D" w:rsidR="00D444FF" w:rsidP="00F239F4" w:rsidRDefault="00D444FF" w14:paraId="5DFEEAE8" w14:textId="77777777">
      <w:pPr>
        <w:jc w:val="both"/>
        <w:outlineLvl w:val="0"/>
        <w:rPr>
          <w:sz w:val="23"/>
          <w:szCs w:val="23"/>
          <w:lang w:val="es-PE"/>
        </w:rPr>
      </w:pPr>
    </w:p>
    <w:p w:rsidRPr="002F158D" w:rsidR="00804FBA" w:rsidP="00425565" w:rsidRDefault="00F15FBA" w14:paraId="0B8F9BB3" w14:textId="02E706A3">
      <w:pPr>
        <w:jc w:val="right"/>
        <w:outlineLvl w:val="0"/>
        <w:rPr>
          <w:sz w:val="23"/>
          <w:szCs w:val="23"/>
          <w:lang w:val="es-PE"/>
        </w:rPr>
      </w:pPr>
      <w:r w:rsidRPr="002F158D">
        <w:rPr>
          <w:sz w:val="23"/>
          <w:szCs w:val="23"/>
          <w:lang w:val="es-PE"/>
        </w:rPr>
        <w:t>Lima,</w:t>
      </w:r>
      <w:r w:rsidRPr="002F158D" w:rsidR="009D4785">
        <w:rPr>
          <w:sz w:val="23"/>
          <w:szCs w:val="23"/>
          <w:lang w:val="es-PE"/>
        </w:rPr>
        <w:t xml:space="preserve"> </w:t>
      </w:r>
      <w:r w:rsidRPr="002F158D" w:rsidR="009C3AB7">
        <w:rPr>
          <w:sz w:val="23"/>
          <w:szCs w:val="23"/>
          <w:lang w:val="es-PE"/>
        </w:rPr>
        <w:t>21</w:t>
      </w:r>
      <w:r w:rsidRPr="002F158D" w:rsidR="00C70C36">
        <w:rPr>
          <w:sz w:val="23"/>
          <w:szCs w:val="23"/>
          <w:lang w:val="es-PE"/>
        </w:rPr>
        <w:t xml:space="preserve"> </w:t>
      </w:r>
      <w:r w:rsidRPr="002F158D">
        <w:rPr>
          <w:sz w:val="23"/>
          <w:szCs w:val="23"/>
          <w:lang w:val="es-PE"/>
        </w:rPr>
        <w:t>de</w:t>
      </w:r>
      <w:r w:rsidRPr="002F158D" w:rsidR="001631D6">
        <w:rPr>
          <w:sz w:val="23"/>
          <w:szCs w:val="23"/>
          <w:lang w:val="es-PE"/>
        </w:rPr>
        <w:t xml:space="preserve"> </w:t>
      </w:r>
      <w:r w:rsidRPr="002F158D" w:rsidR="005018BF">
        <w:rPr>
          <w:sz w:val="23"/>
          <w:szCs w:val="23"/>
          <w:lang w:val="es-PE"/>
        </w:rPr>
        <w:t>ju</w:t>
      </w:r>
      <w:r w:rsidRPr="002F158D" w:rsidR="0090565E">
        <w:rPr>
          <w:sz w:val="23"/>
          <w:szCs w:val="23"/>
          <w:lang w:val="es-PE"/>
        </w:rPr>
        <w:t>l</w:t>
      </w:r>
      <w:r w:rsidRPr="002F158D" w:rsidR="005018BF">
        <w:rPr>
          <w:sz w:val="23"/>
          <w:szCs w:val="23"/>
          <w:lang w:val="es-PE"/>
        </w:rPr>
        <w:t>io</w:t>
      </w:r>
      <w:r w:rsidRPr="002F158D" w:rsidR="001631D6">
        <w:rPr>
          <w:sz w:val="23"/>
          <w:szCs w:val="23"/>
          <w:lang w:val="es-PE"/>
        </w:rPr>
        <w:t xml:space="preserve"> </w:t>
      </w:r>
      <w:r w:rsidRPr="002F158D">
        <w:rPr>
          <w:sz w:val="23"/>
          <w:szCs w:val="23"/>
          <w:lang w:val="es-PE"/>
        </w:rPr>
        <w:t>de 20</w:t>
      </w:r>
      <w:r w:rsidRPr="002F158D" w:rsidR="001631D6">
        <w:rPr>
          <w:sz w:val="23"/>
          <w:szCs w:val="23"/>
          <w:lang w:val="es-PE"/>
        </w:rPr>
        <w:t>2</w:t>
      </w:r>
      <w:r w:rsidRPr="002F158D" w:rsidR="0073373B">
        <w:rPr>
          <w:sz w:val="23"/>
          <w:szCs w:val="23"/>
          <w:lang w:val="es-PE"/>
        </w:rPr>
        <w:t>5</w:t>
      </w:r>
    </w:p>
    <w:p w:rsidRPr="002F158D" w:rsidR="00804FBA" w:rsidP="00425565" w:rsidRDefault="00804FBA" w14:paraId="2C8A5CBC" w14:textId="77777777">
      <w:pPr>
        <w:jc w:val="both"/>
        <w:rPr>
          <w:b/>
          <w:bCs/>
          <w:i/>
          <w:iCs/>
          <w:sz w:val="23"/>
          <w:szCs w:val="23"/>
          <w:lang w:val="es-ES_tradnl"/>
        </w:rPr>
      </w:pPr>
    </w:p>
    <w:p w:rsidRPr="002F158D" w:rsidR="003F73A8" w:rsidP="00425565" w:rsidRDefault="003F73A8" w14:paraId="00714C2C" w14:textId="77777777">
      <w:pPr>
        <w:jc w:val="both"/>
        <w:rPr>
          <w:b/>
          <w:bCs/>
          <w:i/>
          <w:iCs/>
          <w:sz w:val="23"/>
          <w:szCs w:val="23"/>
          <w:lang w:val="es-ES_tradnl"/>
        </w:rPr>
      </w:pPr>
      <w:r w:rsidRPr="002F158D">
        <w:rPr>
          <w:b/>
          <w:bCs/>
          <w:i/>
          <w:iCs/>
          <w:sz w:val="23"/>
          <w:szCs w:val="23"/>
          <w:lang w:val="es-ES_tradnl"/>
        </w:rPr>
        <w:t>La Secretaría Técnica certifica que la presente resolución cuenta con el voto de los vocales cuyos nombres figuran en el presente documento.</w:t>
      </w:r>
    </w:p>
    <w:p w:rsidRPr="002F158D" w:rsidR="00707C3F" w:rsidP="00247BE2" w:rsidRDefault="00707C3F" w14:paraId="52D37E4A" w14:textId="77777777">
      <w:pPr>
        <w:spacing w:line="360" w:lineRule="auto"/>
        <w:jc w:val="both"/>
        <w:rPr>
          <w:b/>
          <w:bCs/>
          <w:i/>
          <w:iCs/>
          <w:sz w:val="23"/>
          <w:szCs w:val="23"/>
          <w:lang w:val="es-ES_tradnl"/>
        </w:rPr>
      </w:pPr>
    </w:p>
    <w:p w:rsidRPr="002F158D" w:rsidR="00707C3F" w:rsidP="00247BE2" w:rsidRDefault="00707C3F" w14:paraId="30ED2D98" w14:textId="547A44C6">
      <w:pPr>
        <w:spacing w:line="360" w:lineRule="auto"/>
        <w:jc w:val="center"/>
        <w:rPr>
          <w:b/>
          <w:bCs/>
          <w:sz w:val="23"/>
          <w:szCs w:val="23"/>
        </w:rPr>
      </w:pPr>
      <w:r w:rsidRPr="002F158D">
        <w:rPr>
          <w:b/>
          <w:bCs/>
          <w:sz w:val="23"/>
          <w:szCs w:val="23"/>
        </w:rPr>
        <w:t xml:space="preserve">Rolando Eyzaguirre </w:t>
      </w:r>
      <w:proofErr w:type="spellStart"/>
      <w:r w:rsidRPr="002F158D">
        <w:rPr>
          <w:b/>
          <w:bCs/>
          <w:sz w:val="23"/>
          <w:szCs w:val="23"/>
        </w:rPr>
        <w:t>Maccan</w:t>
      </w:r>
      <w:proofErr w:type="spellEnd"/>
      <w:r w:rsidRPr="002F158D">
        <w:rPr>
          <w:b/>
          <w:bCs/>
          <w:sz w:val="23"/>
          <w:szCs w:val="23"/>
        </w:rPr>
        <w:t xml:space="preserve"> – </w:t>
      </w:r>
      <w:proofErr w:type="gramStart"/>
      <w:r w:rsidRPr="002F158D" w:rsidR="00E4456F">
        <w:rPr>
          <w:b/>
          <w:bCs/>
          <w:sz w:val="23"/>
          <w:szCs w:val="23"/>
        </w:rPr>
        <w:t>Presidente</w:t>
      </w:r>
      <w:proofErr w:type="gramEnd"/>
    </w:p>
    <w:p w:rsidRPr="002F158D" w:rsidR="00BB4CEC" w:rsidP="00247BE2" w:rsidRDefault="00BB4CEC" w14:paraId="01720D6D" w14:textId="7AD41673">
      <w:pPr>
        <w:spacing w:line="360" w:lineRule="auto"/>
        <w:jc w:val="center"/>
        <w:rPr>
          <w:b/>
          <w:bCs/>
          <w:sz w:val="23"/>
          <w:szCs w:val="23"/>
        </w:rPr>
      </w:pPr>
      <w:r w:rsidRPr="002F158D">
        <w:rPr>
          <w:b/>
          <w:bCs/>
          <w:sz w:val="23"/>
          <w:szCs w:val="23"/>
        </w:rPr>
        <w:t>María Eugenia Valdez Fernández Baca –</w:t>
      </w:r>
      <w:r w:rsidRPr="002F158D" w:rsidR="00E4456F">
        <w:rPr>
          <w:b/>
          <w:bCs/>
          <w:sz w:val="23"/>
          <w:szCs w:val="23"/>
        </w:rPr>
        <w:t xml:space="preserve"> Vocal</w:t>
      </w:r>
      <w:r w:rsidRPr="002F158D">
        <w:rPr>
          <w:b/>
          <w:bCs/>
          <w:sz w:val="23"/>
          <w:szCs w:val="23"/>
        </w:rPr>
        <w:t xml:space="preserve"> </w:t>
      </w:r>
    </w:p>
    <w:p w:rsidRPr="002F158D" w:rsidR="00DD0E29" w:rsidP="00247BE2" w:rsidRDefault="00AD20C0" w14:paraId="487074CF" w14:textId="11EAC2F0">
      <w:pPr>
        <w:spacing w:line="360" w:lineRule="auto"/>
        <w:jc w:val="center"/>
        <w:rPr>
          <w:b/>
          <w:bCs/>
          <w:sz w:val="23"/>
          <w:szCs w:val="23"/>
        </w:rPr>
      </w:pPr>
      <w:r w:rsidRPr="002F158D">
        <w:rPr>
          <w:b/>
          <w:bCs/>
          <w:sz w:val="23"/>
          <w:szCs w:val="23"/>
        </w:rPr>
        <w:t>Antonio José Rodríguez Lobatón – Vocal</w:t>
      </w:r>
    </w:p>
    <w:p w:rsidRPr="00ED78D2"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520C6" w:rsidP="005F148C" w:rsidRDefault="009520C6" w14:paraId="2BF0BE56" w14:textId="77777777">
      <w:r>
        <w:separator/>
      </w:r>
    </w:p>
  </w:endnote>
  <w:endnote w:type="continuationSeparator" w:id="0">
    <w:p w:rsidR="009520C6" w:rsidP="005F148C" w:rsidRDefault="009520C6" w14:paraId="4430096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520C6" w:rsidP="005F148C" w:rsidRDefault="009520C6" w14:paraId="7B497F88" w14:textId="77777777">
      <w:r>
        <w:separator/>
      </w:r>
    </w:p>
  </w:footnote>
  <w:footnote w:type="continuationSeparator" w:id="0">
    <w:p w:rsidR="009520C6" w:rsidP="005F148C" w:rsidRDefault="009520C6" w14:paraId="3B924173" w14:textId="77777777">
      <w:r>
        <w:continuationSeparator/>
      </w:r>
    </w:p>
  </w:footnote>
  <w:footnote w:id="1">
    <w:p w:rsidRPr="002F158D" w:rsidR="002F158D" w:rsidP="002F158D" w:rsidRDefault="002F158D" w14:paraId="0D60FBF5" w14:textId="77777777">
      <w:pPr>
        <w:pStyle w:val="Textonotapie"/>
        <w:tabs>
          <w:tab w:val="left" w:pos="284"/>
        </w:tabs>
        <w:spacing w:after="120"/>
        <w:ind w:left="284" w:hanging="284"/>
        <w:rPr>
          <w:sz w:val="18"/>
          <w:szCs w:val="18"/>
          <w:lang w:val="es-MX"/>
        </w:rPr>
      </w:pPr>
      <w:r w:rsidRPr="002F158D">
        <w:rPr>
          <w:rStyle w:val="Refdenotaalpie"/>
          <w:sz w:val="18"/>
          <w:szCs w:val="18"/>
        </w:rPr>
        <w:footnoteRef/>
      </w:r>
      <w:r w:rsidRPr="002F158D">
        <w:rPr>
          <w:sz w:val="18"/>
          <w:szCs w:val="18"/>
        </w:rPr>
        <w:t xml:space="preserve"> </w:t>
      </w:r>
      <w:r w:rsidRPr="002F158D">
        <w:rPr>
          <w:sz w:val="18"/>
          <w:szCs w:val="18"/>
        </w:rPr>
        <w:tab/>
      </w:r>
      <w:hyperlink w:history="1" r:id="rId1">
        <w:r w:rsidRPr="002F158D">
          <w:rPr>
            <w:rStyle w:val="Hipervnculo"/>
            <w:rFonts w:eastAsia="Arial Unicode MS"/>
            <w:sz w:val="18"/>
            <w:szCs w:val="18"/>
            <w:lang w:val="es-PE"/>
          </w:rPr>
          <w:t>http://www.defaseg.com.pe/reglamento</w:t>
        </w:r>
      </w:hyperlink>
      <w:r w:rsidRPr="002F158D">
        <w:rPr>
          <w:rFonts w:eastAsia="Arial Unicode MS"/>
          <w:sz w:val="18"/>
          <w:szCs w:val="18"/>
          <w:lang w:val="es-PE"/>
        </w:rPr>
        <w:t xml:space="preserve"> </w:t>
      </w:r>
    </w:p>
  </w:footnote>
  <w:footnote w:id="2">
    <w:p w:rsidRPr="002F158D" w:rsidR="002F158D" w:rsidP="002F158D" w:rsidRDefault="002F158D" w14:paraId="5CAE8E64" w14:textId="77777777">
      <w:pPr>
        <w:pStyle w:val="Textonotapie"/>
        <w:tabs>
          <w:tab w:val="left" w:pos="284"/>
        </w:tabs>
        <w:spacing w:after="60"/>
        <w:ind w:left="284" w:hanging="284"/>
        <w:rPr>
          <w:rStyle w:val="Hipervnculo"/>
          <w:color w:val="000000" w:themeColor="text1"/>
          <w:sz w:val="18"/>
          <w:szCs w:val="18"/>
          <w:lang w:val="es-PE"/>
        </w:rPr>
      </w:pPr>
      <w:r w:rsidRPr="002F158D">
        <w:rPr>
          <w:rStyle w:val="Refdenotaalpie"/>
          <w:sz w:val="18"/>
          <w:szCs w:val="18"/>
        </w:rPr>
        <w:footnoteRef/>
      </w:r>
      <w:r w:rsidRPr="002F158D">
        <w:rPr>
          <w:sz w:val="18"/>
          <w:szCs w:val="18"/>
          <w:lang w:val="es-PE"/>
        </w:rPr>
        <w:t xml:space="preserve"> </w:t>
      </w:r>
      <w:r w:rsidRPr="002F158D">
        <w:rPr>
          <w:sz w:val="18"/>
          <w:szCs w:val="18"/>
          <w:lang w:val="es-PE"/>
        </w:rPr>
        <w:tab/>
      </w:r>
      <w:r w:rsidRPr="002F158D">
        <w:rPr>
          <w:rStyle w:val="Hipervnculo"/>
          <w:b/>
          <w:bCs/>
          <w:color w:val="000000" w:themeColor="text1"/>
          <w:sz w:val="18"/>
          <w:szCs w:val="18"/>
          <w:lang w:val="es-PE"/>
        </w:rPr>
        <w:t>Ley del Contrato de Seguro</w:t>
      </w:r>
    </w:p>
    <w:p w:rsidRPr="002F158D" w:rsidR="002F158D" w:rsidP="002F158D" w:rsidRDefault="002F158D" w14:paraId="2F99687F" w14:textId="77777777">
      <w:pPr>
        <w:pStyle w:val="Textonotapie"/>
        <w:tabs>
          <w:tab w:val="left" w:pos="284"/>
        </w:tabs>
        <w:spacing w:after="60"/>
        <w:ind w:left="284" w:hanging="284"/>
        <w:rPr>
          <w:rStyle w:val="Hipervnculo"/>
          <w:b/>
          <w:bCs/>
          <w:color w:val="000000" w:themeColor="text1"/>
          <w:sz w:val="18"/>
          <w:szCs w:val="18"/>
          <w:lang w:val="es-PE"/>
        </w:rPr>
      </w:pPr>
      <w:r w:rsidRPr="002F158D">
        <w:rPr>
          <w:rStyle w:val="Hipervnculo"/>
          <w:b/>
          <w:bCs/>
          <w:color w:val="000000" w:themeColor="text1"/>
          <w:sz w:val="18"/>
          <w:szCs w:val="18"/>
          <w:lang w:val="es-PE"/>
        </w:rPr>
        <w:tab/>
      </w:r>
      <w:r w:rsidRPr="002F158D">
        <w:rPr>
          <w:rStyle w:val="Hipervnculo"/>
          <w:b/>
          <w:bCs/>
          <w:color w:val="000000" w:themeColor="text1"/>
          <w:sz w:val="18"/>
          <w:szCs w:val="18"/>
          <w:lang w:val="es-PE"/>
        </w:rPr>
        <w:t>Artículo 1o.- Definición</w:t>
      </w:r>
    </w:p>
    <w:p w:rsidRPr="002F158D" w:rsidR="002F158D" w:rsidP="002F158D" w:rsidRDefault="002F158D" w14:paraId="2B4AA5A2" w14:textId="77777777">
      <w:pPr>
        <w:pStyle w:val="Textonotapie"/>
        <w:tabs>
          <w:tab w:val="left" w:pos="284"/>
        </w:tabs>
        <w:spacing w:after="120"/>
        <w:ind w:left="284" w:hanging="284"/>
        <w:rPr>
          <w:rStyle w:val="Hipervnculo"/>
          <w:color w:val="000000" w:themeColor="text1"/>
          <w:sz w:val="18"/>
          <w:szCs w:val="18"/>
          <w:lang w:val="es-PE"/>
        </w:rPr>
      </w:pPr>
      <w:r w:rsidRPr="002F158D">
        <w:rPr>
          <w:rStyle w:val="Hipervnculo"/>
          <w:color w:val="000000" w:themeColor="text1"/>
          <w:sz w:val="18"/>
          <w:szCs w:val="18"/>
          <w:lang w:val="es-PE"/>
        </w:rPr>
        <w:tab/>
      </w:r>
      <w:r w:rsidRPr="002F158D">
        <w:rPr>
          <w:rStyle w:val="Hipervnculo"/>
          <w:color w:val="000000" w:themeColor="text1"/>
          <w:sz w:val="18"/>
          <w:szCs w:val="18"/>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3">
    <w:p w:rsidRPr="002F158D" w:rsidR="002F158D" w:rsidP="002F158D" w:rsidRDefault="002F158D" w14:paraId="69C0F4FE" w14:textId="77777777">
      <w:pPr>
        <w:pStyle w:val="Textonotapie"/>
        <w:tabs>
          <w:tab w:val="left" w:pos="284"/>
        </w:tabs>
        <w:spacing w:after="120"/>
        <w:ind w:left="284" w:hanging="284"/>
        <w:rPr>
          <w:b/>
          <w:bCs/>
          <w:sz w:val="18"/>
          <w:szCs w:val="18"/>
          <w:lang w:val="es-PE"/>
        </w:rPr>
      </w:pPr>
      <w:r w:rsidRPr="002F158D">
        <w:rPr>
          <w:rStyle w:val="Refdenotaalpie"/>
          <w:sz w:val="18"/>
          <w:szCs w:val="18"/>
        </w:rPr>
        <w:footnoteRef/>
      </w:r>
      <w:r w:rsidRPr="002F158D">
        <w:rPr>
          <w:sz w:val="18"/>
          <w:szCs w:val="18"/>
          <w:lang w:val="es-PE"/>
        </w:rPr>
        <w:t xml:space="preserve"> </w:t>
      </w:r>
      <w:r w:rsidRPr="002F158D">
        <w:rPr>
          <w:sz w:val="18"/>
          <w:szCs w:val="18"/>
          <w:lang w:val="es-PE"/>
        </w:rPr>
        <w:tab/>
      </w:r>
      <w:r w:rsidRPr="002F158D">
        <w:rPr>
          <w:b/>
          <w:bCs/>
          <w:sz w:val="18"/>
          <w:szCs w:val="18"/>
          <w:lang w:val="es-PE"/>
        </w:rPr>
        <w:t>Código Civil</w:t>
      </w:r>
    </w:p>
    <w:p w:rsidRPr="002F158D" w:rsidR="002F158D" w:rsidP="002F158D" w:rsidRDefault="002F158D" w14:paraId="2A839682" w14:textId="77777777">
      <w:pPr>
        <w:pStyle w:val="Textonotapie"/>
        <w:tabs>
          <w:tab w:val="left" w:pos="284"/>
        </w:tabs>
        <w:spacing w:after="120"/>
        <w:ind w:left="284" w:hanging="284"/>
        <w:rPr>
          <w:sz w:val="18"/>
          <w:szCs w:val="18"/>
          <w:lang w:val="es-PE"/>
        </w:rPr>
      </w:pPr>
      <w:r w:rsidRPr="002F158D">
        <w:rPr>
          <w:b/>
          <w:bCs/>
          <w:sz w:val="18"/>
          <w:szCs w:val="18"/>
          <w:lang w:val="es-PE"/>
        </w:rPr>
        <w:tab/>
      </w:r>
      <w:r w:rsidRPr="002F158D">
        <w:rPr>
          <w:b/>
          <w:bCs/>
          <w:sz w:val="18"/>
          <w:szCs w:val="18"/>
          <w:lang w:val="es-PE"/>
        </w:rPr>
        <w:t>Artículo 1361.-</w:t>
      </w:r>
      <w:r w:rsidRPr="002F158D">
        <w:rPr>
          <w:sz w:val="18"/>
          <w:szCs w:val="18"/>
          <w:lang w:val="es-PE"/>
        </w:rPr>
        <w:t> Los contratos son obligatorios en cuanto se haya expresado en ellos.</w:t>
      </w:r>
    </w:p>
    <w:p w:rsidRPr="002F158D" w:rsidR="002F158D" w:rsidP="002F158D" w:rsidRDefault="002F158D" w14:paraId="1531B1BA" w14:textId="77777777">
      <w:pPr>
        <w:pStyle w:val="Textonotapie"/>
        <w:tabs>
          <w:tab w:val="left" w:pos="284"/>
        </w:tabs>
        <w:spacing w:after="120"/>
        <w:ind w:left="284" w:hanging="284"/>
        <w:rPr>
          <w:sz w:val="18"/>
          <w:szCs w:val="18"/>
          <w:lang w:val="es-PE"/>
        </w:rPr>
      </w:pPr>
      <w:r w:rsidRPr="002F158D">
        <w:rPr>
          <w:sz w:val="18"/>
          <w:szCs w:val="18"/>
          <w:lang w:val="es-PE"/>
        </w:rPr>
        <w:tab/>
      </w:r>
      <w:r w:rsidRPr="002F158D">
        <w:rPr>
          <w:sz w:val="18"/>
          <w:szCs w:val="18"/>
          <w:lang w:val="es-PE"/>
        </w:rPr>
        <w:t>Se presume que la declaración expresada en el contrato responde a la voluntad común de las partes y quien niegue esa coincidencia debe probarla.</w:t>
      </w:r>
    </w:p>
  </w:footnote>
  <w:footnote w:id="4">
    <w:p w:rsidRPr="002F158D" w:rsidR="002F158D" w:rsidP="002F158D" w:rsidRDefault="002F158D" w14:paraId="2E7BDE66" w14:textId="77777777">
      <w:pPr>
        <w:pStyle w:val="Textonotapie"/>
        <w:tabs>
          <w:tab w:val="left" w:pos="284"/>
        </w:tabs>
        <w:spacing w:after="120"/>
        <w:ind w:left="284" w:hanging="284"/>
        <w:rPr>
          <w:b/>
          <w:bCs/>
          <w:sz w:val="18"/>
          <w:szCs w:val="18"/>
          <w:lang w:val="es-MX"/>
        </w:rPr>
      </w:pPr>
      <w:r w:rsidRPr="002F158D">
        <w:rPr>
          <w:rStyle w:val="Refdenotaalpie"/>
          <w:sz w:val="18"/>
          <w:szCs w:val="18"/>
        </w:rPr>
        <w:footnoteRef/>
      </w:r>
      <w:r w:rsidRPr="002F158D">
        <w:rPr>
          <w:sz w:val="18"/>
          <w:szCs w:val="18"/>
          <w:lang w:val="es-PE"/>
        </w:rPr>
        <w:t xml:space="preserve"> </w:t>
      </w:r>
      <w:r w:rsidRPr="002F158D">
        <w:rPr>
          <w:sz w:val="18"/>
          <w:szCs w:val="18"/>
          <w:lang w:val="es-PE"/>
        </w:rPr>
        <w:tab/>
      </w:r>
      <w:r w:rsidRPr="002F158D">
        <w:rPr>
          <w:b/>
          <w:bCs/>
          <w:sz w:val="18"/>
          <w:szCs w:val="18"/>
          <w:lang w:val="es-MX"/>
        </w:rPr>
        <w:t>Código Procesal Civil</w:t>
      </w:r>
    </w:p>
    <w:p w:rsidRPr="002F158D" w:rsidR="002F158D" w:rsidP="002F158D" w:rsidRDefault="002F158D" w14:paraId="610FC0E0" w14:textId="77777777">
      <w:pPr>
        <w:pStyle w:val="Textonotapie"/>
        <w:tabs>
          <w:tab w:val="left" w:pos="284"/>
        </w:tabs>
        <w:spacing w:after="120"/>
        <w:ind w:left="284" w:hanging="284"/>
        <w:rPr>
          <w:sz w:val="18"/>
          <w:szCs w:val="18"/>
          <w:lang w:val="es-MX"/>
        </w:rPr>
      </w:pPr>
      <w:r w:rsidRPr="002F158D">
        <w:rPr>
          <w:b/>
          <w:bCs/>
          <w:sz w:val="18"/>
          <w:szCs w:val="18"/>
          <w:lang w:val="es-MX"/>
        </w:rPr>
        <w:tab/>
      </w:r>
      <w:r w:rsidRPr="002F158D">
        <w:rPr>
          <w:b/>
          <w:bCs/>
          <w:sz w:val="18"/>
          <w:szCs w:val="18"/>
          <w:lang w:val="es-MX"/>
        </w:rPr>
        <w:t xml:space="preserve">Artículo 196.- Carga de la </w:t>
      </w:r>
      <w:proofErr w:type="gramStart"/>
      <w:r w:rsidRPr="002F158D">
        <w:rPr>
          <w:b/>
          <w:bCs/>
          <w:sz w:val="18"/>
          <w:szCs w:val="18"/>
          <w:lang w:val="es-MX"/>
        </w:rPr>
        <w:t>prueba.-</w:t>
      </w:r>
      <w:proofErr w:type="gramEnd"/>
      <w:r w:rsidRPr="002F158D">
        <w:rPr>
          <w:sz w:val="18"/>
          <w:szCs w:val="18"/>
          <w:lang w:val="es-MX"/>
        </w:rPr>
        <w:t xml:space="preserve"> Salvo disposición legal diferente, la carga de probar corresponde a quien afirma hechos que configuran su pretensión, o a quien los contradice alegando nuevos hechos.</w:t>
      </w:r>
    </w:p>
  </w:footnote>
  <w:footnote w:id="5">
    <w:p w:rsidRPr="002F158D" w:rsidR="002F158D" w:rsidP="002F158D" w:rsidRDefault="002F158D" w14:paraId="346738B4" w14:textId="77777777">
      <w:pPr>
        <w:pStyle w:val="Textonotapie"/>
        <w:tabs>
          <w:tab w:val="left" w:pos="284"/>
        </w:tabs>
        <w:spacing w:after="120"/>
        <w:ind w:left="284" w:hanging="284"/>
        <w:rPr>
          <w:b/>
          <w:bCs/>
          <w:sz w:val="18"/>
          <w:szCs w:val="18"/>
          <w:lang w:val="es-MX"/>
        </w:rPr>
      </w:pPr>
      <w:r w:rsidRPr="002F158D">
        <w:rPr>
          <w:rStyle w:val="Refdenotaalpie"/>
          <w:sz w:val="18"/>
          <w:szCs w:val="18"/>
        </w:rPr>
        <w:footnoteRef/>
      </w:r>
      <w:r w:rsidRPr="002F158D">
        <w:rPr>
          <w:sz w:val="18"/>
          <w:szCs w:val="18"/>
        </w:rPr>
        <w:t xml:space="preserve"> </w:t>
      </w:r>
      <w:r w:rsidRPr="002F158D">
        <w:rPr>
          <w:sz w:val="18"/>
          <w:szCs w:val="18"/>
        </w:rPr>
        <w:tab/>
      </w:r>
      <w:r w:rsidRPr="002F158D">
        <w:rPr>
          <w:b/>
          <w:bCs/>
          <w:sz w:val="18"/>
          <w:szCs w:val="18"/>
        </w:rPr>
        <w:t>Reglamento de la DEFASEG</w:t>
      </w:r>
    </w:p>
    <w:p w:rsidRPr="002F158D" w:rsidR="002F158D" w:rsidP="002F158D" w:rsidRDefault="002F158D" w14:paraId="76F7175F" w14:textId="77777777">
      <w:pPr>
        <w:pStyle w:val="Textonotapie"/>
        <w:tabs>
          <w:tab w:val="left" w:pos="284"/>
        </w:tabs>
        <w:spacing w:after="120"/>
        <w:ind w:left="284" w:hanging="284"/>
        <w:rPr>
          <w:rStyle w:val="Hipervnculo"/>
          <w:b/>
          <w:bCs/>
          <w:color w:val="000000" w:themeColor="text1"/>
          <w:sz w:val="18"/>
          <w:szCs w:val="18"/>
          <w:lang w:val="es-PE"/>
        </w:rPr>
      </w:pPr>
      <w:r w:rsidRPr="002F158D">
        <w:rPr>
          <w:rStyle w:val="Hipervnculo"/>
          <w:b/>
          <w:bCs/>
          <w:color w:val="000000" w:themeColor="text1"/>
          <w:sz w:val="18"/>
          <w:szCs w:val="18"/>
          <w:lang w:val="es-PE"/>
        </w:rPr>
        <w:tab/>
      </w:r>
      <w:r w:rsidRPr="002F158D">
        <w:rPr>
          <w:rStyle w:val="Hipervnculo"/>
          <w:b/>
          <w:bCs/>
          <w:color w:val="000000" w:themeColor="text1"/>
          <w:sz w:val="18"/>
          <w:szCs w:val="18"/>
          <w:lang w:val="es-PE"/>
        </w:rPr>
        <w:t xml:space="preserve">4. Competencia </w:t>
      </w:r>
    </w:p>
    <w:p w:rsidRPr="002F158D" w:rsidR="002F158D" w:rsidP="002F158D" w:rsidRDefault="002F158D" w14:paraId="00488A62" w14:textId="77777777">
      <w:pPr>
        <w:pStyle w:val="Textonotapie"/>
        <w:tabs>
          <w:tab w:val="left" w:pos="284"/>
        </w:tabs>
        <w:spacing w:after="120"/>
        <w:ind w:left="284" w:hanging="284"/>
        <w:rPr>
          <w:rStyle w:val="Hipervnculo"/>
          <w:color w:val="000000" w:themeColor="text1"/>
          <w:sz w:val="18"/>
          <w:szCs w:val="18"/>
          <w:lang w:val="es-PE"/>
        </w:rPr>
      </w:pPr>
      <w:r w:rsidRPr="002F158D">
        <w:rPr>
          <w:rStyle w:val="Hipervnculo"/>
          <w:color w:val="000000" w:themeColor="text1"/>
          <w:sz w:val="18"/>
          <w:szCs w:val="18"/>
          <w:lang w:val="es-PE"/>
        </w:rPr>
        <w:tab/>
      </w:r>
      <w:r w:rsidRPr="002F158D">
        <w:rPr>
          <w:rStyle w:val="Hipervnculo"/>
          <w:color w:val="000000" w:themeColor="text1"/>
          <w:sz w:val="18"/>
          <w:szCs w:val="18"/>
          <w:lang w:val="es-PE"/>
        </w:rPr>
        <w:t xml:space="preserve">La Defensoría conoce los reclamos que plantean los usuarios de seguros, ello siempre y cuando cumplan con los siguientes requisitos de admisibilidad de manera concurrente: </w:t>
      </w:r>
    </w:p>
    <w:p w:rsidRPr="002F158D" w:rsidR="002F158D" w:rsidP="002F158D" w:rsidRDefault="002F158D" w14:paraId="79F1703E" w14:textId="77777777">
      <w:pPr>
        <w:pStyle w:val="Textonotapie"/>
        <w:tabs>
          <w:tab w:val="left" w:pos="284"/>
          <w:tab w:val="left" w:pos="567"/>
        </w:tabs>
        <w:spacing w:after="120"/>
        <w:ind w:left="567" w:hanging="567"/>
        <w:rPr>
          <w:rStyle w:val="Hipervnculo"/>
          <w:color w:val="000000" w:themeColor="text1"/>
          <w:sz w:val="18"/>
          <w:szCs w:val="18"/>
          <w:lang w:val="es-PE"/>
        </w:rPr>
      </w:pPr>
      <w:r w:rsidRPr="002F158D">
        <w:rPr>
          <w:rStyle w:val="Hipervnculo"/>
          <w:color w:val="000000" w:themeColor="text1"/>
          <w:sz w:val="18"/>
          <w:szCs w:val="18"/>
          <w:lang w:val="es-PE"/>
        </w:rPr>
        <w:tab/>
      </w:r>
      <w:r w:rsidRPr="002F158D">
        <w:rPr>
          <w:rStyle w:val="Hipervnculo"/>
          <w:color w:val="000000" w:themeColor="text1"/>
          <w:sz w:val="18"/>
          <w:szCs w:val="18"/>
          <w:lang w:val="es-PE"/>
        </w:rPr>
        <w:t xml:space="preserve">1. </w:t>
      </w:r>
      <w:r w:rsidRPr="002F158D">
        <w:rPr>
          <w:rStyle w:val="Hipervnculo"/>
          <w:color w:val="000000" w:themeColor="text1"/>
          <w:sz w:val="18"/>
          <w:szCs w:val="18"/>
          <w:lang w:val="es-PE"/>
        </w:rPr>
        <w:tab/>
      </w:r>
      <w:r w:rsidRPr="002F158D">
        <w:rPr>
          <w:rStyle w:val="Hipervnculo"/>
          <w:color w:val="000000" w:themeColor="text1"/>
          <w:sz w:val="18"/>
          <w:szCs w:val="18"/>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2F158D" w:rsidR="002F158D" w:rsidP="002F158D" w:rsidRDefault="002F158D" w14:paraId="3E6C05E4" w14:textId="77777777">
      <w:pPr>
        <w:pStyle w:val="Textonotapie"/>
        <w:tabs>
          <w:tab w:val="left" w:pos="284"/>
          <w:tab w:val="left" w:pos="567"/>
        </w:tabs>
        <w:spacing w:after="120"/>
        <w:ind w:left="567" w:hanging="567"/>
        <w:rPr>
          <w:rStyle w:val="Hipervnculo"/>
          <w:color w:val="000000" w:themeColor="text1"/>
          <w:sz w:val="18"/>
          <w:szCs w:val="18"/>
          <w:lang w:val="es-PE"/>
        </w:rPr>
      </w:pPr>
      <w:r w:rsidRPr="002F158D">
        <w:rPr>
          <w:rStyle w:val="Hipervnculo"/>
          <w:color w:val="000000" w:themeColor="text1"/>
          <w:sz w:val="18"/>
          <w:szCs w:val="18"/>
          <w:lang w:val="es-PE"/>
        </w:rPr>
        <w:tab/>
      </w:r>
      <w:r w:rsidRPr="002F158D">
        <w:rPr>
          <w:rStyle w:val="Hipervnculo"/>
          <w:color w:val="000000" w:themeColor="text1"/>
          <w:sz w:val="18"/>
          <w:szCs w:val="18"/>
          <w:lang w:val="es-PE"/>
        </w:rPr>
        <w:t xml:space="preserve">2. </w:t>
      </w:r>
      <w:r w:rsidRPr="002F158D">
        <w:rPr>
          <w:rStyle w:val="Hipervnculo"/>
          <w:color w:val="000000" w:themeColor="text1"/>
          <w:sz w:val="18"/>
          <w:szCs w:val="18"/>
          <w:lang w:val="es-PE"/>
        </w:rPr>
        <w:tab/>
      </w:r>
      <w:r w:rsidRPr="002F158D">
        <w:rPr>
          <w:rStyle w:val="Hipervnculo"/>
          <w:color w:val="000000" w:themeColor="text1"/>
          <w:sz w:val="18"/>
          <w:szCs w:val="18"/>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2F158D" w:rsidR="002F158D" w:rsidP="002F158D" w:rsidRDefault="002F158D" w14:paraId="512ADE5C" w14:textId="77777777">
      <w:pPr>
        <w:pStyle w:val="Textonotapie"/>
        <w:tabs>
          <w:tab w:val="left" w:pos="284"/>
          <w:tab w:val="left" w:pos="567"/>
        </w:tabs>
        <w:spacing w:after="120"/>
        <w:ind w:left="567" w:hanging="567"/>
        <w:rPr>
          <w:rStyle w:val="Hipervnculo"/>
          <w:color w:val="000000" w:themeColor="text1"/>
          <w:sz w:val="18"/>
          <w:szCs w:val="18"/>
          <w:lang w:val="es-PE"/>
        </w:rPr>
      </w:pPr>
      <w:r w:rsidRPr="002F158D">
        <w:rPr>
          <w:rStyle w:val="Hipervnculo"/>
          <w:color w:val="000000" w:themeColor="text1"/>
          <w:sz w:val="18"/>
          <w:szCs w:val="18"/>
          <w:lang w:val="es-PE"/>
        </w:rPr>
        <w:tab/>
      </w:r>
      <w:r w:rsidRPr="002F158D">
        <w:rPr>
          <w:rStyle w:val="Hipervnculo"/>
          <w:color w:val="000000" w:themeColor="text1"/>
          <w:sz w:val="18"/>
          <w:szCs w:val="18"/>
          <w:lang w:val="es-PE"/>
        </w:rPr>
        <w:t xml:space="preserve">3. </w:t>
      </w:r>
      <w:r w:rsidRPr="002F158D">
        <w:rPr>
          <w:rStyle w:val="Hipervnculo"/>
          <w:color w:val="000000" w:themeColor="text1"/>
          <w:sz w:val="18"/>
          <w:szCs w:val="18"/>
          <w:lang w:val="es-PE"/>
        </w:rPr>
        <w:tab/>
      </w:r>
      <w:r w:rsidRPr="002F158D">
        <w:rPr>
          <w:rStyle w:val="Hipervnculo"/>
          <w:color w:val="000000" w:themeColor="text1"/>
          <w:sz w:val="18"/>
          <w:szCs w:val="18"/>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2F158D" w:rsidR="002F158D" w:rsidP="002F158D" w:rsidRDefault="002F158D" w14:paraId="74A143CA" w14:textId="69956220">
      <w:pPr>
        <w:pStyle w:val="Textonotapie"/>
        <w:tabs>
          <w:tab w:val="left" w:pos="284"/>
        </w:tabs>
        <w:spacing w:after="120"/>
        <w:ind w:left="284" w:hanging="284"/>
        <w:rPr>
          <w:sz w:val="18"/>
          <w:szCs w:val="18"/>
        </w:rPr>
      </w:pPr>
      <w:r w:rsidRPr="002F158D">
        <w:rPr>
          <w:rStyle w:val="Refdenotaalpie"/>
          <w:sz w:val="18"/>
          <w:szCs w:val="18"/>
        </w:rPr>
        <w:footnoteRef/>
      </w:r>
      <w:r w:rsidRPr="002F158D" w:rsidR="52C4702B">
        <w:rPr>
          <w:sz w:val="18"/>
          <w:szCs w:val="18"/>
        </w:rPr>
        <w:t xml:space="preserve"> </w:t>
      </w:r>
      <w:r w:rsidRPr="002F158D">
        <w:rPr>
          <w:sz w:val="18"/>
          <w:szCs w:val="18"/>
        </w:rPr>
        <w:tab/>
      </w:r>
      <w:r w:rsidRPr="002F158D" w:rsidR="52C4702B">
        <w:rPr>
          <w:sz w:val="18"/>
          <w:szCs w:val="18"/>
        </w:rPr>
        <w:t xml:space="preserve">Véase Resolución DEFASEG </w:t>
      </w:r>
      <w:r w:rsidRPr="002F158D" w:rsidR="52C4702B">
        <w:rPr>
          <w:sz w:val="18"/>
          <w:szCs w:val="18"/>
        </w:rPr>
        <w:t>n.°</w:t>
      </w:r>
      <w:r w:rsidRPr="002F158D" w:rsidR="52C4702B">
        <w:rPr>
          <w:sz w:val="18"/>
          <w:szCs w:val="18"/>
        </w:rPr>
        <w:t xml:space="preserve"> 28/25 (</w:t>
      </w:r>
      <w:r w:rsidRPr="52C4702B" w:rsidR="52C4702B">
        <w:rPr>
          <w:i w:val="1"/>
          <w:iCs w:val="1"/>
          <w:sz w:val="18"/>
          <w:szCs w:val="18"/>
          <w:u w:val="single"/>
        </w:rPr>
        <w:t xml:space="preserve">Expediente </w:t>
      </w:r>
      <w:r w:rsidRPr="52C4702B" w:rsidR="52C4702B">
        <w:rPr>
          <w:i w:val="1"/>
          <w:iCs w:val="1"/>
          <w:sz w:val="18"/>
          <w:szCs w:val="18"/>
          <w:u w:val="single"/>
        </w:rPr>
        <w:t>n.°</w:t>
      </w:r>
      <w:r w:rsidRPr="52C4702B" w:rsidR="52C4702B">
        <w:rPr>
          <w:i w:val="1"/>
          <w:iCs w:val="1"/>
          <w:sz w:val="18"/>
          <w:szCs w:val="18"/>
          <w:u w:val="single"/>
        </w:rPr>
        <w:t xml:space="preserve"> 6073, Caso Varona Vásquez v </w:t>
      </w:r>
      <w:r w:rsidRPr="52C4702B" w:rsidR="52C4702B">
        <w:rPr>
          <w:i w:val="1"/>
          <w:iCs w:val="1"/>
          <w:sz w:val="18"/>
          <w:szCs w:val="18"/>
          <w:u w:val="single"/>
        </w:rPr>
        <w:t xml:space="preserve">............................</w:t>
      </w:r>
      <w:r w:rsidRPr="002F158D" w:rsidR="52C4702B">
        <w:rPr>
          <w:sz w:val="18"/>
          <w:szCs w:val="18"/>
        </w:rPr>
        <w:t>) del 4 de marzo de 2025.</w:t>
      </w:r>
    </w:p>
  </w:footnote>
  <w:footnote w:id="7">
    <w:p w:rsidRPr="002F158D" w:rsidR="002F158D" w:rsidP="002F158D" w:rsidRDefault="002F158D" w14:paraId="69B28A73" w14:textId="77777777">
      <w:pPr>
        <w:pStyle w:val="Textonotapie"/>
        <w:tabs>
          <w:tab w:val="left" w:pos="284"/>
        </w:tabs>
        <w:spacing w:after="120"/>
        <w:ind w:left="284" w:hanging="284"/>
        <w:rPr>
          <w:sz w:val="18"/>
          <w:szCs w:val="18"/>
          <w:lang w:val="es-MX"/>
        </w:rPr>
      </w:pPr>
      <w:r w:rsidRPr="002F158D">
        <w:rPr>
          <w:rStyle w:val="Refdenotaalpie"/>
          <w:sz w:val="18"/>
          <w:szCs w:val="18"/>
        </w:rPr>
        <w:footnoteRef/>
      </w:r>
      <w:r w:rsidRPr="002F158D">
        <w:rPr>
          <w:sz w:val="18"/>
          <w:szCs w:val="18"/>
        </w:rPr>
        <w:t xml:space="preserve"> </w:t>
      </w:r>
      <w:r w:rsidRPr="002F158D">
        <w:rPr>
          <w:sz w:val="18"/>
          <w:szCs w:val="18"/>
        </w:rPr>
        <w:tab/>
      </w:r>
      <w:r w:rsidRPr="002F158D">
        <w:rPr>
          <w:sz w:val="18"/>
          <w:szCs w:val="18"/>
        </w:rPr>
        <w:t xml:space="preserve">Véase </w:t>
      </w:r>
      <w:r w:rsidRPr="002F158D">
        <w:rPr>
          <w:sz w:val="18"/>
          <w:szCs w:val="18"/>
          <w:lang w:val="es-MX"/>
        </w:rPr>
        <w:t xml:space="preserve">Resolución DEFASEG </w:t>
      </w:r>
      <w:proofErr w:type="spellStart"/>
      <w:r w:rsidRPr="002F158D">
        <w:rPr>
          <w:sz w:val="18"/>
          <w:szCs w:val="18"/>
          <w:lang w:val="es-MX"/>
        </w:rPr>
        <w:t>n.°</w:t>
      </w:r>
      <w:proofErr w:type="spellEnd"/>
      <w:r w:rsidRPr="002F158D">
        <w:rPr>
          <w:sz w:val="18"/>
          <w:szCs w:val="18"/>
          <w:lang w:val="es-MX"/>
        </w:rPr>
        <w:t xml:space="preserve"> 32/19 (</w:t>
      </w:r>
      <w:r w:rsidRPr="002F158D">
        <w:rPr>
          <w:i/>
          <w:iCs/>
          <w:sz w:val="18"/>
          <w:szCs w:val="18"/>
          <w:u w:val="single"/>
          <w:lang w:val="es-MX"/>
        </w:rPr>
        <w:t xml:space="preserve">Expediente </w:t>
      </w:r>
      <w:proofErr w:type="spellStart"/>
      <w:r w:rsidRPr="002F158D">
        <w:rPr>
          <w:i/>
          <w:iCs/>
          <w:sz w:val="18"/>
          <w:szCs w:val="18"/>
          <w:u w:val="single"/>
          <w:lang w:val="es-MX"/>
        </w:rPr>
        <w:t>n.°</w:t>
      </w:r>
      <w:proofErr w:type="spellEnd"/>
      <w:r w:rsidRPr="002F158D">
        <w:rPr>
          <w:i/>
          <w:iCs/>
          <w:sz w:val="18"/>
          <w:szCs w:val="18"/>
          <w:u w:val="single"/>
          <w:lang w:val="es-MX"/>
        </w:rPr>
        <w:t xml:space="preserve"> 3974, Caso Custodio Gutiérrez v. Rímac</w:t>
      </w:r>
      <w:r w:rsidRPr="002F158D">
        <w:rPr>
          <w:sz w:val="18"/>
          <w:szCs w:val="18"/>
          <w:lang w:val="es-MX"/>
        </w:rPr>
        <w:t>) del 11 de marzo de 2019.</w:t>
      </w:r>
    </w:p>
  </w:footnote>
  <w:footnote w:id="8">
    <w:p w:rsidRPr="002F158D" w:rsidR="002F158D" w:rsidP="002F158D" w:rsidRDefault="002F158D" w14:paraId="0176578A" w14:textId="77777777">
      <w:pPr>
        <w:pStyle w:val="Textonotapie"/>
        <w:tabs>
          <w:tab w:val="left" w:pos="284"/>
        </w:tabs>
        <w:spacing w:after="120"/>
        <w:ind w:left="284" w:hanging="284"/>
        <w:rPr>
          <w:sz w:val="18"/>
          <w:szCs w:val="18"/>
          <w:lang w:val="es-MX"/>
        </w:rPr>
      </w:pPr>
      <w:r w:rsidRPr="002F158D">
        <w:rPr>
          <w:rStyle w:val="Refdenotaalpie"/>
          <w:sz w:val="18"/>
          <w:szCs w:val="18"/>
        </w:rPr>
        <w:footnoteRef/>
      </w:r>
      <w:r w:rsidRPr="002F158D">
        <w:rPr>
          <w:sz w:val="18"/>
          <w:szCs w:val="18"/>
        </w:rPr>
        <w:t xml:space="preserve"> </w:t>
      </w:r>
      <w:r w:rsidRPr="002F158D">
        <w:rPr>
          <w:sz w:val="18"/>
          <w:szCs w:val="18"/>
        </w:rPr>
        <w:tab/>
      </w:r>
      <w:r w:rsidRPr="002F158D">
        <w:rPr>
          <w:sz w:val="18"/>
          <w:szCs w:val="18"/>
        </w:rPr>
        <w:t xml:space="preserve">Véase Resolución DEFASEG </w:t>
      </w:r>
      <w:proofErr w:type="spellStart"/>
      <w:r w:rsidRPr="002F158D">
        <w:rPr>
          <w:sz w:val="18"/>
          <w:szCs w:val="18"/>
        </w:rPr>
        <w:t>n.°</w:t>
      </w:r>
      <w:proofErr w:type="spellEnd"/>
      <w:r w:rsidRPr="002F158D">
        <w:rPr>
          <w:sz w:val="18"/>
          <w:szCs w:val="18"/>
        </w:rPr>
        <w:t xml:space="preserve"> 23/22 (</w:t>
      </w:r>
      <w:r w:rsidRPr="002F158D">
        <w:rPr>
          <w:i/>
          <w:iCs/>
          <w:sz w:val="18"/>
          <w:szCs w:val="18"/>
          <w:u w:val="single"/>
        </w:rPr>
        <w:t xml:space="preserve">Expediente </w:t>
      </w:r>
      <w:proofErr w:type="spellStart"/>
      <w:r w:rsidRPr="002F158D">
        <w:rPr>
          <w:i/>
          <w:iCs/>
          <w:sz w:val="18"/>
          <w:szCs w:val="18"/>
          <w:u w:val="single"/>
        </w:rPr>
        <w:t>n.°</w:t>
      </w:r>
      <w:proofErr w:type="spellEnd"/>
      <w:r w:rsidRPr="002F158D">
        <w:rPr>
          <w:i/>
          <w:iCs/>
          <w:sz w:val="18"/>
          <w:szCs w:val="18"/>
          <w:u w:val="single"/>
        </w:rPr>
        <w:t xml:space="preserve"> 4900, Caso Villacorta Farah v MAPFRE</w:t>
      </w:r>
      <w:r w:rsidRPr="002F158D">
        <w:rPr>
          <w:sz w:val="18"/>
          <w:szCs w:val="18"/>
        </w:rPr>
        <w:t xml:space="preserve">) del </w:t>
      </w:r>
      <w:r w:rsidRPr="002F158D">
        <w:rPr>
          <w:sz w:val="18"/>
          <w:szCs w:val="18"/>
          <w:lang w:val="es-MX"/>
        </w:rPr>
        <w:t>16 de febrero de 2022.</w:t>
      </w:r>
    </w:p>
  </w:footnote>
  <w:footnote w:id="9">
    <w:p w:rsidRPr="002F158D" w:rsidR="002F158D" w:rsidP="002F158D" w:rsidRDefault="002F158D" w14:paraId="340902FA" w14:textId="77777777">
      <w:pPr>
        <w:pStyle w:val="Textonotapie"/>
        <w:tabs>
          <w:tab w:val="left" w:pos="284"/>
        </w:tabs>
        <w:spacing w:after="120"/>
        <w:ind w:left="284" w:hanging="284"/>
        <w:rPr>
          <w:sz w:val="18"/>
          <w:szCs w:val="18"/>
        </w:rPr>
      </w:pPr>
      <w:r w:rsidRPr="002F158D">
        <w:rPr>
          <w:rStyle w:val="Refdenotaalpie"/>
          <w:sz w:val="18"/>
          <w:szCs w:val="18"/>
        </w:rPr>
        <w:footnoteRef/>
      </w:r>
      <w:r w:rsidRPr="002F158D">
        <w:rPr>
          <w:sz w:val="18"/>
          <w:szCs w:val="18"/>
        </w:rPr>
        <w:t xml:space="preserve"> </w:t>
      </w:r>
      <w:r w:rsidRPr="002F158D">
        <w:rPr>
          <w:sz w:val="18"/>
          <w:szCs w:val="18"/>
        </w:rPr>
        <w:tab/>
      </w:r>
      <w:r w:rsidRPr="002F158D">
        <w:rPr>
          <w:b/>
          <w:bCs/>
          <w:sz w:val="18"/>
          <w:szCs w:val="18"/>
        </w:rPr>
        <w:t>Ley del Contrato de Seguro</w:t>
      </w:r>
    </w:p>
    <w:p w:rsidRPr="002F158D" w:rsidR="002F158D" w:rsidP="002F158D" w:rsidRDefault="002F158D" w14:paraId="58C4135A" w14:textId="77777777">
      <w:pPr>
        <w:pStyle w:val="Textonotapie"/>
        <w:tabs>
          <w:tab w:val="left" w:pos="284"/>
        </w:tabs>
        <w:spacing w:after="120"/>
        <w:ind w:left="284" w:hanging="284"/>
        <w:rPr>
          <w:b/>
          <w:bCs/>
          <w:sz w:val="18"/>
          <w:szCs w:val="18"/>
        </w:rPr>
      </w:pPr>
      <w:r w:rsidRPr="002F158D">
        <w:rPr>
          <w:b/>
          <w:bCs/>
          <w:sz w:val="18"/>
          <w:szCs w:val="18"/>
        </w:rPr>
        <w:tab/>
      </w:r>
      <w:r w:rsidRPr="002F158D">
        <w:rPr>
          <w:b/>
          <w:bCs/>
          <w:sz w:val="18"/>
          <w:szCs w:val="18"/>
        </w:rPr>
        <w:t>Artículo 69.- Informaciones</w:t>
      </w:r>
    </w:p>
    <w:p w:rsidRPr="002F158D" w:rsidR="002F158D" w:rsidP="002F158D" w:rsidRDefault="002F158D" w14:paraId="75274390" w14:textId="77777777">
      <w:pPr>
        <w:pStyle w:val="Textonotapie"/>
        <w:tabs>
          <w:tab w:val="left" w:pos="284"/>
        </w:tabs>
        <w:spacing w:after="120"/>
        <w:ind w:left="284" w:hanging="284"/>
        <w:rPr>
          <w:sz w:val="18"/>
          <w:szCs w:val="18"/>
        </w:rPr>
      </w:pPr>
      <w:r w:rsidRPr="002F158D">
        <w:rPr>
          <w:sz w:val="18"/>
          <w:szCs w:val="18"/>
        </w:rPr>
        <w:tab/>
      </w:r>
      <w:r w:rsidRPr="002F158D">
        <w:rPr>
          <w:sz w:val="18"/>
          <w:szCs w:val="18"/>
        </w:rPr>
        <w:t xml:space="preserve">Sin perjuicio de lo dispuesto en el artículo anterior, el contratante, el asegurado o el beneficiario deben suministrar al asegurador, a su pedido, la información veraz, razonable y necesaria para verificar el siniestro o la extensión de la prestación a su cargo y </w:t>
      </w:r>
      <w:proofErr w:type="gramStart"/>
      <w:r w:rsidRPr="002F158D">
        <w:rPr>
          <w:sz w:val="18"/>
          <w:szCs w:val="18"/>
        </w:rPr>
        <w:t>permitirle</w:t>
      </w:r>
      <w:proofErr w:type="gramEnd"/>
      <w:r w:rsidRPr="002F158D">
        <w:rPr>
          <w:sz w:val="18"/>
          <w:szCs w:val="18"/>
        </w:rPr>
        <w:t xml:space="preserve"> las indagaciones necesarias a tales fines.</w:t>
      </w:r>
    </w:p>
  </w:footnote>
  <w:footnote w:id="10">
    <w:p w:rsidRPr="002F158D" w:rsidR="002F158D" w:rsidP="002F158D" w:rsidRDefault="002F158D" w14:paraId="7E57E7FD" w14:textId="77777777">
      <w:pPr>
        <w:pStyle w:val="Textonotapie"/>
        <w:tabs>
          <w:tab w:val="left" w:pos="284"/>
        </w:tabs>
        <w:spacing w:after="120"/>
        <w:ind w:left="284" w:hanging="284"/>
        <w:rPr>
          <w:sz w:val="18"/>
          <w:szCs w:val="18"/>
        </w:rPr>
      </w:pPr>
      <w:r w:rsidRPr="002F158D">
        <w:rPr>
          <w:rStyle w:val="Refdenotaalpie"/>
          <w:sz w:val="18"/>
          <w:szCs w:val="18"/>
        </w:rPr>
        <w:footnoteRef/>
      </w:r>
      <w:r w:rsidRPr="002F158D">
        <w:rPr>
          <w:sz w:val="18"/>
          <w:szCs w:val="18"/>
        </w:rPr>
        <w:t xml:space="preserve"> </w:t>
      </w:r>
      <w:r w:rsidRPr="002F158D">
        <w:rPr>
          <w:sz w:val="18"/>
          <w:szCs w:val="18"/>
        </w:rPr>
        <w:tab/>
      </w:r>
      <w:r w:rsidRPr="002F158D">
        <w:rPr>
          <w:b/>
          <w:bCs/>
          <w:sz w:val="18"/>
          <w:szCs w:val="18"/>
        </w:rPr>
        <w:t>Ley del Contrato de Seguro</w:t>
      </w:r>
    </w:p>
    <w:p w:rsidRPr="002F158D" w:rsidR="002F158D" w:rsidP="002F158D" w:rsidRDefault="002F158D" w14:paraId="0D6BDEB5" w14:textId="77777777">
      <w:pPr>
        <w:pStyle w:val="Textonotapie"/>
        <w:tabs>
          <w:tab w:val="left" w:pos="284"/>
        </w:tabs>
        <w:spacing w:after="120"/>
        <w:ind w:left="284" w:hanging="284"/>
        <w:rPr>
          <w:b/>
          <w:bCs/>
          <w:sz w:val="18"/>
          <w:szCs w:val="18"/>
        </w:rPr>
      </w:pPr>
      <w:r w:rsidRPr="002F158D">
        <w:rPr>
          <w:sz w:val="18"/>
          <w:szCs w:val="18"/>
        </w:rPr>
        <w:tab/>
      </w:r>
      <w:r w:rsidRPr="002F158D">
        <w:rPr>
          <w:b/>
          <w:bCs/>
          <w:sz w:val="18"/>
          <w:szCs w:val="18"/>
        </w:rPr>
        <w:t>Artículo 73.- Fraude</w:t>
      </w:r>
    </w:p>
    <w:p w:rsidRPr="002F158D" w:rsidR="002F158D" w:rsidP="002F158D" w:rsidRDefault="002F158D" w14:paraId="7E4B7ABA" w14:textId="77777777">
      <w:pPr>
        <w:pStyle w:val="Textonotapie"/>
        <w:tabs>
          <w:tab w:val="left" w:pos="284"/>
        </w:tabs>
        <w:spacing w:after="120"/>
        <w:ind w:left="284" w:hanging="284"/>
        <w:rPr>
          <w:sz w:val="18"/>
          <w:szCs w:val="18"/>
          <w:lang w:val="es-MX"/>
        </w:rPr>
      </w:pPr>
      <w:r w:rsidRPr="002F158D">
        <w:rPr>
          <w:sz w:val="18"/>
          <w:szCs w:val="18"/>
        </w:rPr>
        <w:tab/>
      </w:r>
      <w:r w:rsidRPr="002F158D">
        <w:rPr>
          <w:sz w:val="18"/>
          <w:szCs w:val="18"/>
        </w:rPr>
        <w:t>El asegurado pierde el derecho a ser indemnizado si actúa fraudulentamente, exagera los daños o emplea medios falsos para probarlos.</w:t>
      </w:r>
    </w:p>
  </w:footnote>
  <w:footnote w:id="11">
    <w:p w:rsidRPr="002F158D" w:rsidR="002F158D" w:rsidP="002F158D" w:rsidRDefault="002F158D" w14:paraId="30B01B85" w14:textId="77777777">
      <w:pPr>
        <w:pStyle w:val="Textonotapie"/>
        <w:tabs>
          <w:tab w:val="left" w:pos="284"/>
        </w:tabs>
        <w:spacing w:after="120"/>
        <w:ind w:left="284" w:hanging="284"/>
        <w:rPr>
          <w:sz w:val="18"/>
          <w:szCs w:val="18"/>
          <w:lang w:val="es-MX"/>
        </w:rPr>
      </w:pPr>
      <w:r w:rsidRPr="002F158D">
        <w:rPr>
          <w:rStyle w:val="Refdenotaalpie"/>
          <w:sz w:val="18"/>
          <w:szCs w:val="18"/>
        </w:rPr>
        <w:footnoteRef/>
      </w:r>
      <w:r w:rsidRPr="002F158D">
        <w:rPr>
          <w:sz w:val="18"/>
          <w:szCs w:val="18"/>
        </w:rPr>
        <w:t xml:space="preserve"> </w:t>
      </w:r>
      <w:r w:rsidRPr="002F158D">
        <w:rPr>
          <w:sz w:val="18"/>
          <w:szCs w:val="18"/>
        </w:rPr>
        <w:tab/>
      </w:r>
      <w:r w:rsidRPr="002F158D">
        <w:rPr>
          <w:sz w:val="18"/>
          <w:szCs w:val="18"/>
          <w:lang w:val="es-MX"/>
        </w:rPr>
        <w:t>Real Academia Española (RAE) y Asociación de Academias de la Lengua Española (ASALE). Diccionario Panhispánico del Español Jurídico (DPEJ) [en línea]. [https://dpej.rae.es/</w:t>
      </w:r>
      <w:proofErr w:type="gramStart"/>
      <w:r w:rsidRPr="002F158D">
        <w:rPr>
          <w:sz w:val="18"/>
          <w:szCs w:val="18"/>
          <w:lang w:val="es-MX"/>
        </w:rPr>
        <w:t>][</w:t>
      </w:r>
      <w:proofErr w:type="gramEnd"/>
      <w:r w:rsidRPr="002F158D">
        <w:rPr>
          <w:sz w:val="18"/>
          <w:szCs w:val="18"/>
          <w:lang w:val="es-MX"/>
        </w:rPr>
        <w:t>Consulta: 10/06/2025].</w:t>
      </w:r>
    </w:p>
  </w:footnote>
  <w:footnote w:id="12">
    <w:p w:rsidRPr="002F158D" w:rsidR="002F158D" w:rsidP="002F158D" w:rsidRDefault="002F158D" w14:paraId="6F1C9129" w14:textId="77777777">
      <w:pPr>
        <w:pStyle w:val="Textonotapie"/>
        <w:tabs>
          <w:tab w:val="left" w:pos="284"/>
        </w:tabs>
        <w:spacing w:after="120"/>
        <w:ind w:left="284" w:hanging="284"/>
        <w:rPr>
          <w:sz w:val="18"/>
          <w:szCs w:val="18"/>
          <w:lang w:val="es-MX"/>
        </w:rPr>
      </w:pPr>
      <w:r w:rsidRPr="002F158D">
        <w:rPr>
          <w:rStyle w:val="Refdenotaalpie"/>
          <w:sz w:val="18"/>
          <w:szCs w:val="18"/>
        </w:rPr>
        <w:footnoteRef/>
      </w:r>
      <w:r w:rsidRPr="002F158D">
        <w:rPr>
          <w:sz w:val="18"/>
          <w:szCs w:val="18"/>
        </w:rPr>
        <w:t xml:space="preserve"> </w:t>
      </w:r>
      <w:r w:rsidRPr="002F158D">
        <w:rPr>
          <w:sz w:val="18"/>
          <w:szCs w:val="18"/>
        </w:rPr>
        <w:tab/>
      </w:r>
      <w:r w:rsidRPr="002F158D">
        <w:rPr>
          <w:sz w:val="18"/>
          <w:szCs w:val="18"/>
          <w:lang w:val="es-MX"/>
        </w:rPr>
        <w:t>Fundación MAPFRE. Diccionario de Seguros [en línea]. [https://www.fundacionmapfre.org/publicaciones/diccionario-mapfre-seguros/</w:t>
      </w:r>
      <w:proofErr w:type="gramStart"/>
      <w:r w:rsidRPr="002F158D">
        <w:rPr>
          <w:sz w:val="18"/>
          <w:szCs w:val="18"/>
          <w:lang w:val="es-MX"/>
        </w:rPr>
        <w:t>][</w:t>
      </w:r>
      <w:proofErr w:type="gramEnd"/>
      <w:r w:rsidRPr="002F158D">
        <w:rPr>
          <w:sz w:val="18"/>
          <w:szCs w:val="18"/>
          <w:lang w:val="es-MX"/>
        </w:rPr>
        <w:t>Consulta: 10/06/2025].</w:t>
      </w:r>
    </w:p>
  </w:footnote>
  <w:footnote w:id="13">
    <w:p w:rsidRPr="002F158D" w:rsidR="002F158D" w:rsidP="002F158D" w:rsidRDefault="002F158D" w14:paraId="35F9B58D" w14:textId="77777777">
      <w:pPr>
        <w:pStyle w:val="Textonotapie"/>
        <w:tabs>
          <w:tab w:val="left" w:pos="284"/>
        </w:tabs>
        <w:spacing w:after="120"/>
        <w:ind w:left="284" w:hanging="284"/>
        <w:rPr>
          <w:sz w:val="18"/>
          <w:szCs w:val="18"/>
          <w:lang w:val="es-MX"/>
        </w:rPr>
      </w:pPr>
      <w:r w:rsidRPr="002F158D">
        <w:rPr>
          <w:rStyle w:val="Refdenotaalpie"/>
          <w:sz w:val="18"/>
          <w:szCs w:val="18"/>
        </w:rPr>
        <w:footnoteRef/>
      </w:r>
      <w:r w:rsidRPr="002F158D">
        <w:rPr>
          <w:sz w:val="18"/>
          <w:szCs w:val="18"/>
        </w:rPr>
        <w:t xml:space="preserve"> </w:t>
      </w:r>
      <w:r w:rsidRPr="002F158D">
        <w:rPr>
          <w:sz w:val="18"/>
          <w:szCs w:val="18"/>
        </w:rPr>
        <w:tab/>
      </w:r>
      <w:r w:rsidRPr="002F158D">
        <w:rPr>
          <w:sz w:val="18"/>
          <w:szCs w:val="18"/>
          <w:lang w:val="es-MX"/>
        </w:rPr>
        <w:t xml:space="preserve">Maryland </w:t>
      </w:r>
      <w:proofErr w:type="spellStart"/>
      <w:r w:rsidRPr="002F158D">
        <w:rPr>
          <w:sz w:val="18"/>
          <w:szCs w:val="18"/>
          <w:lang w:val="es-MX"/>
        </w:rPr>
        <w:t>Insurance</w:t>
      </w:r>
      <w:proofErr w:type="spellEnd"/>
      <w:r w:rsidRPr="002F158D">
        <w:rPr>
          <w:sz w:val="18"/>
          <w:szCs w:val="18"/>
          <w:lang w:val="es-MX"/>
        </w:rPr>
        <w:t xml:space="preserve"> </w:t>
      </w:r>
      <w:proofErr w:type="spellStart"/>
      <w:r w:rsidRPr="002F158D">
        <w:rPr>
          <w:sz w:val="18"/>
          <w:szCs w:val="18"/>
          <w:lang w:val="es-MX"/>
        </w:rPr>
        <w:t>Administration</w:t>
      </w:r>
      <w:proofErr w:type="spellEnd"/>
      <w:r w:rsidRPr="002F158D">
        <w:rPr>
          <w:sz w:val="18"/>
          <w:szCs w:val="18"/>
          <w:lang w:val="es-MX"/>
        </w:rPr>
        <w:t>. Guía del consumidor sobre fraude de seguros [en línea]. [https://insurance.maryland.gov</w:t>
      </w:r>
      <w:proofErr w:type="gramStart"/>
      <w:r w:rsidRPr="002F158D">
        <w:rPr>
          <w:sz w:val="18"/>
          <w:szCs w:val="18"/>
          <w:lang w:val="es-MX"/>
        </w:rPr>
        <w:t>][</w:t>
      </w:r>
      <w:proofErr w:type="gramEnd"/>
      <w:r w:rsidRPr="002F158D">
        <w:rPr>
          <w:sz w:val="18"/>
          <w:szCs w:val="18"/>
          <w:lang w:val="es-MX"/>
        </w:rPr>
        <w:t>Consulta: 10/06/2025].</w:t>
      </w:r>
    </w:p>
  </w:footnote>
  <w:footnote w:id="14">
    <w:p w:rsidRPr="002F158D" w:rsidR="002F158D" w:rsidP="002F158D" w:rsidRDefault="002F158D" w14:paraId="47B6AC2D" w14:textId="77777777">
      <w:pPr>
        <w:pStyle w:val="Textonotapie"/>
        <w:tabs>
          <w:tab w:val="left" w:pos="284"/>
        </w:tabs>
        <w:spacing w:after="120"/>
        <w:ind w:left="284" w:hanging="284"/>
        <w:rPr>
          <w:b/>
          <w:bCs/>
          <w:sz w:val="18"/>
          <w:szCs w:val="18"/>
        </w:rPr>
      </w:pPr>
      <w:r w:rsidRPr="002F158D">
        <w:rPr>
          <w:rStyle w:val="Refdenotaalpie"/>
          <w:sz w:val="18"/>
          <w:szCs w:val="18"/>
        </w:rPr>
        <w:footnoteRef/>
      </w:r>
      <w:r w:rsidRPr="002F158D">
        <w:rPr>
          <w:sz w:val="18"/>
          <w:szCs w:val="18"/>
        </w:rPr>
        <w:t xml:space="preserve"> </w:t>
      </w:r>
      <w:r w:rsidRPr="002F158D">
        <w:rPr>
          <w:sz w:val="18"/>
          <w:szCs w:val="18"/>
        </w:rPr>
        <w:tab/>
      </w:r>
      <w:r w:rsidRPr="002F158D">
        <w:rPr>
          <w:b/>
          <w:bCs/>
          <w:sz w:val="18"/>
          <w:szCs w:val="18"/>
        </w:rPr>
        <w:t>Ley del Contrato de Seguro</w:t>
      </w:r>
    </w:p>
    <w:p w:rsidRPr="002F158D" w:rsidR="002F158D" w:rsidP="002F158D" w:rsidRDefault="002F158D" w14:paraId="45F81EE7" w14:textId="77777777">
      <w:pPr>
        <w:pStyle w:val="Textonotapie"/>
        <w:tabs>
          <w:tab w:val="left" w:pos="284"/>
        </w:tabs>
        <w:spacing w:after="120"/>
        <w:ind w:left="284" w:hanging="284"/>
        <w:rPr>
          <w:b/>
          <w:bCs/>
          <w:sz w:val="18"/>
          <w:szCs w:val="18"/>
          <w:lang w:val="es-MX"/>
        </w:rPr>
      </w:pPr>
      <w:r w:rsidRPr="002F158D">
        <w:rPr>
          <w:b/>
          <w:bCs/>
          <w:sz w:val="18"/>
          <w:szCs w:val="18"/>
          <w:lang w:val="es-MX"/>
        </w:rPr>
        <w:tab/>
      </w:r>
      <w:r w:rsidRPr="002F158D">
        <w:rPr>
          <w:b/>
          <w:bCs/>
          <w:sz w:val="18"/>
          <w:szCs w:val="18"/>
          <w:lang w:val="es-MX"/>
        </w:rPr>
        <w:t>Artículo 77.- Cargas de las partes</w:t>
      </w:r>
    </w:p>
    <w:p w:rsidRPr="002F158D" w:rsidR="002F158D" w:rsidP="002F158D" w:rsidRDefault="002F158D" w14:paraId="5AC6549D" w14:textId="77777777">
      <w:pPr>
        <w:pStyle w:val="Textonotapie"/>
        <w:tabs>
          <w:tab w:val="left" w:pos="284"/>
        </w:tabs>
        <w:spacing w:after="120"/>
        <w:ind w:left="284" w:hanging="284"/>
        <w:rPr>
          <w:sz w:val="18"/>
          <w:szCs w:val="18"/>
          <w:lang w:val="es-MX"/>
        </w:rPr>
      </w:pPr>
      <w:r w:rsidRPr="002F158D">
        <w:rPr>
          <w:sz w:val="18"/>
          <w:szCs w:val="18"/>
          <w:lang w:val="es-MX"/>
        </w:rPr>
        <w:tab/>
      </w:r>
      <w:r w:rsidRPr="002F158D">
        <w:rPr>
          <w:sz w:val="18"/>
          <w:szCs w:val="18"/>
          <w:lang w:val="es-MX"/>
        </w:rPr>
        <w:t>Corresponde al asegurado demostrar la ocurrencia del siniestro, así como la cuantía de la pérdida si fuera el caso, y al asegurador la carga de demostrar las causas que lo liberan de su prestación indemnizatoria.</w:t>
      </w:r>
    </w:p>
  </w:footnote>
  <w:footnote w:id="15">
    <w:p w:rsidRPr="002F158D" w:rsidR="002F158D" w:rsidP="002F158D" w:rsidRDefault="002F158D" w14:paraId="05A8FCEE" w14:textId="77777777">
      <w:pPr>
        <w:pStyle w:val="Textonotapie"/>
        <w:tabs>
          <w:tab w:val="left" w:pos="284"/>
        </w:tabs>
        <w:spacing w:after="120"/>
        <w:ind w:left="284" w:hanging="284"/>
        <w:rPr>
          <w:sz w:val="18"/>
          <w:szCs w:val="18"/>
        </w:rPr>
      </w:pPr>
      <w:r w:rsidRPr="002F158D">
        <w:rPr>
          <w:rStyle w:val="Refdenotaalpie"/>
          <w:sz w:val="18"/>
          <w:szCs w:val="18"/>
        </w:rPr>
        <w:footnoteRef/>
      </w:r>
      <w:r w:rsidRPr="002F158D">
        <w:rPr>
          <w:sz w:val="18"/>
          <w:szCs w:val="18"/>
        </w:rPr>
        <w:t xml:space="preserve"> </w:t>
      </w:r>
      <w:r w:rsidRPr="002F158D">
        <w:rPr>
          <w:sz w:val="18"/>
          <w:szCs w:val="18"/>
        </w:rPr>
        <w:tab/>
      </w:r>
      <w:r w:rsidRPr="002F158D">
        <w:rPr>
          <w:sz w:val="18"/>
          <w:szCs w:val="18"/>
          <w:lang w:val="es-MX"/>
        </w:rPr>
        <w:t>Véase</w:t>
      </w:r>
      <w:r w:rsidRPr="002F158D">
        <w:rPr>
          <w:sz w:val="18"/>
          <w:szCs w:val="18"/>
        </w:rPr>
        <w:t xml:space="preserve"> BUSTAMANTE ALARCÓN, Reynaldo. El derecho fundamental a probar y su contenido esencial. En: Ius et veritas. </w:t>
      </w:r>
      <w:proofErr w:type="spellStart"/>
      <w:r w:rsidRPr="002F158D">
        <w:rPr>
          <w:sz w:val="18"/>
          <w:szCs w:val="18"/>
        </w:rPr>
        <w:t>n.°</w:t>
      </w:r>
      <w:proofErr w:type="spellEnd"/>
      <w:r w:rsidRPr="002F158D">
        <w:rPr>
          <w:sz w:val="18"/>
          <w:szCs w:val="18"/>
        </w:rPr>
        <w:t xml:space="preserve"> 14 (1997). Pág. 172.</w:t>
      </w:r>
    </w:p>
  </w:footnote>
  <w:footnote w:id="16">
    <w:p w:rsidRPr="002F158D" w:rsidR="002F158D" w:rsidP="002F158D" w:rsidRDefault="002F158D" w14:paraId="3EFBED89" w14:textId="77777777">
      <w:pPr>
        <w:pStyle w:val="Textonotapie"/>
        <w:tabs>
          <w:tab w:val="left" w:pos="284"/>
        </w:tabs>
        <w:spacing w:after="120"/>
        <w:ind w:left="284" w:hanging="284"/>
        <w:rPr>
          <w:sz w:val="18"/>
          <w:szCs w:val="18"/>
          <w:lang w:val="es-MX"/>
        </w:rPr>
      </w:pPr>
      <w:r w:rsidRPr="002F158D">
        <w:rPr>
          <w:rStyle w:val="Refdenotaalpie"/>
          <w:sz w:val="18"/>
          <w:szCs w:val="18"/>
        </w:rPr>
        <w:footnoteRef/>
      </w:r>
      <w:r w:rsidRPr="002F158D">
        <w:rPr>
          <w:sz w:val="18"/>
          <w:szCs w:val="18"/>
        </w:rPr>
        <w:t xml:space="preserve"> </w:t>
      </w:r>
      <w:r w:rsidRPr="002F158D">
        <w:rPr>
          <w:sz w:val="18"/>
          <w:szCs w:val="18"/>
        </w:rPr>
        <w:tab/>
      </w:r>
      <w:r w:rsidRPr="002F158D">
        <w:rPr>
          <w:sz w:val="18"/>
          <w:szCs w:val="18"/>
          <w:lang w:val="es-MX"/>
        </w:rPr>
        <w:t>Arellano Iturriaga Sergio El siniestro y su nexo causal. En: Revista Chilena de Derecho de Seguros. Año 19 (26). Págs. 77-78.</w:t>
      </w:r>
    </w:p>
  </w:footnote>
  <w:footnote w:id="17">
    <w:p w:rsidRPr="002F158D" w:rsidR="002F158D" w:rsidP="002F158D" w:rsidRDefault="002F158D" w14:paraId="61D467A6" w14:textId="77777777">
      <w:pPr>
        <w:pStyle w:val="Textonotapie"/>
        <w:tabs>
          <w:tab w:val="left" w:pos="284"/>
        </w:tabs>
        <w:spacing w:after="120"/>
        <w:ind w:left="284" w:hanging="284"/>
        <w:rPr>
          <w:sz w:val="18"/>
          <w:szCs w:val="18"/>
          <w:lang w:val="es-MX"/>
        </w:rPr>
      </w:pPr>
      <w:r w:rsidRPr="002F158D">
        <w:rPr>
          <w:rStyle w:val="Refdenotaalpie"/>
          <w:sz w:val="18"/>
          <w:szCs w:val="18"/>
        </w:rPr>
        <w:footnoteRef/>
      </w:r>
      <w:r w:rsidRPr="002F158D">
        <w:rPr>
          <w:sz w:val="18"/>
          <w:szCs w:val="18"/>
        </w:rPr>
        <w:t xml:space="preserve"> </w:t>
      </w:r>
      <w:r w:rsidRPr="002F158D">
        <w:rPr>
          <w:sz w:val="18"/>
          <w:szCs w:val="18"/>
        </w:rPr>
        <w:tab/>
      </w:r>
      <w:r w:rsidRPr="002F158D">
        <w:rPr>
          <w:sz w:val="18"/>
          <w:szCs w:val="18"/>
          <w:lang w:val="es-MX"/>
        </w:rPr>
        <w:t>El polígrafo o detector de mentiras es, un dispositivo capaz de registrar los cambios físico-síquicos de una persona, cuando es interrogada mediante un “test de verdad”, sobre un hecho en el que se sospecha ha participado o del cual tiene conocimiento como testigo. GÓMEZ PAVAJEAU, Carlos Arturo y Francisco Javier FARFÁN MOLINA. El polígrafo y su utilización como acto de investigación en el derecho sancionatorio. En: Revista Derecho Penal y Criminología. Volumen XXXV, número 98 (2014). Pág. 132.</w:t>
      </w:r>
    </w:p>
  </w:footnote>
  <w:footnote w:id="18">
    <w:p w:rsidRPr="002F158D" w:rsidR="002F158D" w:rsidP="002F158D" w:rsidRDefault="002F158D" w14:paraId="2C994511" w14:textId="77777777">
      <w:pPr>
        <w:pStyle w:val="Textonotapie"/>
        <w:tabs>
          <w:tab w:val="left" w:pos="284"/>
        </w:tabs>
        <w:spacing w:after="120"/>
        <w:ind w:left="284" w:hanging="284"/>
        <w:rPr>
          <w:sz w:val="18"/>
          <w:szCs w:val="18"/>
          <w:lang w:val="es-MX"/>
        </w:rPr>
      </w:pPr>
      <w:r w:rsidRPr="002F158D">
        <w:rPr>
          <w:rStyle w:val="Refdenotaalpie"/>
          <w:sz w:val="18"/>
          <w:szCs w:val="18"/>
        </w:rPr>
        <w:footnoteRef/>
      </w:r>
      <w:r w:rsidRPr="002F158D">
        <w:rPr>
          <w:sz w:val="18"/>
          <w:szCs w:val="18"/>
        </w:rPr>
        <w:t xml:space="preserve"> </w:t>
      </w:r>
      <w:r w:rsidRPr="002F158D">
        <w:rPr>
          <w:sz w:val="18"/>
          <w:szCs w:val="18"/>
        </w:rPr>
        <w:tab/>
      </w:r>
      <w:r w:rsidRPr="002F158D">
        <w:rPr>
          <w:sz w:val="18"/>
          <w:szCs w:val="18"/>
          <w:lang w:val="es-MX"/>
        </w:rPr>
        <w:t xml:space="preserve">STC (Expediente </w:t>
      </w:r>
      <w:proofErr w:type="spellStart"/>
      <w:r w:rsidRPr="002F158D">
        <w:rPr>
          <w:sz w:val="18"/>
          <w:szCs w:val="18"/>
          <w:lang w:val="es-MX"/>
        </w:rPr>
        <w:t>n.°</w:t>
      </w:r>
      <w:proofErr w:type="spellEnd"/>
      <w:r w:rsidRPr="002F158D">
        <w:rPr>
          <w:sz w:val="18"/>
          <w:szCs w:val="18"/>
          <w:lang w:val="es-MX"/>
        </w:rPr>
        <w:t xml:space="preserve"> 273-2010-PA/TC, Sindicato Unitario de Trabajadores de </w:t>
      </w:r>
      <w:proofErr w:type="spellStart"/>
      <w:r w:rsidRPr="002F158D">
        <w:rPr>
          <w:sz w:val="18"/>
          <w:szCs w:val="18"/>
          <w:lang w:val="es-MX"/>
        </w:rPr>
        <w:t>Electrolima</w:t>
      </w:r>
      <w:proofErr w:type="spellEnd"/>
      <w:r w:rsidRPr="002F158D">
        <w:rPr>
          <w:sz w:val="18"/>
          <w:szCs w:val="18"/>
          <w:lang w:val="es-MX"/>
        </w:rPr>
        <w:t>, Empresas Concesionarias Eléctricas y afines) del 6 de agosto de 2014.</w:t>
      </w:r>
    </w:p>
  </w:footnote>
  <w:footnote w:id="19">
    <w:p w:rsidRPr="002F158D" w:rsidR="002F158D" w:rsidP="002F158D" w:rsidRDefault="002F158D" w14:paraId="0EFB5706" w14:textId="77777777">
      <w:pPr>
        <w:pStyle w:val="Textonotapie"/>
        <w:tabs>
          <w:tab w:val="left" w:pos="284"/>
        </w:tabs>
        <w:spacing w:after="120"/>
        <w:ind w:left="284" w:hanging="284"/>
        <w:rPr>
          <w:sz w:val="18"/>
          <w:szCs w:val="18"/>
          <w:lang w:val="es-MX"/>
        </w:rPr>
      </w:pPr>
      <w:r w:rsidRPr="002F158D">
        <w:rPr>
          <w:rStyle w:val="Refdenotaalpie"/>
          <w:sz w:val="18"/>
          <w:szCs w:val="18"/>
        </w:rPr>
        <w:footnoteRef/>
      </w:r>
      <w:r w:rsidRPr="002F158D">
        <w:rPr>
          <w:sz w:val="18"/>
          <w:szCs w:val="18"/>
        </w:rPr>
        <w:t xml:space="preserve"> </w:t>
      </w:r>
      <w:r w:rsidRPr="002F158D">
        <w:rPr>
          <w:sz w:val="18"/>
          <w:szCs w:val="18"/>
        </w:rPr>
        <w:tab/>
      </w:r>
      <w:r w:rsidRPr="002F158D">
        <w:rPr>
          <w:sz w:val="18"/>
          <w:szCs w:val="18"/>
          <w:lang w:val="es-MX"/>
        </w:rPr>
        <w:t xml:space="preserve">Resolución DEFASEG </w:t>
      </w:r>
      <w:proofErr w:type="spellStart"/>
      <w:r w:rsidRPr="002F158D">
        <w:rPr>
          <w:sz w:val="18"/>
          <w:szCs w:val="18"/>
          <w:lang w:val="es-MX"/>
        </w:rPr>
        <w:t>n.°</w:t>
      </w:r>
      <w:proofErr w:type="spellEnd"/>
      <w:r w:rsidRPr="002F158D">
        <w:rPr>
          <w:sz w:val="18"/>
          <w:szCs w:val="18"/>
          <w:lang w:val="es-MX"/>
        </w:rPr>
        <w:t xml:space="preserve"> 25/21 (</w:t>
      </w:r>
      <w:r w:rsidRPr="002F158D">
        <w:rPr>
          <w:i/>
          <w:iCs/>
          <w:sz w:val="18"/>
          <w:szCs w:val="18"/>
          <w:u w:val="single"/>
          <w:lang w:val="es-MX"/>
        </w:rPr>
        <w:t xml:space="preserve">Expediente </w:t>
      </w:r>
      <w:proofErr w:type="spellStart"/>
      <w:r w:rsidRPr="002F158D">
        <w:rPr>
          <w:i/>
          <w:iCs/>
          <w:sz w:val="18"/>
          <w:szCs w:val="18"/>
          <w:u w:val="single"/>
          <w:lang w:val="es-MX"/>
        </w:rPr>
        <w:t>n.°</w:t>
      </w:r>
      <w:proofErr w:type="spellEnd"/>
      <w:r w:rsidRPr="002F158D">
        <w:rPr>
          <w:i/>
          <w:iCs/>
          <w:sz w:val="18"/>
          <w:szCs w:val="18"/>
          <w:u w:val="single"/>
          <w:lang w:val="es-MX"/>
        </w:rPr>
        <w:t xml:space="preserve"> 4445, Caso Calero Janampa v. Pacífico</w:t>
      </w:r>
      <w:r w:rsidRPr="002F158D">
        <w:rPr>
          <w:sz w:val="18"/>
          <w:szCs w:val="18"/>
          <w:lang w:val="es-MX"/>
        </w:rPr>
        <w:t>) del 5 de marzo de 2021.</w:t>
      </w:r>
    </w:p>
  </w:footnote>
  <w:footnote w:id="20">
    <w:p w:rsidRPr="002F158D" w:rsidR="002F158D" w:rsidP="002F158D" w:rsidRDefault="002F158D" w14:paraId="5B463D59" w14:textId="77777777">
      <w:pPr>
        <w:pStyle w:val="Textonotapie"/>
        <w:tabs>
          <w:tab w:val="left" w:pos="284"/>
        </w:tabs>
        <w:spacing w:after="120"/>
        <w:ind w:left="284" w:hanging="284"/>
        <w:rPr>
          <w:sz w:val="18"/>
          <w:szCs w:val="18"/>
          <w:lang w:val="es-MX"/>
        </w:rPr>
      </w:pPr>
      <w:r w:rsidRPr="002F158D">
        <w:rPr>
          <w:rStyle w:val="Refdenotaalpie"/>
          <w:sz w:val="18"/>
          <w:szCs w:val="18"/>
        </w:rPr>
        <w:footnoteRef/>
      </w:r>
      <w:r w:rsidRPr="002F158D">
        <w:rPr>
          <w:sz w:val="18"/>
          <w:szCs w:val="18"/>
        </w:rPr>
        <w:t xml:space="preserve"> </w:t>
      </w:r>
      <w:r w:rsidRPr="002F158D">
        <w:rPr>
          <w:sz w:val="18"/>
          <w:szCs w:val="18"/>
        </w:rPr>
        <w:tab/>
      </w:r>
      <w:r w:rsidRPr="002F158D">
        <w:rPr>
          <w:sz w:val="18"/>
          <w:szCs w:val="18"/>
          <w:lang w:val="es-MX"/>
        </w:rPr>
        <w:t xml:space="preserve">Para el Tribunal Constitucional, la denominada prueba diabólica, es una prueba de difícil e, incluso, imposible acreditación, pero ello no por su inexistencia, sino por el considerable grado de dificultad que implica su obtención. STC (Expediente </w:t>
      </w:r>
      <w:proofErr w:type="spellStart"/>
      <w:r w:rsidRPr="002F158D">
        <w:rPr>
          <w:sz w:val="18"/>
          <w:szCs w:val="18"/>
          <w:lang w:val="es-MX"/>
        </w:rPr>
        <w:t>n.°</w:t>
      </w:r>
      <w:proofErr w:type="spellEnd"/>
      <w:r w:rsidRPr="002F158D">
        <w:rPr>
          <w:sz w:val="18"/>
          <w:szCs w:val="18"/>
          <w:lang w:val="es-MX"/>
        </w:rPr>
        <w:t xml:space="preserve"> 6135-2006-PA/TC, </w:t>
      </w:r>
      <w:proofErr w:type="spellStart"/>
      <w:r w:rsidRPr="002F158D">
        <w:rPr>
          <w:sz w:val="18"/>
          <w:szCs w:val="18"/>
          <w:lang w:val="es-MX"/>
        </w:rPr>
        <w:t>Hatuchay</w:t>
      </w:r>
      <w:proofErr w:type="spellEnd"/>
      <w:r w:rsidRPr="002F158D">
        <w:rPr>
          <w:sz w:val="18"/>
          <w:szCs w:val="18"/>
          <w:lang w:val="es-MX"/>
        </w:rPr>
        <w:t xml:space="preserve"> EIRL) del 19 de enero de 2023.</w:t>
      </w:r>
    </w:p>
  </w:footnote>
  <w:footnote w:id="21">
    <w:p w:rsidRPr="002F158D" w:rsidR="002F158D" w:rsidP="002F158D" w:rsidRDefault="002F158D" w14:paraId="30AC53B4" w14:textId="77777777">
      <w:pPr>
        <w:pStyle w:val="Textonotapie"/>
        <w:tabs>
          <w:tab w:val="left" w:pos="284"/>
        </w:tabs>
        <w:spacing w:after="120"/>
        <w:ind w:left="284" w:hanging="284"/>
        <w:rPr>
          <w:sz w:val="18"/>
          <w:szCs w:val="18"/>
          <w:lang w:val="es-MX"/>
        </w:rPr>
      </w:pPr>
      <w:r w:rsidRPr="002F158D">
        <w:rPr>
          <w:rStyle w:val="Refdenotaalpie"/>
          <w:sz w:val="18"/>
          <w:szCs w:val="18"/>
        </w:rPr>
        <w:footnoteRef/>
      </w:r>
      <w:r w:rsidRPr="002F158D">
        <w:rPr>
          <w:sz w:val="18"/>
          <w:szCs w:val="18"/>
        </w:rPr>
        <w:t xml:space="preserve"> </w:t>
      </w:r>
      <w:r w:rsidRPr="002F158D">
        <w:rPr>
          <w:sz w:val="18"/>
          <w:szCs w:val="18"/>
        </w:rPr>
        <w:tab/>
      </w:r>
      <w:r w:rsidRPr="002F158D">
        <w:rPr>
          <w:sz w:val="18"/>
          <w:szCs w:val="18"/>
          <w:lang w:val="es-MX"/>
        </w:rPr>
        <w:t xml:space="preserve">Resolución DEFASEG </w:t>
      </w:r>
      <w:proofErr w:type="spellStart"/>
      <w:r w:rsidRPr="002F158D">
        <w:rPr>
          <w:sz w:val="18"/>
          <w:szCs w:val="18"/>
          <w:lang w:val="es-MX"/>
        </w:rPr>
        <w:t>n.°</w:t>
      </w:r>
      <w:proofErr w:type="spellEnd"/>
      <w:r w:rsidRPr="002F158D">
        <w:rPr>
          <w:sz w:val="18"/>
          <w:szCs w:val="18"/>
          <w:lang w:val="es-MX"/>
        </w:rPr>
        <w:t xml:space="preserve"> 166/21 (</w:t>
      </w:r>
      <w:r w:rsidRPr="002F158D">
        <w:rPr>
          <w:i/>
          <w:iCs/>
          <w:sz w:val="18"/>
          <w:szCs w:val="18"/>
          <w:u w:val="single"/>
          <w:lang w:val="es-MX"/>
        </w:rPr>
        <w:t xml:space="preserve">Expediente </w:t>
      </w:r>
      <w:proofErr w:type="spellStart"/>
      <w:r w:rsidRPr="002F158D">
        <w:rPr>
          <w:i/>
          <w:iCs/>
          <w:sz w:val="18"/>
          <w:szCs w:val="18"/>
          <w:u w:val="single"/>
          <w:lang w:val="es-MX"/>
        </w:rPr>
        <w:t>n.°</w:t>
      </w:r>
      <w:proofErr w:type="spellEnd"/>
      <w:r w:rsidRPr="002F158D">
        <w:rPr>
          <w:i/>
          <w:iCs/>
          <w:sz w:val="18"/>
          <w:szCs w:val="18"/>
          <w:u w:val="single"/>
          <w:lang w:val="es-MX"/>
        </w:rPr>
        <w:t xml:space="preserve"> 4819, Caso Alva Cuadros </w:t>
      </w:r>
      <w:bookmarkStart w:name="OLE_LINK2" w:id="8"/>
      <w:r w:rsidRPr="002F158D">
        <w:rPr>
          <w:i/>
          <w:iCs/>
          <w:sz w:val="18"/>
          <w:szCs w:val="18"/>
          <w:u w:val="single"/>
          <w:lang w:val="es-MX"/>
        </w:rPr>
        <w:t>v. Pacífico</w:t>
      </w:r>
      <w:r w:rsidRPr="002F158D">
        <w:rPr>
          <w:sz w:val="18"/>
          <w:szCs w:val="18"/>
          <w:lang w:val="es-MX"/>
        </w:rPr>
        <w:t xml:space="preserve">) del </w:t>
      </w:r>
      <w:bookmarkEnd w:id="8"/>
      <w:r w:rsidRPr="002F158D">
        <w:rPr>
          <w:sz w:val="18"/>
          <w:szCs w:val="18"/>
          <w:lang w:val="es-MX"/>
        </w:rPr>
        <w:t>23 de noviembre de 2021.</w:t>
      </w:r>
    </w:p>
  </w:footnote>
  <w:footnote w:id="22">
    <w:p w:rsidRPr="002F158D" w:rsidR="002F158D" w:rsidP="002F158D" w:rsidRDefault="002F158D" w14:paraId="5E13E818" w14:textId="77777777">
      <w:pPr>
        <w:pStyle w:val="Textonotapie"/>
        <w:tabs>
          <w:tab w:val="left" w:pos="284"/>
        </w:tabs>
        <w:spacing w:after="120"/>
        <w:ind w:left="284" w:hanging="284"/>
        <w:rPr>
          <w:b/>
          <w:bCs/>
          <w:sz w:val="18"/>
          <w:szCs w:val="18"/>
          <w:lang w:val="es-MX"/>
        </w:rPr>
      </w:pPr>
      <w:r w:rsidRPr="002F158D">
        <w:rPr>
          <w:rStyle w:val="Refdenotaalpie"/>
          <w:sz w:val="18"/>
          <w:szCs w:val="18"/>
        </w:rPr>
        <w:footnoteRef/>
      </w:r>
      <w:r w:rsidRPr="002F158D">
        <w:rPr>
          <w:sz w:val="18"/>
          <w:szCs w:val="18"/>
        </w:rPr>
        <w:t xml:space="preserve"> </w:t>
      </w:r>
      <w:r w:rsidRPr="002F158D">
        <w:rPr>
          <w:sz w:val="18"/>
          <w:szCs w:val="18"/>
        </w:rPr>
        <w:tab/>
      </w:r>
      <w:r w:rsidRPr="002F158D">
        <w:rPr>
          <w:b/>
          <w:bCs/>
          <w:sz w:val="18"/>
          <w:szCs w:val="18"/>
          <w:lang w:val="es-MX"/>
        </w:rPr>
        <w:t>Código Procesal Civil</w:t>
      </w:r>
    </w:p>
    <w:p w:rsidRPr="002F158D" w:rsidR="002F158D" w:rsidP="002F158D" w:rsidRDefault="002F158D" w14:paraId="3CBBDA67" w14:textId="77777777">
      <w:pPr>
        <w:pStyle w:val="Textonotapie"/>
        <w:tabs>
          <w:tab w:val="left" w:pos="284"/>
        </w:tabs>
        <w:spacing w:after="120"/>
        <w:ind w:left="284" w:hanging="284"/>
        <w:rPr>
          <w:sz w:val="18"/>
          <w:szCs w:val="18"/>
          <w:lang w:val="es-MX"/>
        </w:rPr>
      </w:pPr>
      <w:r w:rsidRPr="002F158D">
        <w:rPr>
          <w:sz w:val="18"/>
          <w:szCs w:val="18"/>
          <w:lang w:val="es-MX"/>
        </w:rPr>
        <w:tab/>
      </w:r>
      <w:r w:rsidRPr="002F158D">
        <w:rPr>
          <w:b/>
          <w:bCs/>
          <w:sz w:val="18"/>
          <w:szCs w:val="18"/>
          <w:lang w:val="es-MX"/>
        </w:rPr>
        <w:t xml:space="preserve">Artículo 197.- Valoración de la </w:t>
      </w:r>
      <w:proofErr w:type="gramStart"/>
      <w:r w:rsidRPr="002F158D">
        <w:rPr>
          <w:b/>
          <w:bCs/>
          <w:sz w:val="18"/>
          <w:szCs w:val="18"/>
          <w:lang w:val="es-MX"/>
        </w:rPr>
        <w:t>prueba.-</w:t>
      </w:r>
      <w:proofErr w:type="gramEnd"/>
      <w:r w:rsidRPr="002F158D">
        <w:rPr>
          <w:sz w:val="18"/>
          <w:szCs w:val="18"/>
          <w:lang w:val="es-MX"/>
        </w:rPr>
        <w:t xml:space="preserve"> Todos los medios probatorios son valorados por el Juez en forma conjunta, utilizando su apreciación razonada. Sin embargo, en la resolución sólo serán expresadas las valoraciones esenciales y determinantes que sustentan su decisión.</w:t>
      </w:r>
    </w:p>
  </w:footnote>
  <w:footnote w:id="23">
    <w:p w:rsidRPr="00E968FC" w:rsidR="002F158D" w:rsidP="002F158D" w:rsidRDefault="002F158D" w14:paraId="0DB67AA9" w14:textId="77777777">
      <w:pPr>
        <w:pStyle w:val="Textonotapie"/>
        <w:tabs>
          <w:tab w:val="left" w:pos="284"/>
        </w:tabs>
        <w:spacing w:after="120"/>
        <w:ind w:left="284" w:hanging="284"/>
        <w:rPr>
          <w:rFonts w:ascii="Georgia" w:hAnsi="Georgia"/>
          <w:lang w:val="es-MX"/>
        </w:rPr>
      </w:pPr>
      <w:r w:rsidRPr="002F158D">
        <w:rPr>
          <w:rStyle w:val="Refdenotaalpie"/>
          <w:sz w:val="18"/>
          <w:szCs w:val="18"/>
        </w:rPr>
        <w:footnoteRef/>
      </w:r>
      <w:r w:rsidRPr="002F158D">
        <w:rPr>
          <w:sz w:val="18"/>
          <w:szCs w:val="18"/>
        </w:rPr>
        <w:t xml:space="preserve"> </w:t>
      </w:r>
      <w:r w:rsidRPr="002F158D">
        <w:rPr>
          <w:sz w:val="18"/>
          <w:szCs w:val="18"/>
        </w:rPr>
        <w:tab/>
      </w:r>
      <w:r w:rsidRPr="002F158D">
        <w:rPr>
          <w:sz w:val="18"/>
          <w:szCs w:val="18"/>
        </w:rPr>
        <w:t xml:space="preserve">Corte Suprema de Justicia de la República (2024). Recurso de casación </w:t>
      </w:r>
      <w:proofErr w:type="spellStart"/>
      <w:r w:rsidRPr="002F158D">
        <w:rPr>
          <w:sz w:val="18"/>
          <w:szCs w:val="18"/>
        </w:rPr>
        <w:t>n.°</w:t>
      </w:r>
      <w:proofErr w:type="spellEnd"/>
      <w:r w:rsidRPr="002F158D">
        <w:rPr>
          <w:sz w:val="18"/>
          <w:szCs w:val="18"/>
        </w:rPr>
        <w:t xml:space="preserve"> 933 - </w:t>
      </w:r>
      <w:r w:rsidRPr="002F158D">
        <w:rPr>
          <w:sz w:val="18"/>
          <w:szCs w:val="18"/>
          <w:lang w:val="es-MX"/>
        </w:rPr>
        <w:t>2021</w:t>
      </w:r>
      <w:r w:rsidRPr="002F158D">
        <w:rPr>
          <w:sz w:val="18"/>
          <w:szCs w:val="18"/>
        </w:rPr>
        <w:t>. Cusco.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3C1DA6"/>
    <w:multiLevelType w:val="hybridMultilevel"/>
    <w:tmpl w:val="2A569D8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9"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9687A61"/>
    <w:multiLevelType w:val="hybridMultilevel"/>
    <w:tmpl w:val="7CCE8F78"/>
    <w:lvl w:ilvl="0" w:tplc="B5CA8FF6">
      <w:numFmt w:val="bullet"/>
      <w:lvlText w:val=""/>
      <w:lvlJc w:val="left"/>
      <w:pPr>
        <w:ind w:left="648" w:hanging="360"/>
      </w:pPr>
      <w:rPr>
        <w:rFonts w:hint="default" w:ascii="Symbol" w:hAnsi="Symbol" w:eastAsiaTheme="minorHAnsi" w:cstheme="minorBidi"/>
      </w:rPr>
    </w:lvl>
    <w:lvl w:ilvl="1" w:tplc="280A0003">
      <w:start w:val="1"/>
      <w:numFmt w:val="bullet"/>
      <w:lvlText w:val="o"/>
      <w:lvlJc w:val="left"/>
      <w:pPr>
        <w:ind w:left="1368" w:hanging="360"/>
      </w:pPr>
      <w:rPr>
        <w:rFonts w:hint="default" w:ascii="Courier New" w:hAnsi="Courier New" w:cs="Courier New"/>
      </w:rPr>
    </w:lvl>
    <w:lvl w:ilvl="2" w:tplc="280A0005">
      <w:start w:val="1"/>
      <w:numFmt w:val="bullet"/>
      <w:lvlText w:val=""/>
      <w:lvlJc w:val="left"/>
      <w:pPr>
        <w:ind w:left="2088" w:hanging="360"/>
      </w:pPr>
      <w:rPr>
        <w:rFonts w:hint="default" w:ascii="Wingdings" w:hAnsi="Wingdings"/>
      </w:rPr>
    </w:lvl>
    <w:lvl w:ilvl="3" w:tplc="280A0001">
      <w:start w:val="1"/>
      <w:numFmt w:val="bullet"/>
      <w:lvlText w:val=""/>
      <w:lvlJc w:val="left"/>
      <w:pPr>
        <w:ind w:left="2808" w:hanging="360"/>
      </w:pPr>
      <w:rPr>
        <w:rFonts w:hint="default" w:ascii="Symbol" w:hAnsi="Symbol"/>
      </w:rPr>
    </w:lvl>
    <w:lvl w:ilvl="4" w:tplc="280A0003">
      <w:start w:val="1"/>
      <w:numFmt w:val="bullet"/>
      <w:lvlText w:val="o"/>
      <w:lvlJc w:val="left"/>
      <w:pPr>
        <w:ind w:left="3528" w:hanging="360"/>
      </w:pPr>
      <w:rPr>
        <w:rFonts w:hint="default" w:ascii="Courier New" w:hAnsi="Courier New" w:cs="Courier New"/>
      </w:rPr>
    </w:lvl>
    <w:lvl w:ilvl="5" w:tplc="280A0005">
      <w:start w:val="1"/>
      <w:numFmt w:val="bullet"/>
      <w:lvlText w:val=""/>
      <w:lvlJc w:val="left"/>
      <w:pPr>
        <w:ind w:left="4248" w:hanging="360"/>
      </w:pPr>
      <w:rPr>
        <w:rFonts w:hint="default" w:ascii="Wingdings" w:hAnsi="Wingdings"/>
      </w:rPr>
    </w:lvl>
    <w:lvl w:ilvl="6" w:tplc="280A0001">
      <w:start w:val="1"/>
      <w:numFmt w:val="bullet"/>
      <w:lvlText w:val=""/>
      <w:lvlJc w:val="left"/>
      <w:pPr>
        <w:ind w:left="4968" w:hanging="360"/>
      </w:pPr>
      <w:rPr>
        <w:rFonts w:hint="default" w:ascii="Symbol" w:hAnsi="Symbol"/>
      </w:rPr>
    </w:lvl>
    <w:lvl w:ilvl="7" w:tplc="280A0003">
      <w:start w:val="1"/>
      <w:numFmt w:val="bullet"/>
      <w:lvlText w:val="o"/>
      <w:lvlJc w:val="left"/>
      <w:pPr>
        <w:ind w:left="5688" w:hanging="360"/>
      </w:pPr>
      <w:rPr>
        <w:rFonts w:hint="default" w:ascii="Courier New" w:hAnsi="Courier New" w:cs="Courier New"/>
      </w:rPr>
    </w:lvl>
    <w:lvl w:ilvl="8" w:tplc="280A0005">
      <w:start w:val="1"/>
      <w:numFmt w:val="bullet"/>
      <w:lvlText w:val=""/>
      <w:lvlJc w:val="left"/>
      <w:pPr>
        <w:ind w:left="6408" w:hanging="360"/>
      </w:pPr>
      <w:rPr>
        <w:rFonts w:hint="default" w:ascii="Wingdings" w:hAnsi="Wingdings"/>
      </w:rPr>
    </w:lvl>
  </w:abstractNum>
  <w:abstractNum w:abstractNumId="33"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6"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2"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3"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9"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3"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7"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8"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0"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61"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2"/>
  </w:num>
  <w:num w:numId="7" w16cid:durableId="140269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8"/>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5"/>
  </w:num>
  <w:num w:numId="25" w16cid:durableId="206340418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60"/>
  </w:num>
  <w:num w:numId="35" w16cid:durableId="12596762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9"/>
  </w:num>
  <w:num w:numId="37" w16cid:durableId="210384206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5"/>
  </w:num>
  <w:num w:numId="39" w16cid:durableId="375400375">
    <w:abstractNumId w:val="3"/>
  </w:num>
  <w:num w:numId="40" w16cid:durableId="15364629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52"/>
  </w:num>
  <w:num w:numId="42" w16cid:durableId="1367632935">
    <w:abstractNumId w:val="56"/>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4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42"/>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9"/>
  </w:num>
  <w:num w:numId="48" w16cid:durableId="1820147613">
    <w:abstractNumId w:val="15"/>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39"/>
  </w:num>
  <w:num w:numId="50" w16cid:durableId="1221936204">
    <w:abstractNumId w:val="31"/>
  </w:num>
  <w:num w:numId="51" w16cid:durableId="1578200737">
    <w:abstractNumId w:val="21"/>
  </w:num>
  <w:num w:numId="52" w16cid:durableId="2045446585">
    <w:abstractNumId w:val="26"/>
  </w:num>
  <w:num w:numId="53" w16cid:durableId="236061337">
    <w:abstractNumId w:val="5"/>
  </w:num>
  <w:num w:numId="54" w16cid:durableId="908076149">
    <w:abstractNumId w:val="2"/>
  </w:num>
  <w:num w:numId="55" w16cid:durableId="1301306779">
    <w:abstractNumId w:val="12"/>
  </w:num>
  <w:num w:numId="56" w16cid:durableId="1375540179">
    <w:abstractNumId w:val="54"/>
  </w:num>
  <w:num w:numId="57" w16cid:durableId="605236648">
    <w:abstractNumId w:val="0"/>
  </w:num>
  <w:num w:numId="58" w16cid:durableId="1927105074">
    <w:abstractNumId w:val="1"/>
  </w:num>
  <w:num w:numId="59" w16cid:durableId="1205754912">
    <w:abstractNumId w:val="8"/>
  </w:num>
  <w:num w:numId="60" w16cid:durableId="616185200">
    <w:abstractNumId w:val="32"/>
  </w:num>
  <w:num w:numId="61" w16cid:durableId="1446466692">
    <w:abstractNumId w:val="35"/>
  </w:num>
  <w:num w:numId="62" w16cid:durableId="1725787118">
    <w:abstractNumId w:val="13"/>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1722D"/>
    <w:rsid w:val="00020318"/>
    <w:rsid w:val="00020D94"/>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A12"/>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1CE3"/>
    <w:rsid w:val="000D2700"/>
    <w:rsid w:val="000D3AAD"/>
    <w:rsid w:val="000D43D0"/>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603C6"/>
    <w:rsid w:val="001631D6"/>
    <w:rsid w:val="001662D0"/>
    <w:rsid w:val="001674E5"/>
    <w:rsid w:val="0017198C"/>
    <w:rsid w:val="00173975"/>
    <w:rsid w:val="001749D9"/>
    <w:rsid w:val="00175A97"/>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4385"/>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111D0"/>
    <w:rsid w:val="00225D47"/>
    <w:rsid w:val="00225DE7"/>
    <w:rsid w:val="0022786F"/>
    <w:rsid w:val="002334DF"/>
    <w:rsid w:val="00233ED8"/>
    <w:rsid w:val="0023521A"/>
    <w:rsid w:val="002359D5"/>
    <w:rsid w:val="002370F4"/>
    <w:rsid w:val="00237AB1"/>
    <w:rsid w:val="0024261D"/>
    <w:rsid w:val="0024444A"/>
    <w:rsid w:val="00247BE2"/>
    <w:rsid w:val="00251125"/>
    <w:rsid w:val="00251501"/>
    <w:rsid w:val="00251C91"/>
    <w:rsid w:val="00254F48"/>
    <w:rsid w:val="002605BB"/>
    <w:rsid w:val="002608DC"/>
    <w:rsid w:val="00266CCD"/>
    <w:rsid w:val="002671AE"/>
    <w:rsid w:val="00267932"/>
    <w:rsid w:val="002713C2"/>
    <w:rsid w:val="00272948"/>
    <w:rsid w:val="002746F8"/>
    <w:rsid w:val="00274941"/>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58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56069"/>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97BB7"/>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5C6C"/>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1605"/>
    <w:rsid w:val="00425565"/>
    <w:rsid w:val="00425CB7"/>
    <w:rsid w:val="0042673B"/>
    <w:rsid w:val="00427108"/>
    <w:rsid w:val="00427FB7"/>
    <w:rsid w:val="00431A3A"/>
    <w:rsid w:val="0043236E"/>
    <w:rsid w:val="00435416"/>
    <w:rsid w:val="004357E3"/>
    <w:rsid w:val="00435F11"/>
    <w:rsid w:val="004366D7"/>
    <w:rsid w:val="004369D2"/>
    <w:rsid w:val="00437C27"/>
    <w:rsid w:val="00440C04"/>
    <w:rsid w:val="00442F39"/>
    <w:rsid w:val="0044391E"/>
    <w:rsid w:val="00443E62"/>
    <w:rsid w:val="00444D29"/>
    <w:rsid w:val="0044521A"/>
    <w:rsid w:val="00446576"/>
    <w:rsid w:val="004531E0"/>
    <w:rsid w:val="0045603E"/>
    <w:rsid w:val="00457C69"/>
    <w:rsid w:val="00460AA9"/>
    <w:rsid w:val="00460DC4"/>
    <w:rsid w:val="004649E2"/>
    <w:rsid w:val="00467825"/>
    <w:rsid w:val="0046791C"/>
    <w:rsid w:val="00470816"/>
    <w:rsid w:val="00470E25"/>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4A74"/>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6C00"/>
    <w:rsid w:val="00517150"/>
    <w:rsid w:val="005204C2"/>
    <w:rsid w:val="005229CE"/>
    <w:rsid w:val="00530403"/>
    <w:rsid w:val="00531FBE"/>
    <w:rsid w:val="00532BB0"/>
    <w:rsid w:val="0053602A"/>
    <w:rsid w:val="005362E0"/>
    <w:rsid w:val="00536BDD"/>
    <w:rsid w:val="005376CB"/>
    <w:rsid w:val="00540727"/>
    <w:rsid w:val="005408F4"/>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6304"/>
    <w:rsid w:val="005A76E5"/>
    <w:rsid w:val="005A778E"/>
    <w:rsid w:val="005B54BB"/>
    <w:rsid w:val="005B5BB2"/>
    <w:rsid w:val="005B63C1"/>
    <w:rsid w:val="005C5922"/>
    <w:rsid w:val="005C65E8"/>
    <w:rsid w:val="005C7583"/>
    <w:rsid w:val="005D1456"/>
    <w:rsid w:val="005D1638"/>
    <w:rsid w:val="005D2A9F"/>
    <w:rsid w:val="005D4FEB"/>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06DCB"/>
    <w:rsid w:val="006115B5"/>
    <w:rsid w:val="00615431"/>
    <w:rsid w:val="0062037B"/>
    <w:rsid w:val="00621435"/>
    <w:rsid w:val="00621ACC"/>
    <w:rsid w:val="00630726"/>
    <w:rsid w:val="00637273"/>
    <w:rsid w:val="00641B74"/>
    <w:rsid w:val="006453C0"/>
    <w:rsid w:val="00647AEE"/>
    <w:rsid w:val="00650033"/>
    <w:rsid w:val="00651449"/>
    <w:rsid w:val="00652ED5"/>
    <w:rsid w:val="00655452"/>
    <w:rsid w:val="006603F9"/>
    <w:rsid w:val="00660E60"/>
    <w:rsid w:val="006616F6"/>
    <w:rsid w:val="0066418F"/>
    <w:rsid w:val="00665EBA"/>
    <w:rsid w:val="00666E5D"/>
    <w:rsid w:val="006704E4"/>
    <w:rsid w:val="0067060D"/>
    <w:rsid w:val="0067663E"/>
    <w:rsid w:val="00680A82"/>
    <w:rsid w:val="00680B20"/>
    <w:rsid w:val="006859F9"/>
    <w:rsid w:val="006925DF"/>
    <w:rsid w:val="00693653"/>
    <w:rsid w:val="0069382D"/>
    <w:rsid w:val="00694105"/>
    <w:rsid w:val="0069583E"/>
    <w:rsid w:val="00696F0F"/>
    <w:rsid w:val="006A008D"/>
    <w:rsid w:val="006A1077"/>
    <w:rsid w:val="006A4B64"/>
    <w:rsid w:val="006A5F94"/>
    <w:rsid w:val="006A636C"/>
    <w:rsid w:val="006A6DC4"/>
    <w:rsid w:val="006B4AED"/>
    <w:rsid w:val="006B5EAD"/>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37EC"/>
    <w:rsid w:val="0070531E"/>
    <w:rsid w:val="0070702B"/>
    <w:rsid w:val="00707C3F"/>
    <w:rsid w:val="007134AC"/>
    <w:rsid w:val="0072118B"/>
    <w:rsid w:val="0072160B"/>
    <w:rsid w:val="007224F7"/>
    <w:rsid w:val="0072406C"/>
    <w:rsid w:val="00724770"/>
    <w:rsid w:val="00724EAD"/>
    <w:rsid w:val="007300F4"/>
    <w:rsid w:val="007308D3"/>
    <w:rsid w:val="00732440"/>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1D0"/>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4B5C"/>
    <w:rsid w:val="007B617A"/>
    <w:rsid w:val="007C032D"/>
    <w:rsid w:val="007C2FC5"/>
    <w:rsid w:val="007C3730"/>
    <w:rsid w:val="007C4A95"/>
    <w:rsid w:val="007C4E66"/>
    <w:rsid w:val="007C561F"/>
    <w:rsid w:val="007D020B"/>
    <w:rsid w:val="007D0AFD"/>
    <w:rsid w:val="007D2A3D"/>
    <w:rsid w:val="007D353F"/>
    <w:rsid w:val="007D4065"/>
    <w:rsid w:val="007D4822"/>
    <w:rsid w:val="007E0BA1"/>
    <w:rsid w:val="007E0D90"/>
    <w:rsid w:val="007E21E7"/>
    <w:rsid w:val="007E4D23"/>
    <w:rsid w:val="007E57E2"/>
    <w:rsid w:val="007E585F"/>
    <w:rsid w:val="007F0728"/>
    <w:rsid w:val="007F4240"/>
    <w:rsid w:val="007F76A7"/>
    <w:rsid w:val="008048C4"/>
    <w:rsid w:val="00804FBA"/>
    <w:rsid w:val="00807D21"/>
    <w:rsid w:val="00813F42"/>
    <w:rsid w:val="00814359"/>
    <w:rsid w:val="00814D84"/>
    <w:rsid w:val="00816F2C"/>
    <w:rsid w:val="008174F3"/>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65FCB"/>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39B7"/>
    <w:rsid w:val="008D5A92"/>
    <w:rsid w:val="008D72D9"/>
    <w:rsid w:val="008D7B08"/>
    <w:rsid w:val="008E0099"/>
    <w:rsid w:val="008E0575"/>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0565E"/>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4E3A"/>
    <w:rsid w:val="00946A3D"/>
    <w:rsid w:val="009507AE"/>
    <w:rsid w:val="009511AC"/>
    <w:rsid w:val="00951FF5"/>
    <w:rsid w:val="009520C6"/>
    <w:rsid w:val="009525BB"/>
    <w:rsid w:val="009560CE"/>
    <w:rsid w:val="00961B7C"/>
    <w:rsid w:val="0096329F"/>
    <w:rsid w:val="00966498"/>
    <w:rsid w:val="0096681A"/>
    <w:rsid w:val="00966F17"/>
    <w:rsid w:val="00970FF2"/>
    <w:rsid w:val="00971CC3"/>
    <w:rsid w:val="00972C37"/>
    <w:rsid w:val="009767BB"/>
    <w:rsid w:val="00977F56"/>
    <w:rsid w:val="009800DC"/>
    <w:rsid w:val="00980E6B"/>
    <w:rsid w:val="00981056"/>
    <w:rsid w:val="00982A42"/>
    <w:rsid w:val="00992D67"/>
    <w:rsid w:val="009942A4"/>
    <w:rsid w:val="00994438"/>
    <w:rsid w:val="00995D6B"/>
    <w:rsid w:val="00997575"/>
    <w:rsid w:val="009A2FEB"/>
    <w:rsid w:val="009A4863"/>
    <w:rsid w:val="009A624F"/>
    <w:rsid w:val="009A7580"/>
    <w:rsid w:val="009B2B48"/>
    <w:rsid w:val="009B3934"/>
    <w:rsid w:val="009C28AE"/>
    <w:rsid w:val="009C3AB7"/>
    <w:rsid w:val="009C3F83"/>
    <w:rsid w:val="009C4A1C"/>
    <w:rsid w:val="009C4BA0"/>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34FB5"/>
    <w:rsid w:val="00A373FB"/>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20B9"/>
    <w:rsid w:val="00AC4C0C"/>
    <w:rsid w:val="00AC55A3"/>
    <w:rsid w:val="00AC68FA"/>
    <w:rsid w:val="00AC75E9"/>
    <w:rsid w:val="00AC7D5A"/>
    <w:rsid w:val="00AD20C0"/>
    <w:rsid w:val="00AD77CA"/>
    <w:rsid w:val="00AE1616"/>
    <w:rsid w:val="00AE1A9B"/>
    <w:rsid w:val="00AE33DC"/>
    <w:rsid w:val="00AE376F"/>
    <w:rsid w:val="00AE40BA"/>
    <w:rsid w:val="00AE74E3"/>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0B6B"/>
    <w:rsid w:val="00B73E8E"/>
    <w:rsid w:val="00B74AEE"/>
    <w:rsid w:val="00B75B4C"/>
    <w:rsid w:val="00B773DA"/>
    <w:rsid w:val="00B82571"/>
    <w:rsid w:val="00B8325E"/>
    <w:rsid w:val="00B834F7"/>
    <w:rsid w:val="00B83882"/>
    <w:rsid w:val="00B84F66"/>
    <w:rsid w:val="00B8602A"/>
    <w:rsid w:val="00B86626"/>
    <w:rsid w:val="00B920E6"/>
    <w:rsid w:val="00B95BA6"/>
    <w:rsid w:val="00B96DD8"/>
    <w:rsid w:val="00BA2001"/>
    <w:rsid w:val="00BA23BD"/>
    <w:rsid w:val="00BA2665"/>
    <w:rsid w:val="00BA2C8E"/>
    <w:rsid w:val="00BA6133"/>
    <w:rsid w:val="00BB4CEC"/>
    <w:rsid w:val="00BB6919"/>
    <w:rsid w:val="00BB7248"/>
    <w:rsid w:val="00BC34CE"/>
    <w:rsid w:val="00BC46B9"/>
    <w:rsid w:val="00BC4D72"/>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3799C"/>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2CCA"/>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309E"/>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17845"/>
    <w:rsid w:val="00D2281E"/>
    <w:rsid w:val="00D23330"/>
    <w:rsid w:val="00D23607"/>
    <w:rsid w:val="00D24055"/>
    <w:rsid w:val="00D24314"/>
    <w:rsid w:val="00D2469E"/>
    <w:rsid w:val="00D27168"/>
    <w:rsid w:val="00D30412"/>
    <w:rsid w:val="00D33751"/>
    <w:rsid w:val="00D34187"/>
    <w:rsid w:val="00D41556"/>
    <w:rsid w:val="00D41BEC"/>
    <w:rsid w:val="00D4302F"/>
    <w:rsid w:val="00D441EF"/>
    <w:rsid w:val="00D444FF"/>
    <w:rsid w:val="00D44B6E"/>
    <w:rsid w:val="00D560EA"/>
    <w:rsid w:val="00D56839"/>
    <w:rsid w:val="00D606F1"/>
    <w:rsid w:val="00D61561"/>
    <w:rsid w:val="00D625B4"/>
    <w:rsid w:val="00D677AF"/>
    <w:rsid w:val="00D67F74"/>
    <w:rsid w:val="00D74B2C"/>
    <w:rsid w:val="00D76C9D"/>
    <w:rsid w:val="00D77A2E"/>
    <w:rsid w:val="00D823F3"/>
    <w:rsid w:val="00D867D1"/>
    <w:rsid w:val="00D86E87"/>
    <w:rsid w:val="00D9006E"/>
    <w:rsid w:val="00D90CD8"/>
    <w:rsid w:val="00D90E75"/>
    <w:rsid w:val="00D91B7B"/>
    <w:rsid w:val="00D91CBB"/>
    <w:rsid w:val="00D942A8"/>
    <w:rsid w:val="00D9769D"/>
    <w:rsid w:val="00DA107A"/>
    <w:rsid w:val="00DA2BF5"/>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6B68"/>
    <w:rsid w:val="00DE77FA"/>
    <w:rsid w:val="00DE7AB0"/>
    <w:rsid w:val="00DE7BBC"/>
    <w:rsid w:val="00DF7CE6"/>
    <w:rsid w:val="00E015A0"/>
    <w:rsid w:val="00E024B9"/>
    <w:rsid w:val="00E05338"/>
    <w:rsid w:val="00E06FC0"/>
    <w:rsid w:val="00E10B1F"/>
    <w:rsid w:val="00E11277"/>
    <w:rsid w:val="00E124A4"/>
    <w:rsid w:val="00E145AE"/>
    <w:rsid w:val="00E16535"/>
    <w:rsid w:val="00E16AB6"/>
    <w:rsid w:val="00E23F75"/>
    <w:rsid w:val="00E2525A"/>
    <w:rsid w:val="00E25357"/>
    <w:rsid w:val="00E30D1B"/>
    <w:rsid w:val="00E33E30"/>
    <w:rsid w:val="00E40C79"/>
    <w:rsid w:val="00E4274A"/>
    <w:rsid w:val="00E4456F"/>
    <w:rsid w:val="00E4CB25"/>
    <w:rsid w:val="00E51E1F"/>
    <w:rsid w:val="00E541ED"/>
    <w:rsid w:val="00E55F0F"/>
    <w:rsid w:val="00E55FC2"/>
    <w:rsid w:val="00E635A2"/>
    <w:rsid w:val="00E63FEA"/>
    <w:rsid w:val="00E64711"/>
    <w:rsid w:val="00E66CE2"/>
    <w:rsid w:val="00E72E3E"/>
    <w:rsid w:val="00E73041"/>
    <w:rsid w:val="00E74FEE"/>
    <w:rsid w:val="00E755CB"/>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D78D2"/>
    <w:rsid w:val="00EE1A1B"/>
    <w:rsid w:val="00EE1B5F"/>
    <w:rsid w:val="00EE2261"/>
    <w:rsid w:val="00EE2D5E"/>
    <w:rsid w:val="00EE3D96"/>
    <w:rsid w:val="00EE4E15"/>
    <w:rsid w:val="00EE5C7A"/>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39F4"/>
    <w:rsid w:val="00F2678E"/>
    <w:rsid w:val="00F3453C"/>
    <w:rsid w:val="00F345FF"/>
    <w:rsid w:val="00F349FF"/>
    <w:rsid w:val="00F34E8D"/>
    <w:rsid w:val="00F37A9F"/>
    <w:rsid w:val="00F40D88"/>
    <w:rsid w:val="00F42DC6"/>
    <w:rsid w:val="00F43144"/>
    <w:rsid w:val="00F44DE7"/>
    <w:rsid w:val="00F45B9F"/>
    <w:rsid w:val="00F465F7"/>
    <w:rsid w:val="00F46AC0"/>
    <w:rsid w:val="00F5215F"/>
    <w:rsid w:val="00F525DF"/>
    <w:rsid w:val="00F557AD"/>
    <w:rsid w:val="00F564D3"/>
    <w:rsid w:val="00F61799"/>
    <w:rsid w:val="00F639A9"/>
    <w:rsid w:val="00F64614"/>
    <w:rsid w:val="00F71D17"/>
    <w:rsid w:val="00F72C1D"/>
    <w:rsid w:val="00F74CF0"/>
    <w:rsid w:val="00F7513B"/>
    <w:rsid w:val="00F76161"/>
    <w:rsid w:val="00F7780F"/>
    <w:rsid w:val="00F803F1"/>
    <w:rsid w:val="00F84148"/>
    <w:rsid w:val="00F842A1"/>
    <w:rsid w:val="00F84CB7"/>
    <w:rsid w:val="00F855C0"/>
    <w:rsid w:val="00F867C7"/>
    <w:rsid w:val="00F87AC1"/>
    <w:rsid w:val="00F93CB8"/>
    <w:rsid w:val="00F955B8"/>
    <w:rsid w:val="00F97A17"/>
    <w:rsid w:val="00FA1403"/>
    <w:rsid w:val="00FA1A28"/>
    <w:rsid w:val="00FA1EA2"/>
    <w:rsid w:val="00FA3CBA"/>
    <w:rsid w:val="00FA5D1D"/>
    <w:rsid w:val="00FA6F2A"/>
    <w:rsid w:val="00FB255F"/>
    <w:rsid w:val="00FB2B0A"/>
    <w:rsid w:val="00FB3BEB"/>
    <w:rsid w:val="00FB4E3E"/>
    <w:rsid w:val="00FB519E"/>
    <w:rsid w:val="00FB5C9C"/>
    <w:rsid w:val="00FB68BD"/>
    <w:rsid w:val="00FC44EE"/>
    <w:rsid w:val="00FC7048"/>
    <w:rsid w:val="00FD0C28"/>
    <w:rsid w:val="00FD3234"/>
    <w:rsid w:val="00FD36AB"/>
    <w:rsid w:val="00FD3A6A"/>
    <w:rsid w:val="00FD4913"/>
    <w:rsid w:val="00FE1E96"/>
    <w:rsid w:val="00FE1F25"/>
    <w:rsid w:val="00FE53F0"/>
    <w:rsid w:val="00FE7AA7"/>
    <w:rsid w:val="00FE7F42"/>
    <w:rsid w:val="00FF1388"/>
    <w:rsid w:val="00FF2213"/>
    <w:rsid w:val="00FF2485"/>
    <w:rsid w:val="00FF2E0B"/>
    <w:rsid w:val="0144AD99"/>
    <w:rsid w:val="0658239A"/>
    <w:rsid w:val="06BAF5DA"/>
    <w:rsid w:val="10643311"/>
    <w:rsid w:val="11A095B9"/>
    <w:rsid w:val="1695D792"/>
    <w:rsid w:val="1916ED35"/>
    <w:rsid w:val="19B9A078"/>
    <w:rsid w:val="19D32C17"/>
    <w:rsid w:val="2DB53D2A"/>
    <w:rsid w:val="2E349E79"/>
    <w:rsid w:val="41F32BAF"/>
    <w:rsid w:val="468E2703"/>
    <w:rsid w:val="490607EC"/>
    <w:rsid w:val="4DA6EF30"/>
    <w:rsid w:val="52C4702B"/>
    <w:rsid w:val="5A385041"/>
    <w:rsid w:val="658D1369"/>
    <w:rsid w:val="66C26DE2"/>
    <w:rsid w:val="7457CAD5"/>
    <w:rsid w:val="775CC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83192245">
      <w:bodyDiv w:val="1"/>
      <w:marLeft w:val="0"/>
      <w:marRight w:val="0"/>
      <w:marTop w:val="0"/>
      <w:marBottom w:val="0"/>
      <w:divBdr>
        <w:top w:val="none" w:sz="0" w:space="0" w:color="auto"/>
        <w:left w:val="none" w:sz="0" w:space="0" w:color="auto"/>
        <w:bottom w:val="none" w:sz="0" w:space="0" w:color="auto"/>
        <w:right w:val="none" w:sz="0" w:space="0" w:color="auto"/>
      </w:divBdr>
    </w:div>
    <w:div w:id="84037447">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59932695">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2208411">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58898179">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276178">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291442">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2513802">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0543880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3792466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128703">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6832711">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398630701">
      <w:bodyDiv w:val="1"/>
      <w:marLeft w:val="0"/>
      <w:marRight w:val="0"/>
      <w:marTop w:val="0"/>
      <w:marBottom w:val="0"/>
      <w:divBdr>
        <w:top w:val="none" w:sz="0" w:space="0" w:color="auto"/>
        <w:left w:val="none" w:sz="0" w:space="0" w:color="auto"/>
        <w:bottom w:val="none" w:sz="0" w:space="0" w:color="auto"/>
        <w:right w:val="none" w:sz="0" w:space="0" w:color="auto"/>
      </w:divBdr>
    </w:div>
    <w:div w:id="1415396000">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28310032">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38988516">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695418551">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15695721">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7637519">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0695973">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48217140">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16751302">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7246EDF-440B-4FD2-8E43-4C69DD190DEE}"/>
</file>

<file path=customXml/itemProps3.xml><?xml version="1.0" encoding="utf-8"?>
<ds:datastoreItem xmlns:ds="http://schemas.openxmlformats.org/officeDocument/2006/customXml" ds:itemID="{BB5908E3-5059-4EED-B477-B590D67E4926}"/>
</file>

<file path=customXml/itemProps4.xml><?xml version="1.0" encoding="utf-8"?>
<ds:datastoreItem xmlns:ds="http://schemas.openxmlformats.org/officeDocument/2006/customXml" ds:itemID="{E6AB0A4A-F78B-4311-9AEC-00B18701795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655</cp:revision>
  <cp:lastPrinted>2025-07-31T18:46:00Z</cp:lastPrinted>
  <dcterms:created xsi:type="dcterms:W3CDTF">2023-06-22T13:57:00Z</dcterms:created>
  <dcterms:modified xsi:type="dcterms:W3CDTF">2026-04-14T17:50:17Z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