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2689C" w:rsidR="00D12B6B" w:rsidP="00511C64" w:rsidRDefault="00D12B6B" w14:paraId="450BB199" w14:textId="77777777">
      <w:pPr>
        <w:spacing w:after="0" w:line="240" w:lineRule="auto"/>
        <w:jc w:val="center"/>
        <w:rPr>
          <w:rFonts w:ascii="Times New Roman" w:hAnsi="Times New Roman" w:cs="Times New Roman"/>
          <w:b/>
          <w:sz w:val="24"/>
          <w:szCs w:val="24"/>
          <w:lang w:val="es-PE" w:eastAsia="ar-SA"/>
        </w:rPr>
      </w:pPr>
    </w:p>
    <w:p w:rsidRPr="0062689C" w:rsidR="009117F7" w:rsidP="00C866D7" w:rsidRDefault="00C866D7" w14:paraId="2A5107DD" w14:textId="626D60DF">
      <w:pPr>
        <w:spacing w:after="0" w:line="240" w:lineRule="auto"/>
        <w:jc w:val="center"/>
        <w:rPr>
          <w:rFonts w:ascii="Times New Roman" w:hAnsi="Times New Roman" w:cs="Times New Roman"/>
          <w:b/>
          <w:sz w:val="24"/>
          <w:szCs w:val="24"/>
          <w:lang w:val="es-PE"/>
        </w:rPr>
      </w:pPr>
      <w:r w:rsidRPr="0062689C">
        <w:rPr>
          <w:rFonts w:ascii="Times New Roman" w:hAnsi="Times New Roman" w:cs="Times New Roman"/>
          <w:b/>
          <w:sz w:val="24"/>
          <w:szCs w:val="24"/>
          <w:lang w:val="es-PE" w:eastAsia="ar-SA"/>
        </w:rPr>
        <w:t>RESOLUCIÓN N° 12</w:t>
      </w:r>
      <w:r w:rsidRPr="0062689C" w:rsidR="00631CE7">
        <w:rPr>
          <w:rFonts w:ascii="Times New Roman" w:hAnsi="Times New Roman" w:cs="Times New Roman"/>
          <w:b/>
          <w:sz w:val="24"/>
          <w:szCs w:val="24"/>
          <w:lang w:val="es-PE" w:eastAsia="ar-SA"/>
        </w:rPr>
        <w:t>7</w:t>
      </w:r>
      <w:r w:rsidRPr="0062689C">
        <w:rPr>
          <w:rFonts w:ascii="Times New Roman" w:hAnsi="Times New Roman" w:cs="Times New Roman"/>
          <w:b/>
          <w:sz w:val="24"/>
          <w:szCs w:val="24"/>
          <w:lang w:val="es-PE" w:eastAsia="ar-SA"/>
        </w:rPr>
        <w:t>/25</w:t>
      </w:r>
    </w:p>
    <w:p w:rsidRPr="0062689C" w:rsidR="0062689C" w:rsidP="0062689C" w:rsidRDefault="0062689C" w14:paraId="0BC294AC" w14:textId="77777777">
      <w:pPr>
        <w:spacing w:after="0" w:line="240" w:lineRule="atLeast"/>
        <w:jc w:val="both"/>
        <w:rPr>
          <w:rFonts w:ascii="Times New Roman" w:hAnsi="Times New Roman" w:cs="Times New Roman"/>
          <w:b/>
          <w:sz w:val="24"/>
          <w:szCs w:val="24"/>
          <w:lang w:val="es-PE"/>
        </w:rPr>
      </w:pPr>
      <w:bookmarkStart w:name="_Hlk198053358" w:id="0"/>
      <w:r w:rsidRPr="0062689C">
        <w:rPr>
          <w:rFonts w:ascii="Times New Roman" w:hAnsi="Times New Roman" w:cs="Times New Roman"/>
          <w:b/>
          <w:sz w:val="24"/>
          <w:szCs w:val="24"/>
          <w:lang w:val="es-PE"/>
        </w:rPr>
        <w:t>VISTOS:</w:t>
      </w:r>
    </w:p>
    <w:p w:rsidRPr="0062689C" w:rsidR="0062689C" w:rsidP="0062689C" w:rsidRDefault="0062689C" w14:paraId="42CE33FF" w14:textId="77777777">
      <w:pPr>
        <w:spacing w:after="0" w:line="240" w:lineRule="atLeast"/>
        <w:jc w:val="both"/>
        <w:rPr>
          <w:rFonts w:ascii="Times New Roman" w:hAnsi="Times New Roman" w:cs="Times New Roman"/>
          <w:b/>
          <w:sz w:val="24"/>
          <w:szCs w:val="24"/>
          <w:lang w:val="es-PE"/>
        </w:rPr>
      </w:pPr>
    </w:p>
    <w:p w:rsidRPr="0062689C" w:rsidR="0062689C" w:rsidP="0062689C" w:rsidRDefault="0062689C" w14:paraId="7BAD893C" w14:textId="570D1F82">
      <w:pPr>
        <w:spacing w:after="0" w:line="240" w:lineRule="atLeast"/>
        <w:jc w:val="both"/>
        <w:rPr>
          <w:rFonts w:ascii="Times New Roman" w:hAnsi="Times New Roman" w:cs="Times New Roman"/>
          <w:sz w:val="24"/>
          <w:szCs w:val="24"/>
          <w:lang w:val="es-MX"/>
        </w:rPr>
      </w:pPr>
      <w:r w:rsidRPr="2CF1A6D2" w:rsidR="0062689C">
        <w:rPr>
          <w:rFonts w:ascii="Times New Roman" w:hAnsi="Times New Roman" w:cs="Times New Roman"/>
          <w:sz w:val="24"/>
          <w:szCs w:val="24"/>
          <w:lang w:val="es-MX"/>
        </w:rPr>
        <w:t xml:space="preserve">Que, </w:t>
      </w:r>
      <w:r w:rsidRPr="2CF1A6D2" w:rsidR="0062689C">
        <w:rPr>
          <w:rFonts w:ascii="Times New Roman" w:hAnsi="Times New Roman" w:cs="Times New Roman"/>
          <w:sz w:val="24"/>
          <w:szCs w:val="24"/>
          <w:lang w:val="es-PE"/>
        </w:rPr>
        <w:t xml:space="preserve">con fecha 11 de abril de 2025, don </w:t>
      </w:r>
      <w:r w:rsidRPr="2CF1A6D2" w:rsidR="3F81F918">
        <w:rPr>
          <w:rFonts w:ascii="Times New Roman" w:hAnsi="Times New Roman" w:cs="Times New Roman"/>
          <w:b w:val="1"/>
          <w:bCs w:val="1"/>
          <w:sz w:val="24"/>
          <w:szCs w:val="24"/>
          <w:lang w:val="es-PE"/>
        </w:rPr>
        <w:t>......................................................................</w:t>
      </w:r>
      <w:r w:rsidRPr="2CF1A6D2" w:rsidR="0062689C">
        <w:rPr>
          <w:rFonts w:ascii="Times New Roman" w:hAnsi="Times New Roman" w:cs="Times New Roman"/>
          <w:b w:val="1"/>
          <w:bCs w:val="1"/>
          <w:sz w:val="24"/>
          <w:szCs w:val="24"/>
          <w:lang w:val="es-MX"/>
        </w:rPr>
        <w:t xml:space="preserve"> </w:t>
      </w:r>
      <w:r w:rsidRPr="2CF1A6D2" w:rsidR="0062689C">
        <w:rPr>
          <w:rFonts w:ascii="Times New Roman" w:hAnsi="Times New Roman" w:cs="Times New Roman"/>
          <w:sz w:val="24"/>
          <w:szCs w:val="24"/>
          <w:lang w:val="es-MX"/>
        </w:rPr>
        <w:t>interpone</w:t>
      </w:r>
      <w:r w:rsidRPr="2CF1A6D2" w:rsidR="0062689C">
        <w:rPr>
          <w:rFonts w:ascii="Times New Roman" w:hAnsi="Times New Roman" w:cs="Times New Roman"/>
          <w:sz w:val="24"/>
          <w:szCs w:val="24"/>
          <w:lang w:val="es-MX"/>
        </w:rPr>
        <w:t xml:space="preserve"> </w:t>
      </w:r>
      <w:r w:rsidRPr="2CF1A6D2" w:rsidR="0062689C">
        <w:rPr>
          <w:rFonts w:ascii="Times New Roman" w:hAnsi="Times New Roman" w:cs="Times New Roman"/>
          <w:sz w:val="24"/>
          <w:szCs w:val="24"/>
          <w:lang w:val="es-MX"/>
        </w:rPr>
        <w:t xml:space="preserve">reclamación ante esta Defensoría del Asegurado (DEFASEG) contra </w:t>
      </w:r>
      <w:r w:rsidRPr="2CF1A6D2" w:rsidR="49029586">
        <w:rPr>
          <w:rFonts w:ascii="Times New Roman" w:hAnsi="Times New Roman" w:cs="Times New Roman"/>
          <w:b w:val="1"/>
          <w:bCs w:val="1"/>
          <w:sz w:val="24"/>
          <w:szCs w:val="24"/>
          <w:lang w:val="es-MX"/>
        </w:rPr>
        <w:t>..................................</w:t>
      </w:r>
      <w:r w:rsidRPr="2CF1A6D2" w:rsidR="0062689C">
        <w:rPr>
          <w:rFonts w:ascii="Times New Roman" w:hAnsi="Times New Roman" w:cs="Times New Roman"/>
          <w:sz w:val="24"/>
          <w:szCs w:val="24"/>
          <w:lang w:val="es-MX"/>
        </w:rPr>
        <w:t>, solicitando se le</w:t>
      </w:r>
      <w:r w:rsidRPr="2CF1A6D2" w:rsidR="0062689C">
        <w:rPr>
          <w:rFonts w:ascii="Times New Roman" w:hAnsi="Times New Roman" w:cs="Times New Roman"/>
          <w:sz w:val="24"/>
          <w:szCs w:val="24"/>
          <w:lang w:val="es-MX"/>
        </w:rPr>
        <w:t xml:space="preserve"> otorgue la cobertura del</w:t>
      </w:r>
      <w:r w:rsidRPr="2CF1A6D2" w:rsidR="0062689C">
        <w:rPr>
          <w:rFonts w:ascii="Times New Roman" w:hAnsi="Times New Roman" w:cs="Times New Roman"/>
          <w:b w:val="1"/>
          <w:bCs w:val="1"/>
          <w:sz w:val="24"/>
          <w:szCs w:val="24"/>
          <w:lang w:val="es-MX"/>
        </w:rPr>
        <w:t xml:space="preserve"> SEGURO DE PROTECCIÓN DE TARJETA</w:t>
      </w:r>
      <w:bookmarkStart w:name="OLE_LINK2" w:id="1"/>
      <w:r w:rsidRPr="2CF1A6D2" w:rsidR="0062689C">
        <w:rPr>
          <w:rFonts w:ascii="Times New Roman" w:hAnsi="Times New Roman" w:cs="Times New Roman"/>
          <w:b w:val="1"/>
          <w:bCs w:val="1"/>
          <w:sz w:val="24"/>
          <w:szCs w:val="24"/>
          <w:lang w:val="es-MX"/>
        </w:rPr>
        <w:t>- PÓLIZA</w:t>
      </w:r>
      <w:r w:rsidRPr="2CF1A6D2" w:rsidR="0062689C">
        <w:rPr>
          <w:rFonts w:ascii="Times New Roman" w:hAnsi="Times New Roman" w:cs="Times New Roman"/>
          <w:b w:val="1"/>
          <w:bCs w:val="1"/>
          <w:sz w:val="24"/>
          <w:szCs w:val="24"/>
          <w:lang w:val="es-MX"/>
        </w:rPr>
        <w:t xml:space="preserve"> </w:t>
      </w:r>
      <w:r w:rsidRPr="2CF1A6D2" w:rsidR="6E0B485E">
        <w:rPr>
          <w:rFonts w:ascii="Times New Roman" w:hAnsi="Times New Roman" w:cs="Times New Roman"/>
          <w:b w:val="1"/>
          <w:bCs w:val="1"/>
          <w:sz w:val="24"/>
          <w:szCs w:val="24"/>
          <w:lang w:val="es-MX"/>
        </w:rPr>
        <w:t>..............................</w:t>
      </w:r>
      <w:r w:rsidRPr="2CF1A6D2" w:rsidR="0062689C">
        <w:rPr>
          <w:rFonts w:ascii="Times New Roman" w:hAnsi="Times New Roman" w:cs="Times New Roman"/>
          <w:sz w:val="24"/>
          <w:szCs w:val="24"/>
          <w:lang w:val="es-MX"/>
        </w:rPr>
        <w:t>.</w:t>
      </w:r>
    </w:p>
    <w:p w:rsidRPr="0062689C" w:rsidR="0062689C" w:rsidP="0062689C" w:rsidRDefault="0062689C" w14:paraId="4B76CD90" w14:textId="77777777">
      <w:pPr>
        <w:spacing w:after="0" w:line="240" w:lineRule="atLeast"/>
        <w:jc w:val="both"/>
        <w:rPr>
          <w:rFonts w:ascii="Times New Roman" w:hAnsi="Times New Roman" w:cs="Times New Roman"/>
          <w:b/>
          <w:bCs/>
          <w:sz w:val="24"/>
          <w:szCs w:val="24"/>
          <w:lang w:val="es-PE"/>
        </w:rPr>
      </w:pPr>
    </w:p>
    <w:bookmarkEnd w:id="1"/>
    <w:p w:rsidRPr="0062689C" w:rsidR="0062689C" w:rsidP="0062689C" w:rsidRDefault="0062689C" w14:paraId="27B8F670"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Que, la señalada reclamación cumple con los requisitos de materia, cuantía y oportunidad establecidos en el Reglamento de la DEFASEG.</w:t>
      </w:r>
    </w:p>
    <w:p w:rsidRPr="0062689C" w:rsidR="0062689C" w:rsidP="0062689C" w:rsidRDefault="0062689C" w14:paraId="7DD2FA74"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21DF3731" w14:textId="7A8AAC92">
      <w:pPr>
        <w:spacing w:after="0" w:line="240" w:lineRule="atLeast"/>
        <w:jc w:val="both"/>
        <w:rPr>
          <w:rFonts w:ascii="Times New Roman" w:hAnsi="Times New Roman" w:cs="Times New Roman"/>
          <w:sz w:val="24"/>
          <w:szCs w:val="24"/>
          <w:lang w:val="es-PE"/>
        </w:rPr>
      </w:pPr>
      <w:r w:rsidRPr="2CF1A6D2" w:rsidR="0062689C">
        <w:rPr>
          <w:rFonts w:ascii="Times New Roman" w:hAnsi="Times New Roman" w:cs="Times New Roman"/>
          <w:sz w:val="24"/>
          <w:szCs w:val="24"/>
          <w:lang w:val="es-PE"/>
        </w:rPr>
        <w:t xml:space="preserve">Que, habiéndose corrido traslado de la reclamación a </w:t>
      </w:r>
      <w:r w:rsidRPr="2CF1A6D2" w:rsidR="49029586">
        <w:rPr>
          <w:rFonts w:ascii="Times New Roman" w:hAnsi="Times New Roman" w:cs="Times New Roman"/>
          <w:sz w:val="24"/>
          <w:szCs w:val="24"/>
          <w:lang w:val="es-PE"/>
        </w:rPr>
        <w:t>..................................</w:t>
      </w:r>
      <w:r w:rsidRPr="2CF1A6D2" w:rsidR="0062689C">
        <w:rPr>
          <w:rFonts w:ascii="Times New Roman" w:hAnsi="Times New Roman" w:cs="Times New Roman"/>
          <w:sz w:val="24"/>
          <w:szCs w:val="24"/>
          <w:lang w:val="es-PE"/>
        </w:rPr>
        <w:t>, la compañía solicitó un plazo adicional para presentar sus descargos, los cuales presenta el 23 de junio de 2025</w:t>
      </w:r>
      <w:r w:rsidRPr="2CF1A6D2" w:rsidR="0062689C">
        <w:rPr>
          <w:rFonts w:ascii="Times New Roman" w:hAnsi="Times New Roman" w:cs="Times New Roman"/>
          <w:sz w:val="24"/>
          <w:szCs w:val="24"/>
          <w:lang w:val="es-PE"/>
        </w:rPr>
        <w:t xml:space="preserve">. </w:t>
      </w:r>
    </w:p>
    <w:p w:rsidRPr="0062689C" w:rsidR="0062689C" w:rsidP="0062689C" w:rsidRDefault="0062689C" w14:paraId="0B5520CE"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5BD835AF"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Que, con fecha 11 de agosto de 2025 se realizó la audiencia de vista con la participación virtual de ambas partes, oportunidad en la cual cada parte sustentó su posición, absolviendo las preguntas formuladas por esta colegiado, conforme consta de la correspondiente acta;</w:t>
      </w:r>
    </w:p>
    <w:p w:rsidRPr="0062689C" w:rsidR="0062689C" w:rsidP="0062689C" w:rsidRDefault="0062689C" w14:paraId="109052EB"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0BC9BAC5" w14:textId="2ECC7634">
      <w:pPr>
        <w:spacing w:after="0" w:line="240" w:lineRule="atLeast"/>
        <w:jc w:val="both"/>
        <w:rPr>
          <w:rFonts w:ascii="Times New Roman" w:hAnsi="Times New Roman" w:cs="Times New Roman"/>
          <w:sz w:val="24"/>
          <w:szCs w:val="24"/>
          <w:lang w:val="es-PE"/>
        </w:rPr>
      </w:pPr>
      <w:r w:rsidRPr="2CF1A6D2" w:rsidR="0062689C">
        <w:rPr>
          <w:rFonts w:ascii="Times New Roman" w:hAnsi="Times New Roman" w:cs="Times New Roman"/>
          <w:sz w:val="24"/>
          <w:szCs w:val="24"/>
          <w:lang w:val="es-PE"/>
        </w:rPr>
        <w:t>Que, en síntesis, la posición del reclamante es la siguiente: a) El domingo 09 de marzo de 2025 a la 1:30 aproximadamente, luego de tomar el taxi de retorno a su domicilio ubicado en San Borja, fue víctima del robo de su celular por el mismo taxista; quien al encontrarse en calles oscuras por una ruta poco segura y vulnerable, le arrebató el celular de manera malcriada y prepotente en la calle San Luis;  manifestándole al taxista le devuelva su celular, aquel le increpó con insultos empujándolo para salir del taxi; caminó a su domicilio y verificando que tenía su billetera y sus tarjetas procedió a descansar para a primera hora ir a comprarse otro celular; b) al proceder a utilizar la tarjeta del BBVA para comprar un nuevo celular, el POS indicó tarjeta no autorizada; al llamar al Banco se entera  de movimientos bancarios que no reconoce a través del aplicativo BBVA: dos préstamos inmediatos virtuales por el monto de S/25,000 y S/ 8,000, sustrayendo los montos por transferencias bancarias y cajero automático sin tarjeta, constituyéndose en un fraude informático, con los envíos a través de 3 transferencias bancarias a las cuentas de</w:t>
      </w:r>
      <w:r w:rsidRPr="2CF1A6D2" w:rsidR="31422F84">
        <w:rPr>
          <w:rFonts w:ascii="Times New Roman" w:hAnsi="Times New Roman" w:cs="Times New Roman"/>
          <w:sz w:val="24"/>
          <w:szCs w:val="24"/>
          <w:lang w:val="es-PE"/>
        </w:rPr>
        <w:t>.............................................</w:t>
      </w:r>
      <w:r w:rsidRPr="2CF1A6D2" w:rsidR="0062689C">
        <w:rPr>
          <w:rFonts w:ascii="Times New Roman" w:hAnsi="Times New Roman" w:cs="Times New Roman"/>
          <w:sz w:val="24"/>
          <w:szCs w:val="24"/>
          <w:lang w:val="es-PE"/>
        </w:rPr>
        <w:t xml:space="preserve"> e </w:t>
      </w:r>
      <w:r w:rsidRPr="2CF1A6D2" w:rsidR="1AD97E48">
        <w:rPr>
          <w:rFonts w:ascii="Times New Roman" w:hAnsi="Times New Roman" w:cs="Times New Roman"/>
          <w:sz w:val="24"/>
          <w:szCs w:val="24"/>
          <w:lang w:val="es-PE"/>
        </w:rPr>
        <w:t>...................................................</w:t>
      </w:r>
      <w:r w:rsidRPr="2CF1A6D2" w:rsidR="0062689C">
        <w:rPr>
          <w:rFonts w:ascii="Times New Roman" w:hAnsi="Times New Roman" w:cs="Times New Roman"/>
          <w:sz w:val="24"/>
          <w:szCs w:val="24"/>
          <w:lang w:val="es-PE"/>
        </w:rPr>
        <w:t xml:space="preserve"> y dos retiros por cajero sin tarjeta; motivo por el cual bloqueó sus tarjetas y cuentas de todos los aplicativos del BBVA , BCP y Western </w:t>
      </w:r>
      <w:r w:rsidRPr="2CF1A6D2" w:rsidR="0062689C">
        <w:rPr>
          <w:rFonts w:ascii="Times New Roman" w:hAnsi="Times New Roman" w:cs="Times New Roman"/>
          <w:sz w:val="24"/>
          <w:szCs w:val="24"/>
          <w:lang w:val="es-PE"/>
        </w:rPr>
        <w:t>Union</w:t>
      </w:r>
      <w:r w:rsidRPr="2CF1A6D2" w:rsidR="0062689C">
        <w:rPr>
          <w:rFonts w:ascii="Times New Roman" w:hAnsi="Times New Roman" w:cs="Times New Roman"/>
          <w:sz w:val="24"/>
          <w:szCs w:val="24"/>
          <w:lang w:val="es-PE"/>
        </w:rPr>
        <w:t xml:space="preserve">; por lo que solicitó la activación del seguro por robo y fraude; c) revisando sus correos electrónicos, se percató que realizaron el reseteo de sus contraseñas, accedieron al app del BBVA, a través de otro dispositivo y generaron el token digital en horas de la madrugada; son movimientos sospechosos que por la hora y al usar otros dispositivos vulneraron la seguridad del BBVA; d) ha solicitado al BBVA revisar las cámaras del cajero automático donde realizaron dos retiros de efectivo de S/ 2500 y S/ 500 sin tarjeta, donde se podrá ver al responsable y autor; e) </w:t>
      </w:r>
      <w:r w:rsidRPr="2CF1A6D2" w:rsidR="38E3CA7F">
        <w:rPr>
          <w:rFonts w:ascii="Times New Roman" w:hAnsi="Times New Roman" w:cs="Times New Roman"/>
          <w:sz w:val="24"/>
          <w:szCs w:val="24"/>
          <w:lang w:val="es-PE"/>
        </w:rPr>
        <w:t>............</w:t>
      </w:r>
      <w:r w:rsidRPr="2CF1A6D2" w:rsidR="0062689C">
        <w:rPr>
          <w:rFonts w:ascii="Times New Roman" w:hAnsi="Times New Roman" w:cs="Times New Roman"/>
          <w:sz w:val="24"/>
          <w:szCs w:val="24"/>
          <w:lang w:val="es-PE"/>
        </w:rPr>
        <w:t xml:space="preserve"> le indica que el seguro de protección de tarjeta solo reconoce US$450 por las transferencias no reconocidas, por lo que solicitó una reevaluación pues no está de acuerdo porque su tarjeta puede cubrir hasta US$10,000, por concepto de transacciones no reconocidas vía internet; tiene dos préstamos inmediatos que no fueron validados ni se usaron las huelas biométricas; f) añade que la póliza sí cubre el uso indebido por compra fraudulenta vía internet, y que la página web oficial del BBVA permite la opción de realizar compras de productos, incluyendo préstamos inmediatos, por lo que en este caso existió la compra fraudulenta vía internet del producto préstamo inmediato, es decir el préstamo inmediato virtual es un producto que se adquiere a través del Banco y debe ser </w:t>
      </w:r>
      <w:r w:rsidRPr="2CF1A6D2" w:rsidR="0062689C">
        <w:rPr>
          <w:rFonts w:ascii="Times New Roman" w:hAnsi="Times New Roman" w:cs="Times New Roman"/>
          <w:sz w:val="24"/>
          <w:szCs w:val="24"/>
          <w:lang w:val="es-PE"/>
        </w:rPr>
        <w:t xml:space="preserve">cubierto como compra fraudulenta; g) la póliza no excluye préstamos bancarios por lo que no se encuentra conforme con la respuesta; la decisión de declarar infundado su reclamo está parcializada y ha sido basada en información que no fue pactada en la póliza, son dos productos adquiridos fraudulentamente por montos elevados de S/33,000 en horario sospechosos (2am) que lo han perjudicado; h) las dos sustracciones de dinero por cajero automático se encuentran categorizadas como robo de dinero en cajero BBVA y cubren hasta US$1,000; por lo que solicita se le otorgue la cobertura de seguro. </w:t>
      </w:r>
    </w:p>
    <w:p w:rsidRPr="0062689C" w:rsidR="0062689C" w:rsidP="0062689C" w:rsidRDefault="0062689C" w14:paraId="550ED049"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34596D9E"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Que, por su parte y en resumen la compañía de seguros sostiene que: a) han rechazado la cobertura de seguro por las operaciones de préstamo toda vez que los préstamos bancarios no corresponden a un riesgo asegurado bajo la póliza, y no corresponde dar cobertura a hechos no estipulados en el contrato; la cobertura se limita a las transferencias no autorizadas realizadas desde cuentas corrientes o de ahorros, además la póliza establece un límite máximo anual de US$450  para ese tipo de siniestros; b) el asegurado también invoca la cobertura por compras por internet; no obstante, esta se activa cuando se ha sido víctima de robo o hurto de tarjeta, siendo que en este caso el robo fue de celular; c) no cabe que la compañía brinde una cobertura si es que de los propios hechos descritos y medios probatorios se desprende que no se cumple con la condición establecida en el contrato de seguro para cubrir ese tipo de siniestro; por lo que solicitan que el reclamo sea declarado infundado.</w:t>
      </w:r>
    </w:p>
    <w:p w:rsidRPr="0062689C" w:rsidR="0062689C" w:rsidP="0062689C" w:rsidRDefault="0062689C" w14:paraId="65CF0BDB"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5306B902" w14:textId="646B0A9F">
      <w:pPr>
        <w:spacing w:after="0" w:line="240" w:lineRule="atLeast"/>
        <w:jc w:val="both"/>
        <w:rPr>
          <w:rFonts w:ascii="Times New Roman" w:hAnsi="Times New Roman" w:cs="Times New Roman"/>
          <w:sz w:val="24"/>
          <w:szCs w:val="24"/>
          <w:lang w:val="es-PE"/>
        </w:rPr>
      </w:pPr>
      <w:r w:rsidRPr="2CF1A6D2" w:rsidR="0062689C">
        <w:rPr>
          <w:rFonts w:ascii="Times New Roman" w:hAnsi="Times New Roman" w:cs="Times New Roman"/>
          <w:sz w:val="24"/>
          <w:szCs w:val="24"/>
          <w:lang w:val="es-PE"/>
        </w:rPr>
        <w:t xml:space="preserve">Que mediante escrito adicional de fecha 13 de agosto de 2025, la aseguradora reiteró sus argumentos de rechazo y expuso las razones por las cuales considera que el préstamo virtual solicitado a través de internet o aplicativos móviles no califica como una compra por internet como sostiene el reclamante, señalando que ello es debido a que los préstamos son operaciones financieras que implican disposición directa de fondos, sin transacción comercial de bienes o servicios en plataformas de correo electrónico. </w:t>
      </w:r>
      <w:r w:rsidRPr="2CF1A6D2" w:rsidR="38E3CA7F">
        <w:rPr>
          <w:rFonts w:ascii="Times New Roman" w:hAnsi="Times New Roman" w:cs="Times New Roman"/>
          <w:sz w:val="24"/>
          <w:szCs w:val="24"/>
          <w:lang w:val="es-PE"/>
        </w:rPr>
        <w:t>............</w:t>
      </w:r>
      <w:r w:rsidRPr="2CF1A6D2" w:rsidR="0062689C">
        <w:rPr>
          <w:rFonts w:ascii="Times New Roman" w:hAnsi="Times New Roman" w:cs="Times New Roman"/>
          <w:sz w:val="24"/>
          <w:szCs w:val="24"/>
          <w:lang w:val="es-PE"/>
        </w:rPr>
        <w:t xml:space="preserve"> además señala que sí reconoce la cobertura patrimonial por transferencias, pero solo hasta el límite establecido en la póliza, ascendente a US$450, manifiesta, asimismo, que dicha suma ha sido pagada; no obstante, no se ha acreditado dicho pago ante esta Defensoría.</w:t>
      </w:r>
    </w:p>
    <w:p w:rsidRPr="0062689C" w:rsidR="0062689C" w:rsidP="0062689C" w:rsidRDefault="0062689C" w14:paraId="43F46382"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119A4DA4"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67A15721" w14:textId="77777777">
      <w:pPr>
        <w:spacing w:after="0" w:line="240" w:lineRule="atLeast"/>
        <w:jc w:val="both"/>
        <w:rPr>
          <w:rFonts w:ascii="Times New Roman" w:hAnsi="Times New Roman" w:cs="Times New Roman"/>
          <w:b/>
          <w:sz w:val="24"/>
          <w:szCs w:val="24"/>
          <w:lang w:val="es-PE"/>
        </w:rPr>
      </w:pPr>
      <w:r w:rsidRPr="0062689C">
        <w:rPr>
          <w:rFonts w:ascii="Times New Roman" w:hAnsi="Times New Roman" w:cs="Times New Roman"/>
          <w:b/>
          <w:sz w:val="24"/>
          <w:szCs w:val="24"/>
          <w:lang w:val="es-PE"/>
        </w:rPr>
        <w:t xml:space="preserve">CONSIDERANDO: </w:t>
      </w:r>
    </w:p>
    <w:p w:rsidRPr="0062689C" w:rsidR="0062689C" w:rsidP="0062689C" w:rsidRDefault="0062689C" w14:paraId="339882ED"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7CE39430"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b/>
          <w:bCs/>
          <w:sz w:val="24"/>
          <w:szCs w:val="24"/>
          <w:u w:val="single"/>
          <w:lang w:val="es-PE"/>
        </w:rPr>
        <w:t>PRIMERO:</w:t>
      </w:r>
      <w:r w:rsidRPr="0062689C">
        <w:rPr>
          <w:rFonts w:ascii="Times New Roman" w:hAnsi="Times New Roman" w:cs="Times New Roman"/>
          <w:sz w:val="24"/>
          <w:szCs w:val="24"/>
          <w:lang w:val="es-PE"/>
        </w:rPr>
        <w:t xml:space="preserve"> Conforme a su Reglamento, la 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2689C" w:rsidR="0062689C" w:rsidP="0062689C" w:rsidRDefault="0062689C" w14:paraId="41B8EA53"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6E0259C7"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b/>
          <w:bCs/>
          <w:sz w:val="24"/>
          <w:szCs w:val="24"/>
          <w:u w:val="single"/>
          <w:lang w:val="es-PE"/>
        </w:rPr>
        <w:t>SEGUNDO:</w:t>
      </w:r>
      <w:r w:rsidRPr="0062689C">
        <w:rPr>
          <w:rFonts w:ascii="Times New Roman" w:hAnsi="Times New Roman" w:cs="Times New Roman"/>
          <w:sz w:val="24"/>
          <w:szCs w:val="24"/>
          <w:lang w:val="es-PE"/>
        </w:rPr>
        <w:t xml:space="preserve"> 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2689C" w:rsidR="0062689C" w:rsidP="0062689C" w:rsidRDefault="0062689C" w14:paraId="6B3B0926" w14:textId="77777777">
      <w:pPr>
        <w:spacing w:after="0" w:line="240" w:lineRule="atLeast"/>
        <w:jc w:val="both"/>
        <w:rPr>
          <w:rFonts w:ascii="Times New Roman" w:hAnsi="Times New Roman" w:cs="Times New Roman"/>
          <w:b/>
          <w:bCs/>
          <w:sz w:val="24"/>
          <w:szCs w:val="24"/>
          <w:u w:val="single"/>
          <w:lang w:val="es-PE"/>
        </w:rPr>
      </w:pPr>
    </w:p>
    <w:p w:rsidRPr="0062689C" w:rsidR="0062689C" w:rsidP="0062689C" w:rsidRDefault="0062689C" w14:paraId="52DAD956"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b/>
          <w:bCs/>
          <w:sz w:val="24"/>
          <w:szCs w:val="24"/>
          <w:u w:val="single"/>
          <w:lang w:val="es-PE"/>
        </w:rPr>
        <w:t>TERCERO</w:t>
      </w:r>
      <w:r w:rsidRPr="0062689C">
        <w:rPr>
          <w:rFonts w:ascii="Times New Roman" w:hAnsi="Times New Roman" w:cs="Times New Roman"/>
          <w:b/>
          <w:bCs/>
          <w:sz w:val="24"/>
          <w:szCs w:val="24"/>
          <w:lang w:val="es-PE"/>
        </w:rPr>
        <w:t>:</w:t>
      </w:r>
      <w:r w:rsidRPr="0062689C">
        <w:rPr>
          <w:rFonts w:ascii="Times New Roman" w:hAnsi="Times New Roman" w:cs="Times New Roman"/>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2689C" w:rsidR="0062689C" w:rsidP="0062689C" w:rsidRDefault="0062689C" w14:paraId="30D08CB0" w14:textId="77777777">
      <w:pPr>
        <w:spacing w:after="0" w:line="240" w:lineRule="atLeast"/>
        <w:jc w:val="both"/>
        <w:rPr>
          <w:rFonts w:ascii="Times New Roman" w:hAnsi="Times New Roman" w:cs="Times New Roman"/>
          <w:b/>
          <w:sz w:val="24"/>
          <w:szCs w:val="24"/>
          <w:u w:val="single"/>
          <w:lang w:val="es-PE"/>
        </w:rPr>
      </w:pPr>
    </w:p>
    <w:p w:rsidRPr="0062689C" w:rsidR="0062689C" w:rsidP="0062689C" w:rsidRDefault="0062689C" w14:paraId="4BB20A9D"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b/>
          <w:sz w:val="24"/>
          <w:szCs w:val="24"/>
          <w:u w:val="single"/>
          <w:lang w:val="es-PE"/>
        </w:rPr>
        <w:t>CUARTO</w:t>
      </w:r>
      <w:r w:rsidRPr="0062689C">
        <w:rPr>
          <w:rFonts w:ascii="Times New Roman" w:hAnsi="Times New Roman" w:cs="Times New Roman"/>
          <w:b/>
          <w:sz w:val="24"/>
          <w:szCs w:val="24"/>
          <w:lang w:val="es-PE"/>
        </w:rPr>
        <w:t>:</w:t>
      </w:r>
      <w:r w:rsidRPr="0062689C">
        <w:rPr>
          <w:rFonts w:ascii="Times New Roman" w:hAnsi="Times New Roman" w:cs="Times New Roman"/>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2689C" w:rsidR="0062689C" w:rsidP="0062689C" w:rsidRDefault="0062689C" w14:paraId="084DF83D" w14:textId="77777777">
      <w:pPr>
        <w:spacing w:after="0" w:line="240" w:lineRule="atLeast"/>
        <w:jc w:val="both"/>
        <w:rPr>
          <w:rFonts w:ascii="Times New Roman" w:hAnsi="Times New Roman" w:cs="Times New Roman"/>
          <w:b/>
          <w:bCs/>
          <w:sz w:val="24"/>
          <w:szCs w:val="24"/>
          <w:u w:val="single"/>
          <w:lang w:val="es-PE"/>
        </w:rPr>
      </w:pPr>
    </w:p>
    <w:p w:rsidRPr="0062689C" w:rsidR="0062689C" w:rsidP="0062689C" w:rsidRDefault="0062689C" w14:paraId="3238EF6A"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b/>
          <w:bCs/>
          <w:sz w:val="24"/>
          <w:szCs w:val="24"/>
          <w:u w:val="single"/>
          <w:lang w:val="es-PE"/>
        </w:rPr>
        <w:t>QUINTO</w:t>
      </w:r>
      <w:r w:rsidRPr="0062689C">
        <w:rPr>
          <w:rFonts w:ascii="Times New Roman" w:hAnsi="Times New Roman" w:cs="Times New Roman"/>
          <w:b/>
          <w:bCs/>
          <w:sz w:val="24"/>
          <w:szCs w:val="24"/>
          <w:lang w:val="es-PE"/>
        </w:rPr>
        <w:t xml:space="preserve">: </w:t>
      </w:r>
      <w:r w:rsidRPr="0062689C">
        <w:rPr>
          <w:rFonts w:ascii="Times New Roman" w:hAnsi="Times New Roman" w:cs="Times New Roman"/>
          <w:sz w:val="24"/>
          <w:szCs w:val="24"/>
          <w:lang w:val="es-PE"/>
        </w:rPr>
        <w:t>En materia procesal, corresponde a quien invoca hechos probar su existencia, carga procesal a la que refiere el artículo 196 del Código Procesal Civil, salvo que se acoja a alguna presunción legal de carácter relativo o absoluto.</w:t>
      </w:r>
    </w:p>
    <w:p w:rsidRPr="0062689C" w:rsidR="0062689C" w:rsidP="0062689C" w:rsidRDefault="0062689C" w14:paraId="4D457246" w14:textId="77777777">
      <w:pPr>
        <w:spacing w:after="0" w:line="240" w:lineRule="atLeast"/>
        <w:jc w:val="both"/>
        <w:rPr>
          <w:rFonts w:ascii="Times New Roman" w:hAnsi="Times New Roman" w:cs="Times New Roman"/>
          <w:b/>
          <w:sz w:val="24"/>
          <w:szCs w:val="24"/>
          <w:u w:val="single"/>
          <w:lang w:val="es-PE"/>
        </w:rPr>
      </w:pPr>
    </w:p>
    <w:p w:rsidRPr="0062689C" w:rsidR="0062689C" w:rsidP="0062689C" w:rsidRDefault="0062689C" w14:paraId="7C3DCD2E"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b/>
          <w:sz w:val="24"/>
          <w:szCs w:val="24"/>
          <w:u w:val="single"/>
          <w:lang w:val="es-PE"/>
        </w:rPr>
        <w:t>SEXTO</w:t>
      </w:r>
      <w:r w:rsidRPr="0062689C">
        <w:rPr>
          <w:rFonts w:ascii="Times New Roman" w:hAnsi="Times New Roman" w:cs="Times New Roman"/>
          <w:b/>
          <w:sz w:val="24"/>
          <w:szCs w:val="24"/>
          <w:lang w:val="es-PE"/>
        </w:rPr>
        <w:t>:</w:t>
      </w:r>
      <w:r w:rsidRPr="0062689C">
        <w:rPr>
          <w:rFonts w:ascii="Times New Roman" w:hAnsi="Times New Roman" w:cs="Times New Roman"/>
          <w:sz w:val="24"/>
          <w:szCs w:val="24"/>
          <w:lang w:val="es-PE"/>
        </w:rPr>
        <w:t xml:space="preserve"> De acuerdo con los términos contenidos en el rechazo, la reclamación y en la respectiva absolución, la solución de la presente controversia consiste en determinar si en el presente caso el siniestro corresponde o no a un riesgo bajo cobertura del seguro contratado.</w:t>
      </w:r>
    </w:p>
    <w:p w:rsidRPr="0062689C" w:rsidR="0062689C" w:rsidP="0062689C" w:rsidRDefault="0062689C" w14:paraId="69F5512C" w14:textId="77777777">
      <w:pPr>
        <w:spacing w:after="0" w:line="240" w:lineRule="atLeast"/>
        <w:jc w:val="both"/>
        <w:rPr>
          <w:rFonts w:ascii="Times New Roman" w:hAnsi="Times New Roman" w:cs="Times New Roman"/>
          <w:b/>
          <w:sz w:val="24"/>
          <w:szCs w:val="24"/>
          <w:u w:val="single"/>
          <w:lang w:val="es-PE"/>
        </w:rPr>
      </w:pPr>
    </w:p>
    <w:p w:rsidRPr="0062689C" w:rsidR="0062689C" w:rsidP="0062689C" w:rsidRDefault="0062689C" w14:paraId="033801BE" w14:textId="1D730E1D">
      <w:pPr>
        <w:spacing w:after="0" w:line="240" w:lineRule="atLeast"/>
        <w:jc w:val="both"/>
        <w:rPr>
          <w:rFonts w:ascii="Times New Roman" w:hAnsi="Times New Roman" w:cs="Times New Roman"/>
          <w:sz w:val="24"/>
          <w:szCs w:val="24"/>
          <w:lang w:val="es-PE"/>
        </w:rPr>
      </w:pPr>
      <w:r w:rsidRPr="2CF1A6D2" w:rsidR="0062689C">
        <w:rPr>
          <w:rFonts w:ascii="Times New Roman" w:hAnsi="Times New Roman" w:cs="Times New Roman"/>
          <w:b w:val="1"/>
          <w:bCs w:val="1"/>
          <w:sz w:val="24"/>
          <w:szCs w:val="24"/>
          <w:u w:val="single"/>
          <w:lang w:val="es-PE"/>
        </w:rPr>
        <w:t>SÉPTIMO</w:t>
      </w:r>
      <w:r w:rsidRPr="2CF1A6D2" w:rsidR="0062689C">
        <w:rPr>
          <w:rFonts w:ascii="Times New Roman" w:hAnsi="Times New Roman" w:cs="Times New Roman"/>
          <w:b w:val="1"/>
          <w:bCs w:val="1"/>
          <w:sz w:val="24"/>
          <w:szCs w:val="24"/>
          <w:lang w:val="es-PE"/>
        </w:rPr>
        <w:t>:</w:t>
      </w:r>
      <w:r w:rsidRPr="2CF1A6D2" w:rsidR="0062689C">
        <w:rPr>
          <w:rFonts w:ascii="Times New Roman" w:hAnsi="Times New Roman" w:cs="Times New Roman"/>
          <w:sz w:val="24"/>
          <w:szCs w:val="24"/>
          <w:lang w:val="es-PE"/>
        </w:rPr>
        <w:t xml:space="preserve"> Este colegiado destaca, en primer lugar, que corresponde deslindar claramente que las relaciones comerciales y jurídicas que mantenga la reclamante con la entidad bancaria emisora de tarjetas de débito y/o crédito son independientes de las que mantiene con </w:t>
      </w:r>
      <w:r w:rsidRPr="2CF1A6D2" w:rsidR="49029586">
        <w:rPr>
          <w:rFonts w:ascii="Times New Roman" w:hAnsi="Times New Roman" w:cs="Times New Roman"/>
          <w:sz w:val="24"/>
          <w:szCs w:val="24"/>
          <w:lang w:val="es-PE"/>
        </w:rPr>
        <w:t>..................................</w:t>
      </w:r>
      <w:r w:rsidRPr="2CF1A6D2" w:rsidR="0062689C">
        <w:rPr>
          <w:rFonts w:ascii="Times New Roman" w:hAnsi="Times New Roman" w:cs="Times New Roman"/>
          <w:sz w:val="24"/>
          <w:szCs w:val="24"/>
          <w:lang w:val="es-PE"/>
        </w:rPr>
        <w:t xml:space="preserve">, empresa esta última distinta al señalado banco.  </w:t>
      </w:r>
    </w:p>
    <w:p w:rsidRPr="0062689C" w:rsidR="0062689C" w:rsidP="0062689C" w:rsidRDefault="0062689C" w14:paraId="16A79A10"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36CE0898" w14:textId="55E9545C">
      <w:pPr>
        <w:spacing w:after="0" w:line="240" w:lineRule="atLeast"/>
        <w:jc w:val="both"/>
        <w:rPr>
          <w:rFonts w:ascii="Times New Roman" w:hAnsi="Times New Roman" w:cs="Times New Roman"/>
          <w:sz w:val="24"/>
          <w:szCs w:val="24"/>
          <w:lang w:val="es-PE"/>
        </w:rPr>
      </w:pPr>
      <w:r w:rsidRPr="2CF1A6D2" w:rsidR="0062689C">
        <w:rPr>
          <w:rFonts w:ascii="Times New Roman" w:hAnsi="Times New Roman" w:cs="Times New Roman"/>
          <w:sz w:val="24"/>
          <w:szCs w:val="24"/>
          <w:lang w:val="es-PE"/>
        </w:rPr>
        <w:t xml:space="preserve">Conforme a ello, cualquier disconformidad del reclamante respecto al servicio financiero recibido (siendo que el asegurado considera que se estaba realizando una operación inusual y sospechosa en horas de la madrugada, en este caso un préstamo inmediato que habría sido gestionado fraudulentamente) es ajena a la relación contractual que mantiene con </w:t>
      </w:r>
      <w:r w:rsidRPr="2CF1A6D2" w:rsidR="49029586">
        <w:rPr>
          <w:rFonts w:ascii="Times New Roman" w:hAnsi="Times New Roman" w:cs="Times New Roman"/>
          <w:sz w:val="24"/>
          <w:szCs w:val="24"/>
          <w:lang w:val="es-PE"/>
        </w:rPr>
        <w:t>..................................</w:t>
      </w:r>
      <w:r w:rsidRPr="2CF1A6D2" w:rsidR="0062689C">
        <w:rPr>
          <w:rFonts w:ascii="Times New Roman" w:hAnsi="Times New Roman" w:cs="Times New Roman"/>
          <w:sz w:val="24"/>
          <w:szCs w:val="24"/>
          <w:lang w:val="es-PE"/>
        </w:rPr>
        <w:t xml:space="preserve">, independientemente que la póliza se haya contratado a través de la entidad financiera. </w:t>
      </w:r>
    </w:p>
    <w:p w:rsidRPr="0062689C" w:rsidR="0062689C" w:rsidP="0062689C" w:rsidRDefault="0062689C" w14:paraId="192C8337"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5BB2A035"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Lo que corresponde en este caso, es analizar si las operaciones cubiertas por el seguro realizadas con la tarjeta </w:t>
      </w:r>
      <w:proofErr w:type="gramStart"/>
      <w:r w:rsidRPr="0062689C">
        <w:rPr>
          <w:rFonts w:ascii="Times New Roman" w:hAnsi="Times New Roman" w:cs="Times New Roman"/>
          <w:sz w:val="24"/>
          <w:szCs w:val="24"/>
          <w:lang w:val="es-PE"/>
        </w:rPr>
        <w:t>asegurada,</w:t>
      </w:r>
      <w:proofErr w:type="gramEnd"/>
      <w:r w:rsidRPr="0062689C">
        <w:rPr>
          <w:rFonts w:ascii="Times New Roman" w:hAnsi="Times New Roman" w:cs="Times New Roman"/>
          <w:sz w:val="24"/>
          <w:szCs w:val="24"/>
          <w:lang w:val="es-PE"/>
        </w:rPr>
        <w:t xml:space="preserve"> se han materializado; y por tanto si corresponde otorgar la cobertura de seguro solicitada respecto de las operaciones fraudulentas. </w:t>
      </w:r>
    </w:p>
    <w:p w:rsidRPr="0062689C" w:rsidR="0062689C" w:rsidP="0062689C" w:rsidRDefault="0062689C" w14:paraId="6EB8F92D"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493C3114"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Para ello se analizarán si las operaciones no reconocidas por el asegurado corresponden a aquellas cubiertas por el seguro.</w:t>
      </w:r>
    </w:p>
    <w:p w:rsidRPr="0062689C" w:rsidR="0062689C" w:rsidP="0062689C" w:rsidRDefault="0062689C" w14:paraId="25339E50" w14:textId="77777777">
      <w:pPr>
        <w:spacing w:after="0" w:line="240" w:lineRule="atLeast"/>
        <w:jc w:val="both"/>
        <w:rPr>
          <w:rFonts w:ascii="Times New Roman" w:hAnsi="Times New Roman" w:cs="Times New Roman"/>
          <w:b/>
          <w:sz w:val="24"/>
          <w:szCs w:val="24"/>
          <w:u w:val="single"/>
          <w:lang w:val="es-PE"/>
        </w:rPr>
      </w:pPr>
    </w:p>
    <w:p w:rsidRPr="0062689C" w:rsidR="0062689C" w:rsidP="0062689C" w:rsidRDefault="0062689C" w14:paraId="484D38EE"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b/>
          <w:sz w:val="24"/>
          <w:szCs w:val="24"/>
          <w:u w:val="single"/>
          <w:lang w:val="es-PE"/>
        </w:rPr>
        <w:t>OCTAVO</w:t>
      </w:r>
      <w:r w:rsidRPr="0062689C">
        <w:rPr>
          <w:rFonts w:ascii="Times New Roman" w:hAnsi="Times New Roman" w:cs="Times New Roman"/>
          <w:b/>
          <w:sz w:val="24"/>
          <w:szCs w:val="24"/>
          <w:lang w:val="es-PE"/>
        </w:rPr>
        <w:t xml:space="preserve">: </w:t>
      </w:r>
      <w:r w:rsidRPr="0062689C">
        <w:rPr>
          <w:rFonts w:ascii="Times New Roman" w:hAnsi="Times New Roman" w:cs="Times New Roman"/>
          <w:sz w:val="24"/>
          <w:szCs w:val="24"/>
          <w:lang w:val="es-PE"/>
        </w:rPr>
        <w:t>En autos obra copia de la solicitud - certificado del Seguro de Protección de Tarjeta BBVA, y se ha presentado la versión completa de dicho certificado vigente a la fecha de contratación del seguro, donde se detallan las coberturas contratadas (riesgos asegurados), siendo éstas las siguientes:</w:t>
      </w:r>
    </w:p>
    <w:p w:rsidRPr="0062689C" w:rsidR="0062689C" w:rsidP="0062689C" w:rsidRDefault="0062689C" w14:paraId="558DE271"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3F34FD0A" w14:textId="77777777">
      <w:pPr>
        <w:numPr>
          <w:ilvl w:val="0"/>
          <w:numId w:val="38"/>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Uso Indebido: Si es </w:t>
      </w:r>
      <w:proofErr w:type="gramStart"/>
      <w:r w:rsidRPr="0062689C">
        <w:rPr>
          <w:rFonts w:ascii="Times New Roman" w:hAnsi="Times New Roman" w:cs="Times New Roman"/>
          <w:sz w:val="24"/>
          <w:szCs w:val="24"/>
          <w:lang w:val="es-PE"/>
        </w:rPr>
        <w:t>que</w:t>
      </w:r>
      <w:proofErr w:type="gramEnd"/>
      <w:r w:rsidRPr="0062689C">
        <w:rPr>
          <w:rFonts w:ascii="Times New Roman" w:hAnsi="Times New Roman" w:cs="Times New Roman"/>
          <w:sz w:val="24"/>
          <w:szCs w:val="24"/>
          <w:lang w:val="es-PE"/>
        </w:rPr>
        <w:t xml:space="preserve"> por el robo, hurto de la tarjeta asegurada, sea de crédito y/o débito, personas terceras hacen uso indebido de la misma únicamente en establecimientos comerciales.</w:t>
      </w:r>
    </w:p>
    <w:p w:rsidRPr="0062689C" w:rsidR="0062689C" w:rsidP="0062689C" w:rsidRDefault="0062689C" w14:paraId="6EDC495D"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13F761BC" w14:textId="77777777">
      <w:pPr>
        <w:numPr>
          <w:ilvl w:val="0"/>
          <w:numId w:val="38"/>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Uso Forzado: Si como consecuencia del secuestro del Asegurado, se produce el uso forzado de la(s) tarjeta(s) de crédito y/o débito en un cajero automático.</w:t>
      </w:r>
    </w:p>
    <w:p w:rsidRPr="0062689C" w:rsidR="0062689C" w:rsidP="0062689C" w:rsidRDefault="0062689C" w14:paraId="146D20F9"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3996A25C" w14:textId="77777777">
      <w:pPr>
        <w:numPr>
          <w:ilvl w:val="0"/>
          <w:numId w:val="38"/>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Robo: Si al Asegurado le roban el dinero que ha retirado voluntariamente de cajeros únicamente del BBVA con tarjetas de crédito y/o débito del BBVA dentro de un radio de 200 metros del cajero.</w:t>
      </w:r>
    </w:p>
    <w:p w:rsidRPr="0062689C" w:rsidR="0062689C" w:rsidP="0062689C" w:rsidRDefault="0062689C" w14:paraId="62DF7C36"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32AD06D3" w14:textId="77777777">
      <w:pPr>
        <w:numPr>
          <w:ilvl w:val="0"/>
          <w:numId w:val="38"/>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62689C" w:rsidR="0062689C" w:rsidP="0062689C" w:rsidRDefault="0062689C" w14:paraId="32EB9303"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1273A313" w14:textId="77777777">
      <w:pPr>
        <w:numPr>
          <w:ilvl w:val="0"/>
          <w:numId w:val="38"/>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62689C" w:rsidR="0062689C" w:rsidP="0062689C" w:rsidRDefault="0062689C" w14:paraId="7943C03A"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37327758" w14:textId="77777777">
      <w:pPr>
        <w:numPr>
          <w:ilvl w:val="0"/>
          <w:numId w:val="38"/>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Muerte accidental o Invalidez Total y Permanente (ITP) por accidente a consecuencia del robo y/o secuestro con la finalidad de sustraerle o forzar el uso de sus tarjetas de crédito y/o débito (…).</w:t>
      </w:r>
    </w:p>
    <w:p w:rsidRPr="0062689C" w:rsidR="0062689C" w:rsidP="0062689C" w:rsidRDefault="0062689C" w14:paraId="261931A1"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2F91ABFB" w14:textId="77777777">
      <w:pPr>
        <w:numPr>
          <w:ilvl w:val="0"/>
          <w:numId w:val="38"/>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Reembolso de Gastos de hospitalización a consecuencia del robo y/o secuestro con la finalidad de apropiarse o realizar un uso indebido de las tarjetas de crédito y/o débito del asegurado (…).</w:t>
      </w:r>
    </w:p>
    <w:p w:rsidRPr="0062689C" w:rsidR="0062689C" w:rsidP="0062689C" w:rsidRDefault="0062689C" w14:paraId="027F8265"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70BA17BB" w14:textId="77777777">
      <w:pPr>
        <w:numPr>
          <w:ilvl w:val="0"/>
          <w:numId w:val="38"/>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62689C" w:rsidR="0062689C" w:rsidP="0062689C" w:rsidRDefault="0062689C" w14:paraId="2E2D663C"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1EB7DB99" w14:textId="77777777">
      <w:pPr>
        <w:numPr>
          <w:ilvl w:val="0"/>
          <w:numId w:val="38"/>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62689C" w:rsidR="0062689C" w:rsidP="0062689C" w:rsidRDefault="0062689C" w14:paraId="0E704138" w14:textId="77777777">
      <w:pPr>
        <w:spacing w:after="0" w:line="240" w:lineRule="atLeast"/>
        <w:jc w:val="both"/>
        <w:rPr>
          <w:rFonts w:ascii="Times New Roman" w:hAnsi="Times New Roman" w:cs="Times New Roman"/>
          <w:b/>
          <w:sz w:val="24"/>
          <w:szCs w:val="24"/>
          <w:u w:val="single"/>
          <w:lang w:val="es-MX"/>
        </w:rPr>
      </w:pPr>
    </w:p>
    <w:p w:rsidRPr="0062689C" w:rsidR="0062689C" w:rsidP="0062689C" w:rsidRDefault="0062689C" w14:paraId="0382C382"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b/>
          <w:sz w:val="24"/>
          <w:szCs w:val="24"/>
          <w:u w:val="single"/>
          <w:lang w:val="es-MX"/>
        </w:rPr>
        <w:t>NOVENO</w:t>
      </w:r>
      <w:r w:rsidRPr="0062689C">
        <w:rPr>
          <w:rFonts w:ascii="Times New Roman" w:hAnsi="Times New Roman" w:cs="Times New Roman"/>
          <w:sz w:val="24"/>
          <w:szCs w:val="24"/>
          <w:lang w:val="es-MX"/>
        </w:rPr>
        <w:t xml:space="preserve">: </w:t>
      </w:r>
      <w:r w:rsidRPr="0062689C">
        <w:rPr>
          <w:rFonts w:ascii="Times New Roman" w:hAnsi="Times New Roman" w:cs="Times New Roman"/>
          <w:sz w:val="24"/>
          <w:szCs w:val="24"/>
          <w:lang w:val="es-PE"/>
        </w:rPr>
        <w:t>En materia de seguros es aceptado que la cobertura se puede delimitar tanto positiva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identificándose los supuestos que serán rechazados de la cobertura, las exclusiones se deben aplicar literalmente, descansando su carga probatoria en la aseguradora.</w:t>
      </w:r>
    </w:p>
    <w:p w:rsidRPr="0062689C" w:rsidR="0062689C" w:rsidP="0062689C" w:rsidRDefault="0062689C" w14:paraId="4A93149D" w14:textId="77777777">
      <w:pPr>
        <w:spacing w:after="0" w:line="240" w:lineRule="atLeast"/>
        <w:jc w:val="both"/>
        <w:rPr>
          <w:rFonts w:ascii="Times New Roman" w:hAnsi="Times New Roman" w:cs="Times New Roman"/>
          <w:sz w:val="24"/>
          <w:szCs w:val="24"/>
          <w:lang w:val="es-419"/>
        </w:rPr>
      </w:pPr>
    </w:p>
    <w:p w:rsidRPr="0062689C" w:rsidR="0062689C" w:rsidP="0062689C" w:rsidRDefault="0062689C" w14:paraId="078AA255"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La póliza que nos ocupa ha delimitado el riesgo positivamente, y solo otorga cobertura en los supuestos expresamente señalados en el considerando anterior. </w:t>
      </w:r>
    </w:p>
    <w:p w:rsidRPr="0062689C" w:rsidR="0062689C" w:rsidP="0062689C" w:rsidRDefault="0062689C" w14:paraId="6C823B71"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5B2F5077"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lastRenderedPageBreak/>
        <w:t xml:space="preserve">Al respecto debe tenerse presente que, de acuerdo con la séptima regla de interpretación del contrato de seguro, establecida en el Artículo IV de la Ley 29946: </w:t>
      </w:r>
      <w:r w:rsidRPr="0062689C">
        <w:rPr>
          <w:rFonts w:ascii="Times New Roman" w:hAnsi="Times New Roman" w:cs="Times New Roman"/>
          <w:i/>
          <w:iCs/>
          <w:sz w:val="24"/>
          <w:szCs w:val="24"/>
          <w:lang w:val="es-PE"/>
        </w:rPr>
        <w:t xml:space="preserve">“La cobertura, exclusiones y, en general, la extensión del </w:t>
      </w:r>
      <w:proofErr w:type="gramStart"/>
      <w:r w:rsidRPr="0062689C">
        <w:rPr>
          <w:rFonts w:ascii="Times New Roman" w:hAnsi="Times New Roman" w:cs="Times New Roman"/>
          <w:i/>
          <w:iCs/>
          <w:sz w:val="24"/>
          <w:szCs w:val="24"/>
          <w:lang w:val="es-PE"/>
        </w:rPr>
        <w:t>riesgo</w:t>
      </w:r>
      <w:proofErr w:type="gramEnd"/>
      <w:r w:rsidRPr="0062689C">
        <w:rPr>
          <w:rFonts w:ascii="Times New Roman" w:hAnsi="Times New Roman" w:cs="Times New Roman"/>
          <w:i/>
          <w:iCs/>
          <w:sz w:val="24"/>
          <w:szCs w:val="24"/>
          <w:lang w:val="es-PE"/>
        </w:rPr>
        <w:t xml:space="preserve"> así como los derechos de los beneficiarios, previstos en el contrato de seguro, deben interpretarse literalmente”.</w:t>
      </w:r>
    </w:p>
    <w:p w:rsidRPr="0062689C" w:rsidR="0062689C" w:rsidP="0062689C" w:rsidRDefault="0062689C" w14:paraId="412ECD28"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3B814EE6"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En este caso, el robo no fue de la tarjeta de crédito, sino del celular, que tenía el aplicativo bancario y a través del cual se habrían realizado las operaciones fraudulentas. Asimismo, se han producido las siguientes operaciones no reconocidas:</w:t>
      </w:r>
    </w:p>
    <w:p w:rsidRPr="0062689C" w:rsidR="0062689C" w:rsidP="0062689C" w:rsidRDefault="0062689C" w14:paraId="6ABC9F73"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613DED12" w14:textId="77777777">
      <w:pPr>
        <w:numPr>
          <w:ilvl w:val="0"/>
          <w:numId w:val="39"/>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Dos préstamos inmediatos</w:t>
      </w:r>
    </w:p>
    <w:p w:rsidRPr="0062689C" w:rsidR="0062689C" w:rsidP="0062689C" w:rsidRDefault="0062689C" w14:paraId="1FBCB3C4" w14:textId="77777777">
      <w:pPr>
        <w:numPr>
          <w:ilvl w:val="0"/>
          <w:numId w:val="39"/>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Transferencias a terceros no reconocidas</w:t>
      </w:r>
    </w:p>
    <w:p w:rsidRPr="0062689C" w:rsidR="0062689C" w:rsidP="0062689C" w:rsidRDefault="0062689C" w14:paraId="25493315" w14:textId="77777777">
      <w:pPr>
        <w:numPr>
          <w:ilvl w:val="0"/>
          <w:numId w:val="39"/>
        </w:num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Retiros por cajero sin tarjeta</w:t>
      </w:r>
    </w:p>
    <w:p w:rsidRPr="0062689C" w:rsidR="0062689C" w:rsidP="0062689C" w:rsidRDefault="0062689C" w14:paraId="04396E0C"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2A3F656D" w14:textId="77777777">
      <w:pPr>
        <w:numPr>
          <w:ilvl w:val="0"/>
          <w:numId w:val="40"/>
        </w:numPr>
        <w:spacing w:after="0" w:line="240" w:lineRule="atLeast"/>
        <w:jc w:val="both"/>
        <w:rPr>
          <w:rFonts w:ascii="Times New Roman" w:hAnsi="Times New Roman" w:cs="Times New Roman"/>
          <w:b/>
          <w:bCs/>
          <w:i/>
          <w:iCs/>
          <w:sz w:val="24"/>
          <w:szCs w:val="24"/>
          <w:lang w:val="es-PE"/>
        </w:rPr>
      </w:pPr>
      <w:r w:rsidRPr="0062689C">
        <w:rPr>
          <w:rFonts w:ascii="Times New Roman" w:hAnsi="Times New Roman" w:cs="Times New Roman"/>
          <w:b/>
          <w:bCs/>
          <w:i/>
          <w:iCs/>
          <w:sz w:val="24"/>
          <w:szCs w:val="24"/>
          <w:lang w:val="es-PE"/>
        </w:rPr>
        <w:t>Préstamos inmediatos:</w:t>
      </w:r>
    </w:p>
    <w:p w:rsidRPr="0062689C" w:rsidR="0062689C" w:rsidP="0062689C" w:rsidRDefault="0062689C" w14:paraId="5D22E0BC"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1E1479D8"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Los préstamos inmediatos fueron solicitados usurpando la identidad del reclamante. No se desconoce dicha actividad fraudulenta, es solo que debe analizarse, si la misma corresponde o no un riesgo asegurado. </w:t>
      </w:r>
    </w:p>
    <w:p w:rsidRPr="0062689C" w:rsidR="0062689C" w:rsidP="0062689C" w:rsidRDefault="0062689C" w14:paraId="12931C61"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30B45E9A"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El reclamante sostiene que el préstamo califica como la compra de un producto, debido a que se puede adquirir por la web.</w:t>
      </w:r>
    </w:p>
    <w:p w:rsidRPr="0062689C" w:rsidR="0062689C" w:rsidP="0062689C" w:rsidRDefault="0062689C" w14:paraId="129DF79D"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51310851"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La cobertura uso indebido por compra fraudulenta vía internet, cubre hasta el límite máximo de US$10,000 </w:t>
      </w:r>
      <w:r w:rsidRPr="0062689C">
        <w:rPr>
          <w:rFonts w:ascii="Times New Roman" w:hAnsi="Times New Roman" w:cs="Times New Roman"/>
          <w:i/>
          <w:iCs/>
          <w:sz w:val="24"/>
          <w:szCs w:val="24"/>
          <w:lang w:val="es-PE"/>
        </w:rPr>
        <w:t xml:space="preserve">“el </w:t>
      </w:r>
      <w:r w:rsidRPr="0062689C">
        <w:rPr>
          <w:rFonts w:ascii="Times New Roman" w:hAnsi="Times New Roman" w:cs="Times New Roman"/>
          <w:b/>
          <w:bCs/>
          <w:i/>
          <w:iCs/>
          <w:sz w:val="24"/>
          <w:szCs w:val="24"/>
          <w:u w:val="single"/>
          <w:lang w:val="es-PE"/>
        </w:rPr>
        <w:t>monto que representen las compras</w:t>
      </w:r>
      <w:r w:rsidRPr="0062689C">
        <w:rPr>
          <w:rFonts w:ascii="Times New Roman" w:hAnsi="Times New Roman" w:cs="Times New Roman"/>
          <w:i/>
          <w:iCs/>
          <w:sz w:val="24"/>
          <w:szCs w:val="24"/>
          <w:lang w:val="es-PE"/>
        </w:rPr>
        <w:t xml:space="preserve"> fraudulentas con la tarjeta de crédito y/o débito BBVA sin la autorización y conocimiento del Titular, realizadas hasta 60 días antes de la fecha de bloqueo de la tarjeta involucrada”.</w:t>
      </w:r>
      <w:r w:rsidRPr="0062689C">
        <w:rPr>
          <w:rFonts w:ascii="Times New Roman" w:hAnsi="Times New Roman" w:cs="Times New Roman"/>
          <w:sz w:val="24"/>
          <w:szCs w:val="24"/>
          <w:lang w:val="es-PE"/>
        </w:rPr>
        <w:t xml:space="preserve"> El resaltado y subrayado es nuestro.</w:t>
      </w:r>
    </w:p>
    <w:p w:rsidRPr="0062689C" w:rsidR="0062689C" w:rsidP="0062689C" w:rsidRDefault="0062689C" w14:paraId="6118F3CD" w14:textId="77777777">
      <w:pPr>
        <w:spacing w:after="0" w:line="240" w:lineRule="atLeast"/>
        <w:jc w:val="both"/>
        <w:rPr>
          <w:rFonts w:ascii="Times New Roman" w:hAnsi="Times New Roman" w:cs="Times New Roman"/>
          <w:i/>
          <w:iCs/>
          <w:sz w:val="24"/>
          <w:szCs w:val="24"/>
          <w:lang w:val="es-PE"/>
        </w:rPr>
      </w:pPr>
    </w:p>
    <w:p w:rsidRPr="0062689C" w:rsidR="0062689C" w:rsidP="0062689C" w:rsidRDefault="0062689C" w14:paraId="154DDA4A"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La suma asegurada en este caso es el monto de dicho bien (compra) adquirida, hasta el límite asegurado previsto en la póliza.</w:t>
      </w:r>
    </w:p>
    <w:p w:rsidRPr="0062689C" w:rsidR="0062689C" w:rsidP="0062689C" w:rsidRDefault="0062689C" w14:paraId="66BC020D"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55A79D44"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Para encontrarnos ante el supuesto cubierto por el seguro, debe existir no solo una compra, sino además un pago hecho desde las cuentas del asegurado para adquirir dicha compra fraudulenta; y lo que cubre la póliza es “el monto que representa dicha compra”, pues este es el perjuicio económico sufrido por el asegurado, respecto de la compra no adquirida (no reconocida o adquirida por el tercero fraudulentamente) cobertura que se da hasta el límite previsto en la póliza.  </w:t>
      </w:r>
    </w:p>
    <w:p w:rsidRPr="0062689C" w:rsidR="0062689C" w:rsidP="0062689C" w:rsidRDefault="0062689C" w14:paraId="1A490CCD"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7F7CD8CE"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En este caso, no se utilizaron los fondos del asegurado para adquirir un bien o un servicio; sino que se solicitó un préstamo usurpando la identidad del asegurado. Ello no implicó un cargo que afectara la cuenta del asegurado, sino por el contrario, que el Banco le concediera un préstamo, ingresando dinero a sus cuentas. En otras palabras, se produjo un desembolso a favor del asegurado, con motivo de una operación de financiamiento supuestamente solicitada por el asegurado. Si los montos no hubieran sido retirados, dicho dinero hubiera quedado en la cuenta del asegurado. </w:t>
      </w:r>
    </w:p>
    <w:p w:rsidRPr="0062689C" w:rsidR="0062689C" w:rsidP="0062689C" w:rsidRDefault="0062689C" w14:paraId="739649D9"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679C0324"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El abono de dicho préstamo (independientemente de que no fuera solicitado por el reclamante y/o lo fuera o no fraudulentamente), generó que el asegurado cuente con mayores fondos que luego fueron transferidos y/o retirados a terceros (operaciones que serán analizadas en literales </w:t>
      </w:r>
      <w:r w:rsidRPr="0062689C">
        <w:rPr>
          <w:rFonts w:ascii="Times New Roman" w:hAnsi="Times New Roman" w:cs="Times New Roman"/>
          <w:sz w:val="24"/>
          <w:szCs w:val="24"/>
          <w:lang w:val="es-PE"/>
        </w:rPr>
        <w:lastRenderedPageBreak/>
        <w:t xml:space="preserve">b) y c) siguientes). El préstamo en </w:t>
      </w:r>
      <w:proofErr w:type="gramStart"/>
      <w:r w:rsidRPr="0062689C">
        <w:rPr>
          <w:rFonts w:ascii="Times New Roman" w:hAnsi="Times New Roman" w:cs="Times New Roman"/>
          <w:sz w:val="24"/>
          <w:szCs w:val="24"/>
          <w:lang w:val="es-PE"/>
        </w:rPr>
        <w:t>sí,</w:t>
      </w:r>
      <w:proofErr w:type="gramEnd"/>
      <w:r w:rsidRPr="0062689C">
        <w:rPr>
          <w:rFonts w:ascii="Times New Roman" w:hAnsi="Times New Roman" w:cs="Times New Roman"/>
          <w:sz w:val="24"/>
          <w:szCs w:val="24"/>
          <w:lang w:val="es-PE"/>
        </w:rPr>
        <w:t xml:space="preserve"> no constituye un riesgo cubierto por el seguro por cuanto, por las razones expuestas, no califica como una compra por internet -reiteramos no implicó un pago por parte del asegurado producto de una adquisición no reconocida de un bien o servicio-; y, en consecuencia, no corresponde que la aseguradora abone monto alguno por dicho crédito concedido al asegurado.</w:t>
      </w:r>
    </w:p>
    <w:p w:rsidRPr="0062689C" w:rsidR="0062689C" w:rsidP="0062689C" w:rsidRDefault="0062689C" w14:paraId="673158EA"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6B2CE4DE"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El préstamo no reconocido constituye una operación entre el banco y el asegurado, ajena al contrato de seguro. </w:t>
      </w:r>
    </w:p>
    <w:p w:rsidRPr="0062689C" w:rsidR="0062689C" w:rsidP="0062689C" w:rsidRDefault="0062689C" w14:paraId="34550D03"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3DE10960" w14:textId="77777777">
      <w:pPr>
        <w:numPr>
          <w:ilvl w:val="0"/>
          <w:numId w:val="40"/>
        </w:numPr>
        <w:spacing w:after="0" w:line="240" w:lineRule="atLeast"/>
        <w:jc w:val="both"/>
        <w:rPr>
          <w:rFonts w:ascii="Times New Roman" w:hAnsi="Times New Roman" w:cs="Times New Roman"/>
          <w:b/>
          <w:bCs/>
          <w:i/>
          <w:iCs/>
          <w:sz w:val="24"/>
          <w:szCs w:val="24"/>
          <w:lang w:val="es-PE"/>
        </w:rPr>
      </w:pPr>
      <w:r w:rsidRPr="0062689C">
        <w:rPr>
          <w:rFonts w:ascii="Times New Roman" w:hAnsi="Times New Roman" w:cs="Times New Roman"/>
          <w:b/>
          <w:bCs/>
          <w:i/>
          <w:iCs/>
          <w:sz w:val="24"/>
          <w:szCs w:val="24"/>
          <w:lang w:val="es-PE"/>
        </w:rPr>
        <w:t>Transferencias no reconocidas:</w:t>
      </w:r>
    </w:p>
    <w:p w:rsidRPr="0062689C" w:rsidR="0062689C" w:rsidP="0062689C" w:rsidRDefault="0062689C" w14:paraId="7D31872E"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701BF1B5"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En lo que respecta a las transferencias a terceros, conforme fuera indicado en el octavo considerando, una de las coberturas que otorga la póliza, específicamente la última de ellas se denomina “cobertura patrimonial por transferencias”.</w:t>
      </w:r>
    </w:p>
    <w:p w:rsidRPr="0062689C" w:rsidR="0062689C" w:rsidP="0062689C" w:rsidRDefault="0062689C" w14:paraId="7B14B2A6"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64167AEC"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Esta cobertura sí ha sido reconocida por la aseguradora, es solo que lo ha sido hasta la suma de US$450.</w:t>
      </w:r>
    </w:p>
    <w:p w:rsidRPr="0062689C" w:rsidR="0062689C" w:rsidP="0062689C" w:rsidRDefault="0062689C" w14:paraId="4D7689DF"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57941D8E"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Bajo esta cobertura, sí se cubre el dinero transferido desde la cuenta del asegurado a terceros usando claves y contraseñas, sin autorización del asegurado; sin embargo, la póliza contempla como suma asegurada límite, la suma de US$ 450 al año; y, en consecuencia, no corresponde que la aseguradora reembolse el íntegro de la transferencia no reconocida, sino que dicho monto se limita a la suma de US$450. </w:t>
      </w:r>
    </w:p>
    <w:p w:rsidRPr="0062689C" w:rsidR="0062689C" w:rsidP="0062689C" w:rsidRDefault="0062689C" w14:paraId="683EBFDA"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4A530448" w14:textId="46791A6C">
      <w:pPr>
        <w:spacing w:after="0" w:line="240" w:lineRule="atLeast"/>
        <w:jc w:val="both"/>
        <w:rPr>
          <w:rFonts w:ascii="Times New Roman" w:hAnsi="Times New Roman" w:cs="Times New Roman"/>
          <w:sz w:val="24"/>
          <w:szCs w:val="24"/>
          <w:lang w:val="es-PE"/>
        </w:rPr>
      </w:pPr>
      <w:r w:rsidRPr="2CF1A6D2" w:rsidR="0062689C">
        <w:rPr>
          <w:rFonts w:ascii="Times New Roman" w:hAnsi="Times New Roman" w:cs="Times New Roman"/>
          <w:sz w:val="24"/>
          <w:szCs w:val="24"/>
          <w:lang w:val="es-PE"/>
        </w:rPr>
        <w:t xml:space="preserve">Por lo que corresponde que </w:t>
      </w:r>
      <w:r w:rsidRPr="2CF1A6D2" w:rsidR="38E3CA7F">
        <w:rPr>
          <w:rFonts w:ascii="Times New Roman" w:hAnsi="Times New Roman" w:cs="Times New Roman"/>
          <w:sz w:val="24"/>
          <w:szCs w:val="24"/>
          <w:lang w:val="es-PE"/>
        </w:rPr>
        <w:t>............</w:t>
      </w:r>
      <w:r w:rsidRPr="2CF1A6D2" w:rsidR="0062689C">
        <w:rPr>
          <w:rFonts w:ascii="Times New Roman" w:hAnsi="Times New Roman" w:cs="Times New Roman"/>
          <w:sz w:val="24"/>
          <w:szCs w:val="24"/>
          <w:lang w:val="es-PE"/>
        </w:rPr>
        <w:t xml:space="preserve"> abone al asegurado por concepto de transferencias no reconocidas (fraudulentas) la suma de US$450, que es la suma máxima prevista para dicha cobertura.</w:t>
      </w:r>
    </w:p>
    <w:p w:rsidRPr="0062689C" w:rsidR="0062689C" w:rsidP="0062689C" w:rsidRDefault="0062689C" w14:paraId="6DD8222F"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17A451B9" w14:textId="77777777">
      <w:pPr>
        <w:numPr>
          <w:ilvl w:val="0"/>
          <w:numId w:val="40"/>
        </w:numPr>
        <w:spacing w:after="0" w:line="240" w:lineRule="atLeast"/>
        <w:jc w:val="both"/>
        <w:rPr>
          <w:rFonts w:ascii="Times New Roman" w:hAnsi="Times New Roman" w:cs="Times New Roman"/>
          <w:b/>
          <w:bCs/>
          <w:i/>
          <w:iCs/>
          <w:sz w:val="24"/>
          <w:szCs w:val="24"/>
          <w:lang w:val="es-PE"/>
        </w:rPr>
      </w:pPr>
      <w:r w:rsidRPr="0062689C">
        <w:rPr>
          <w:rFonts w:ascii="Times New Roman" w:hAnsi="Times New Roman" w:cs="Times New Roman"/>
          <w:b/>
          <w:bCs/>
          <w:i/>
          <w:iCs/>
          <w:sz w:val="24"/>
          <w:szCs w:val="24"/>
          <w:lang w:val="es-PE"/>
        </w:rPr>
        <w:t>Retiro en cajero</w:t>
      </w:r>
    </w:p>
    <w:p w:rsidRPr="0062689C" w:rsidR="0062689C" w:rsidP="0062689C" w:rsidRDefault="0062689C" w14:paraId="15DFE85F"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49E246E6"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Sobre los retiros por cajero que no reconoce el asegurado, la póliza no cubre cualquier retiro por cajero, sino únicamente el dinero robado que ha retirado voluntariamente el asegurado de cajeros automáticos dentro de un radio de 200 metros del cajero.</w:t>
      </w:r>
    </w:p>
    <w:p w:rsidRPr="0062689C" w:rsidR="0062689C" w:rsidP="0062689C" w:rsidRDefault="0062689C" w14:paraId="08C6BCDA"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4B479BC3"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En efecto, las coberturas previstas en la póliza contemplan las siguientes coberturas vinculadas a cajeros automático, hasta el siguiente límite:</w:t>
      </w:r>
    </w:p>
    <w:p w:rsidRPr="0062689C" w:rsidR="0062689C" w:rsidP="0062689C" w:rsidRDefault="0062689C" w14:paraId="152F53E5"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53B239AE" w14:textId="705E8A73">
      <w:pPr>
        <w:spacing w:after="0" w:line="240" w:lineRule="atLeast"/>
        <w:jc w:val="center"/>
        <w:rPr>
          <w:rFonts w:ascii="Times New Roman" w:hAnsi="Times New Roman" w:cs="Times New Roman"/>
          <w:sz w:val="24"/>
          <w:szCs w:val="24"/>
          <w:lang w:val="es-PE"/>
        </w:rPr>
      </w:pPr>
      <w:r w:rsidRPr="0062689C">
        <w:rPr>
          <w:rFonts w:ascii="Times New Roman" w:hAnsi="Times New Roman" w:cs="Times New Roman"/>
          <w:sz w:val="24"/>
          <w:szCs w:val="24"/>
          <w:lang w:val="es-PE"/>
        </w:rPr>
        <w:drawing>
          <wp:inline distT="0" distB="0" distL="0" distR="0" wp14:anchorId="649A3A7C" wp14:editId="2F96803A">
            <wp:extent cx="4079240" cy="1375410"/>
            <wp:effectExtent l="0" t="0" r="0" b="0"/>
            <wp:docPr id="922148140"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48140" name="Imagen 2" descr="Text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79240" cy="1375410"/>
                    </a:xfrm>
                    <a:prstGeom prst="rect">
                      <a:avLst/>
                    </a:prstGeom>
                    <a:noFill/>
                    <a:ln>
                      <a:noFill/>
                    </a:ln>
                  </pic:spPr>
                </pic:pic>
              </a:graphicData>
            </a:graphic>
          </wp:inline>
        </w:drawing>
      </w:r>
    </w:p>
    <w:p w:rsidRPr="0062689C" w:rsidR="0062689C" w:rsidP="0062689C" w:rsidRDefault="0062689C" w14:paraId="775B989B"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0FFA6EB1"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En este caso, no se produjo el robo al asegurado de un dinero que él habría retirado del cajero, sino que se produjo el retiro del cajero por parte del delincuente, lo que no constituye un </w:t>
      </w:r>
      <w:r w:rsidRPr="0062689C">
        <w:rPr>
          <w:rFonts w:ascii="Times New Roman" w:hAnsi="Times New Roman" w:cs="Times New Roman"/>
          <w:sz w:val="24"/>
          <w:szCs w:val="24"/>
          <w:lang w:val="es-PE"/>
        </w:rPr>
        <w:lastRenderedPageBreak/>
        <w:t xml:space="preserve">supuesto cubierto por el seguro. Cabe señalar que tampoco se produjo un uso forzado de la tarjeta del asegurado en un cajero automático como consecuencia de un secuestro. Por lo que las figuras relacionadas con el uso de cajero cubiertas por el </w:t>
      </w:r>
      <w:proofErr w:type="gramStart"/>
      <w:r w:rsidRPr="0062689C">
        <w:rPr>
          <w:rFonts w:ascii="Times New Roman" w:hAnsi="Times New Roman" w:cs="Times New Roman"/>
          <w:sz w:val="24"/>
          <w:szCs w:val="24"/>
          <w:lang w:val="es-PE"/>
        </w:rPr>
        <w:t>seguro,</w:t>
      </w:r>
      <w:proofErr w:type="gramEnd"/>
      <w:r w:rsidRPr="0062689C">
        <w:rPr>
          <w:rFonts w:ascii="Times New Roman" w:hAnsi="Times New Roman" w:cs="Times New Roman"/>
          <w:sz w:val="24"/>
          <w:szCs w:val="24"/>
          <w:lang w:val="es-PE"/>
        </w:rPr>
        <w:t xml:space="preserve"> no corresponden al supuesto que se habría producido en el caso del reclamante.</w:t>
      </w:r>
    </w:p>
    <w:p w:rsidRPr="0062689C" w:rsidR="0062689C" w:rsidP="0062689C" w:rsidRDefault="0062689C" w14:paraId="157543DC"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4EB9144E"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Al igual que en el caso del préstamo, no se desconoce que se realizaron operaciones no reconocidas, es solo que no todas ellas constituyen riesgos cubiertos por el seguro. </w:t>
      </w:r>
    </w:p>
    <w:p w:rsidRPr="0062689C" w:rsidR="0062689C" w:rsidP="0062689C" w:rsidRDefault="0062689C" w14:paraId="2D4CD5D2"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77B398D3" w14:textId="77777777">
      <w:pPr>
        <w:spacing w:after="0" w:line="240" w:lineRule="atLeast"/>
        <w:jc w:val="both"/>
        <w:rPr>
          <w:rFonts w:ascii="Times New Roman" w:hAnsi="Times New Roman" w:cs="Times New Roman"/>
          <w:sz w:val="24"/>
          <w:szCs w:val="24"/>
          <w:lang w:val="es-PE"/>
        </w:rPr>
      </w:pPr>
      <w:r w:rsidRPr="0062689C">
        <w:rPr>
          <w:rFonts w:ascii="Times New Roman" w:hAnsi="Times New Roman" w:cs="Times New Roman"/>
          <w:sz w:val="24"/>
          <w:szCs w:val="24"/>
          <w:lang w:val="es-PE"/>
        </w:rPr>
        <w:t>Finalmente, el asegurado solicita que se entreguen los videos del cajero 1839 donde se identificarían los responsables, solicitud que corresponde ser realizada al Banco, pues conforme fue indicado en el sétimo considerando debe distinguirse la relación entre el Banco y la compañía de seguros, teniendo este colegiado competencia únicamente respecto de la compañía de seguros tratándose del rechazo o liquidación de un siniestro.</w:t>
      </w:r>
    </w:p>
    <w:p w:rsidRPr="0062689C" w:rsidR="0062689C" w:rsidP="0062689C" w:rsidRDefault="0062689C" w14:paraId="3FFAD80E" w14:textId="77777777">
      <w:pPr>
        <w:spacing w:after="0" w:line="240" w:lineRule="atLeast"/>
        <w:jc w:val="both"/>
        <w:rPr>
          <w:rFonts w:ascii="Times New Roman" w:hAnsi="Times New Roman" w:cs="Times New Roman"/>
          <w:b/>
          <w:sz w:val="24"/>
          <w:szCs w:val="24"/>
          <w:lang w:val="es-PE"/>
        </w:rPr>
      </w:pPr>
    </w:p>
    <w:p w:rsidRPr="0062689C" w:rsidR="0062689C" w:rsidP="0062689C" w:rsidRDefault="0062689C" w14:paraId="153F5F3D" w14:textId="77777777">
      <w:pPr>
        <w:spacing w:after="0" w:line="240" w:lineRule="atLeast"/>
        <w:jc w:val="both"/>
        <w:rPr>
          <w:rFonts w:ascii="Times New Roman" w:hAnsi="Times New Roman" w:cs="Times New Roman"/>
          <w:b/>
          <w:sz w:val="24"/>
          <w:szCs w:val="24"/>
          <w:lang w:val="es-PE"/>
        </w:rPr>
      </w:pPr>
      <w:r w:rsidRPr="0062689C">
        <w:rPr>
          <w:rFonts w:ascii="Times New Roman" w:hAnsi="Times New Roman" w:cs="Times New Roman"/>
          <w:b/>
          <w:sz w:val="24"/>
          <w:szCs w:val="24"/>
          <w:lang w:val="es-PE"/>
        </w:rPr>
        <w:t>ATENDIENDO A LO EXPRESADO, ESTE COLEGIADO CONCLUYE SU APRECIACIÓN RAZONADA Y CONJUNTA AL AMPARO DE LO ESTABLECIDO EN EL REGLAMENTO DE LA DEFASEG, POR LO QUE:</w:t>
      </w:r>
    </w:p>
    <w:p w:rsidRPr="0062689C" w:rsidR="0062689C" w:rsidP="0062689C" w:rsidRDefault="0062689C" w14:paraId="3B356BF2" w14:textId="77777777">
      <w:pPr>
        <w:spacing w:after="0" w:line="240" w:lineRule="atLeast"/>
        <w:jc w:val="both"/>
        <w:rPr>
          <w:rFonts w:ascii="Times New Roman" w:hAnsi="Times New Roman" w:cs="Times New Roman"/>
          <w:b/>
          <w:sz w:val="24"/>
          <w:szCs w:val="24"/>
          <w:lang w:val="es-PE"/>
        </w:rPr>
      </w:pPr>
    </w:p>
    <w:p w:rsidRPr="0062689C" w:rsidR="0062689C" w:rsidP="0062689C" w:rsidRDefault="0062689C" w14:paraId="0B7AF304" w14:textId="77777777">
      <w:pPr>
        <w:spacing w:after="0" w:line="240" w:lineRule="atLeast"/>
        <w:jc w:val="both"/>
        <w:rPr>
          <w:rFonts w:ascii="Times New Roman" w:hAnsi="Times New Roman" w:cs="Times New Roman"/>
          <w:b/>
          <w:sz w:val="24"/>
          <w:szCs w:val="24"/>
          <w:lang w:val="es-PE"/>
        </w:rPr>
      </w:pPr>
      <w:r w:rsidRPr="0062689C">
        <w:rPr>
          <w:rFonts w:ascii="Times New Roman" w:hAnsi="Times New Roman" w:cs="Times New Roman"/>
          <w:b/>
          <w:sz w:val="24"/>
          <w:szCs w:val="24"/>
          <w:lang w:val="es-PE"/>
        </w:rPr>
        <w:t>RESUELVE:</w:t>
      </w:r>
    </w:p>
    <w:p w:rsidRPr="0062689C" w:rsidR="0062689C" w:rsidP="0062689C" w:rsidRDefault="0062689C" w14:paraId="06C99A9A" w14:textId="77777777">
      <w:pPr>
        <w:spacing w:after="0" w:line="240" w:lineRule="atLeast"/>
        <w:jc w:val="both"/>
        <w:rPr>
          <w:rFonts w:ascii="Times New Roman" w:hAnsi="Times New Roman" w:cs="Times New Roman"/>
          <w:sz w:val="24"/>
          <w:szCs w:val="24"/>
          <w:lang w:val="es-PE"/>
        </w:rPr>
      </w:pPr>
    </w:p>
    <w:p w:rsidRPr="0062689C" w:rsidR="0062689C" w:rsidP="0062689C" w:rsidRDefault="0062689C" w14:paraId="7F3CB79F" w14:textId="34757C97">
      <w:pPr>
        <w:spacing w:after="0" w:line="240" w:lineRule="atLeast"/>
        <w:jc w:val="both"/>
        <w:rPr>
          <w:rFonts w:ascii="Times New Roman" w:hAnsi="Times New Roman" w:cs="Times New Roman"/>
          <w:sz w:val="24"/>
          <w:szCs w:val="24"/>
          <w:lang w:val="es-MX"/>
        </w:rPr>
      </w:pPr>
      <w:r w:rsidRPr="2CF1A6D2" w:rsidR="0062689C">
        <w:rPr>
          <w:rFonts w:ascii="Times New Roman" w:hAnsi="Times New Roman" w:cs="Times New Roman"/>
          <w:sz w:val="24"/>
          <w:szCs w:val="24"/>
          <w:lang w:val="es-PE"/>
        </w:rPr>
        <w:t>Declarar</w:t>
      </w:r>
      <w:r w:rsidRPr="2CF1A6D2" w:rsidR="0062689C">
        <w:rPr>
          <w:rFonts w:ascii="Times New Roman" w:hAnsi="Times New Roman" w:cs="Times New Roman"/>
          <w:b w:val="1"/>
          <w:bCs w:val="1"/>
          <w:sz w:val="24"/>
          <w:szCs w:val="24"/>
          <w:lang w:val="es-PE"/>
        </w:rPr>
        <w:t xml:space="preserve"> INFUNDADA </w:t>
      </w:r>
      <w:r w:rsidRPr="2CF1A6D2" w:rsidR="0062689C">
        <w:rPr>
          <w:rFonts w:ascii="Times New Roman" w:hAnsi="Times New Roman" w:cs="Times New Roman"/>
          <w:sz w:val="24"/>
          <w:szCs w:val="24"/>
          <w:lang w:val="es-PE"/>
        </w:rPr>
        <w:t>la reclamación</w:t>
      </w:r>
      <w:r w:rsidRPr="2CF1A6D2" w:rsidR="0062689C">
        <w:rPr>
          <w:rFonts w:ascii="Times New Roman" w:hAnsi="Times New Roman" w:cs="Times New Roman"/>
          <w:b w:val="1"/>
          <w:bCs w:val="1"/>
          <w:sz w:val="24"/>
          <w:szCs w:val="24"/>
          <w:lang w:val="es-PE"/>
        </w:rPr>
        <w:t xml:space="preserve"> </w:t>
      </w:r>
      <w:r w:rsidRPr="2CF1A6D2" w:rsidR="0062689C">
        <w:rPr>
          <w:rFonts w:ascii="Times New Roman" w:hAnsi="Times New Roman" w:cs="Times New Roman"/>
          <w:sz w:val="24"/>
          <w:szCs w:val="24"/>
          <w:lang w:val="es-PE"/>
        </w:rPr>
        <w:t>interpuesta</w:t>
      </w:r>
      <w:r w:rsidRPr="2CF1A6D2" w:rsidR="0062689C">
        <w:rPr>
          <w:rFonts w:ascii="Times New Roman" w:hAnsi="Times New Roman" w:cs="Times New Roman"/>
          <w:sz w:val="24"/>
          <w:szCs w:val="24"/>
          <w:lang w:val="es-MX"/>
        </w:rPr>
        <w:t xml:space="preserve"> por</w:t>
      </w:r>
      <w:r w:rsidRPr="2CF1A6D2" w:rsidR="0062689C">
        <w:rPr>
          <w:rFonts w:ascii="Times New Roman" w:hAnsi="Times New Roman" w:cs="Times New Roman"/>
          <w:b w:val="1"/>
          <w:bCs w:val="1"/>
          <w:sz w:val="24"/>
          <w:szCs w:val="24"/>
          <w:lang w:val="es-MX"/>
        </w:rPr>
        <w:t xml:space="preserve"> </w:t>
      </w:r>
      <w:r w:rsidRPr="2CF1A6D2" w:rsidR="3F81F918">
        <w:rPr>
          <w:rFonts w:ascii="Times New Roman" w:hAnsi="Times New Roman" w:cs="Times New Roman"/>
          <w:b w:val="1"/>
          <w:bCs w:val="1"/>
          <w:sz w:val="24"/>
          <w:szCs w:val="24"/>
          <w:lang w:val="es-MX"/>
        </w:rPr>
        <w:t>......................................................................</w:t>
      </w:r>
      <w:r w:rsidRPr="2CF1A6D2" w:rsidR="0062689C">
        <w:rPr>
          <w:rFonts w:ascii="Times New Roman" w:hAnsi="Times New Roman" w:cs="Times New Roman"/>
          <w:b w:val="1"/>
          <w:bCs w:val="1"/>
          <w:sz w:val="24"/>
          <w:szCs w:val="24"/>
          <w:lang w:val="es-MX"/>
        </w:rPr>
        <w:t xml:space="preserve"> </w:t>
      </w:r>
      <w:r w:rsidRPr="2CF1A6D2" w:rsidR="0062689C">
        <w:rPr>
          <w:rFonts w:ascii="Times New Roman" w:hAnsi="Times New Roman" w:cs="Times New Roman"/>
          <w:sz w:val="24"/>
          <w:szCs w:val="24"/>
          <w:lang w:val="es-PE"/>
        </w:rPr>
        <w:t xml:space="preserve">contra </w:t>
      </w:r>
      <w:r w:rsidRPr="2CF1A6D2" w:rsidR="49029586">
        <w:rPr>
          <w:rFonts w:ascii="Times New Roman" w:hAnsi="Times New Roman" w:cs="Times New Roman"/>
          <w:b w:val="1"/>
          <w:bCs w:val="1"/>
          <w:sz w:val="24"/>
          <w:szCs w:val="24"/>
          <w:lang w:val="es-MX"/>
        </w:rPr>
        <w:t>..................................</w:t>
      </w:r>
      <w:r w:rsidRPr="2CF1A6D2" w:rsidR="0062689C">
        <w:rPr>
          <w:rFonts w:ascii="Times New Roman" w:hAnsi="Times New Roman" w:cs="Times New Roman"/>
          <w:b w:val="1"/>
          <w:bCs w:val="1"/>
          <w:sz w:val="24"/>
          <w:szCs w:val="24"/>
          <w:lang w:val="es-MX"/>
        </w:rPr>
        <w:t xml:space="preserve"> </w:t>
      </w:r>
      <w:r w:rsidRPr="2CF1A6D2" w:rsidR="0062689C">
        <w:rPr>
          <w:rFonts w:ascii="Times New Roman" w:hAnsi="Times New Roman" w:cs="Times New Roman"/>
          <w:sz w:val="24"/>
          <w:szCs w:val="24"/>
          <w:lang w:val="es-PE"/>
        </w:rPr>
        <w:t>correspondiente al</w:t>
      </w:r>
      <w:r w:rsidRPr="2CF1A6D2" w:rsidR="0062689C">
        <w:rPr>
          <w:rFonts w:ascii="Times New Roman" w:hAnsi="Times New Roman" w:cs="Times New Roman"/>
          <w:b w:val="1"/>
          <w:bCs w:val="1"/>
          <w:sz w:val="24"/>
          <w:szCs w:val="24"/>
          <w:lang w:val="es-MX"/>
        </w:rPr>
        <w:t xml:space="preserve"> SEGURO DE PROTECCIÓN DE TARJETA</w:t>
      </w:r>
      <w:r w:rsidRPr="2CF1A6D2" w:rsidR="0062689C">
        <w:rPr>
          <w:rFonts w:ascii="Times New Roman" w:hAnsi="Times New Roman" w:cs="Times New Roman"/>
          <w:sz w:val="24"/>
          <w:szCs w:val="24"/>
          <w:lang w:val="es-MX"/>
        </w:rPr>
        <w:t>; dejando a salvo el derecho del reclamante de acudir a las instancias que estime conveniente; sin perjuicio de lo cual la aseguradora debe otorgar la cobertura patrimonial por transferencias hasta el monto de US$450 conforme ha sido reconocido, si es que aún no lo hubiera hecho.</w:t>
      </w:r>
    </w:p>
    <w:p w:rsidRPr="0062689C" w:rsidR="00273117" w:rsidP="00273117" w:rsidRDefault="00273117" w14:paraId="42E2C414" w14:textId="77777777">
      <w:pPr>
        <w:spacing w:after="0" w:line="240" w:lineRule="atLeast"/>
        <w:jc w:val="both"/>
        <w:rPr>
          <w:rFonts w:ascii="Times New Roman" w:hAnsi="Times New Roman" w:cs="Times New Roman"/>
          <w:sz w:val="24"/>
          <w:szCs w:val="24"/>
          <w:lang w:val="es-PE"/>
        </w:rPr>
      </w:pPr>
    </w:p>
    <w:p w:rsidRPr="0062689C" w:rsidR="0019772B" w:rsidP="00511C64" w:rsidRDefault="0019772B" w14:paraId="40B98821" w14:textId="4B0A15EC">
      <w:pPr>
        <w:spacing w:after="200" w:line="240" w:lineRule="auto"/>
        <w:jc w:val="right"/>
        <w:rPr>
          <w:rFonts w:ascii="Times New Roman" w:hAnsi="Times New Roman" w:cs="Times New Roman"/>
          <w:sz w:val="24"/>
          <w:szCs w:val="24"/>
          <w:lang w:val="es-PE"/>
        </w:rPr>
      </w:pPr>
      <w:r w:rsidRPr="0062689C">
        <w:rPr>
          <w:rFonts w:ascii="Times New Roman" w:hAnsi="Times New Roman" w:cs="Times New Roman"/>
          <w:sz w:val="24"/>
          <w:szCs w:val="24"/>
          <w:lang w:val="es-PE"/>
        </w:rPr>
        <w:t xml:space="preserve">Lima, </w:t>
      </w:r>
      <w:r w:rsidRPr="0062689C" w:rsidR="0023190C">
        <w:rPr>
          <w:rFonts w:ascii="Times New Roman" w:hAnsi="Times New Roman" w:cs="Times New Roman"/>
          <w:sz w:val="24"/>
          <w:szCs w:val="24"/>
          <w:lang w:val="es-PE"/>
        </w:rPr>
        <w:t>2</w:t>
      </w:r>
      <w:r w:rsidRPr="0062689C" w:rsidR="00511C64">
        <w:rPr>
          <w:rFonts w:ascii="Times New Roman" w:hAnsi="Times New Roman" w:cs="Times New Roman"/>
          <w:sz w:val="24"/>
          <w:szCs w:val="24"/>
          <w:lang w:val="es-PE"/>
        </w:rPr>
        <w:t>5</w:t>
      </w:r>
      <w:r w:rsidRPr="0062689C">
        <w:rPr>
          <w:rFonts w:ascii="Times New Roman" w:hAnsi="Times New Roman" w:cs="Times New Roman"/>
          <w:sz w:val="24"/>
          <w:szCs w:val="24"/>
          <w:lang w:val="es-PE"/>
        </w:rPr>
        <w:t xml:space="preserve"> de agosto de 2025 </w:t>
      </w:r>
    </w:p>
    <w:p w:rsidRPr="0062689C" w:rsidR="0019772B" w:rsidP="00511C64" w:rsidRDefault="0019772B" w14:paraId="28A841C4"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62689C" w:rsidR="0019772B" w:rsidP="00511C64" w:rsidRDefault="0019772B" w14:paraId="59EFC5A2" w14:textId="77777777">
      <w:pPr>
        <w:spacing w:after="200" w:line="240" w:lineRule="auto"/>
        <w:jc w:val="both"/>
        <w:rPr>
          <w:rFonts w:ascii="Times New Roman" w:hAnsi="Times New Roman" w:cs="Times New Roman"/>
          <w:b/>
          <w:bCs/>
          <w:i/>
          <w:iCs/>
          <w:sz w:val="24"/>
          <w:szCs w:val="24"/>
          <w:lang w:val="es-PE"/>
        </w:rPr>
      </w:pPr>
      <w:r w:rsidRPr="0062689C">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62689C" w:rsidR="0019772B" w:rsidP="00511C64" w:rsidRDefault="0019772B" w14:paraId="5E7DB1FD" w14:textId="77777777">
      <w:pPr>
        <w:spacing w:after="200" w:line="240" w:lineRule="auto"/>
        <w:jc w:val="center"/>
        <w:rPr>
          <w:rFonts w:ascii="Times New Roman" w:hAnsi="Times New Roman" w:cs="Times New Roman"/>
          <w:b/>
          <w:bCs/>
          <w:sz w:val="24"/>
          <w:szCs w:val="24"/>
          <w:lang w:val="es-PE"/>
        </w:rPr>
      </w:pPr>
      <w:r w:rsidRPr="0062689C">
        <w:rPr>
          <w:rFonts w:ascii="Times New Roman" w:hAnsi="Times New Roman" w:cs="Times New Roman"/>
          <w:b/>
          <w:bCs/>
          <w:sz w:val="24"/>
          <w:szCs w:val="24"/>
          <w:lang w:val="es-PE"/>
        </w:rPr>
        <w:t xml:space="preserve">Rolando Eyzaguirre </w:t>
      </w:r>
      <w:proofErr w:type="spellStart"/>
      <w:r w:rsidRPr="0062689C">
        <w:rPr>
          <w:rFonts w:ascii="Times New Roman" w:hAnsi="Times New Roman" w:cs="Times New Roman"/>
          <w:b/>
          <w:bCs/>
          <w:sz w:val="24"/>
          <w:szCs w:val="24"/>
          <w:lang w:val="es-PE"/>
        </w:rPr>
        <w:t>Maccan</w:t>
      </w:r>
      <w:proofErr w:type="spellEnd"/>
      <w:r w:rsidRPr="0062689C">
        <w:rPr>
          <w:rFonts w:ascii="Times New Roman" w:hAnsi="Times New Roman" w:cs="Times New Roman"/>
          <w:b/>
          <w:bCs/>
          <w:sz w:val="24"/>
          <w:szCs w:val="24"/>
          <w:lang w:val="es-PE"/>
        </w:rPr>
        <w:t xml:space="preserve"> - </w:t>
      </w:r>
      <w:proofErr w:type="gramStart"/>
      <w:r w:rsidRPr="0062689C">
        <w:rPr>
          <w:rFonts w:ascii="Times New Roman" w:hAnsi="Times New Roman" w:cs="Times New Roman"/>
          <w:b/>
          <w:bCs/>
          <w:sz w:val="24"/>
          <w:szCs w:val="24"/>
          <w:lang w:val="es-PE"/>
        </w:rPr>
        <w:t>Presidente</w:t>
      </w:r>
      <w:proofErr w:type="gramEnd"/>
    </w:p>
    <w:p w:rsidRPr="0062689C" w:rsidR="0019772B" w:rsidP="00511C64" w:rsidRDefault="0019772B" w14:paraId="17222475" w14:textId="77777777">
      <w:pPr>
        <w:spacing w:after="200" w:line="240" w:lineRule="auto"/>
        <w:jc w:val="center"/>
        <w:rPr>
          <w:rFonts w:ascii="Times New Roman" w:hAnsi="Times New Roman" w:cs="Times New Roman"/>
          <w:b/>
          <w:bCs/>
          <w:sz w:val="24"/>
          <w:szCs w:val="24"/>
          <w:lang w:val="es-PE"/>
        </w:rPr>
      </w:pPr>
      <w:r w:rsidRPr="0062689C">
        <w:rPr>
          <w:rFonts w:ascii="Times New Roman" w:hAnsi="Times New Roman" w:cs="Times New Roman"/>
          <w:b/>
          <w:bCs/>
          <w:sz w:val="24"/>
          <w:szCs w:val="24"/>
          <w:lang w:val="es-PE"/>
        </w:rPr>
        <w:t>María Eugenia Valdez Fernández Baca - Vocal</w:t>
      </w:r>
    </w:p>
    <w:p w:rsidRPr="0062689C" w:rsidR="0019772B" w:rsidP="00511C64" w:rsidRDefault="0019772B" w14:paraId="13DD656A" w14:textId="77777777">
      <w:pPr>
        <w:spacing w:after="200" w:line="240" w:lineRule="auto"/>
        <w:jc w:val="center"/>
        <w:rPr>
          <w:rFonts w:ascii="Times New Roman" w:hAnsi="Times New Roman" w:cs="Times New Roman"/>
          <w:b/>
          <w:bCs/>
          <w:sz w:val="24"/>
          <w:szCs w:val="24"/>
          <w:lang w:val="es-PE"/>
        </w:rPr>
      </w:pPr>
      <w:r w:rsidRPr="0062689C">
        <w:rPr>
          <w:rFonts w:ascii="Times New Roman" w:hAnsi="Times New Roman" w:cs="Times New Roman"/>
          <w:b/>
          <w:bCs/>
          <w:sz w:val="24"/>
          <w:szCs w:val="24"/>
          <w:lang w:val="es-PE"/>
        </w:rPr>
        <w:t>Antonio Rodriguez Lobatón – Vocal</w:t>
      </w:r>
    </w:p>
    <w:bookmarkEnd w:id="0"/>
    <w:p w:rsidR="004C6DE0" w:rsidRDefault="004C6DE0" w14:paraId="6D36C1FB" w14:textId="2F883CDF">
      <w:pPr>
        <w:rPr>
          <w:rFonts w:ascii="Georgia" w:hAnsi="Georgia" w:cs="Times New Roman"/>
          <w:sz w:val="24"/>
          <w:szCs w:val="24"/>
          <w:lang w:val="es-PE"/>
        </w:rPr>
      </w:pPr>
    </w:p>
    <w:sectPr w:rsidR="004C6DE0"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5785" w:rsidP="00784355" w:rsidRDefault="00B65785" w14:paraId="5D2F3AB7" w14:textId="77777777">
      <w:pPr>
        <w:spacing w:after="0" w:line="240" w:lineRule="auto"/>
      </w:pPr>
      <w:r>
        <w:separator/>
      </w:r>
    </w:p>
  </w:endnote>
  <w:endnote w:type="continuationSeparator" w:id="0">
    <w:p w:rsidR="00B65785" w:rsidP="00784355" w:rsidRDefault="00B65785" w14:paraId="45C7DC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DF5034" w:rsidR="00C671F5" w:rsidRDefault="00C671F5" w14:paraId="1A7D4DE2" w14:textId="13C38AB9">
            <w:pPr>
              <w:pStyle w:val="Piedepgina"/>
              <w:jc w:val="right"/>
              <w:rPr>
                <w:rFonts w:ascii="Times New Roman" w:hAnsi="Times New Roman" w:cs="Times New Roman"/>
                <w:sz w:val="18"/>
                <w:szCs w:val="18"/>
              </w:rPr>
            </w:pPr>
            <w:r w:rsidRPr="00DF5034">
              <w:rPr>
                <w:rFonts w:ascii="Times New Roman" w:hAnsi="Times New Roman" w:cs="Times New Roman"/>
                <w:sz w:val="18"/>
                <w:szCs w:val="18"/>
                <w:lang w:val="es-ES"/>
              </w:rPr>
              <w:t xml:space="preserve">Página </w:t>
            </w:r>
            <w:r w:rsidRPr="00DF5034">
              <w:rPr>
                <w:rFonts w:ascii="Times New Roman" w:hAnsi="Times New Roman" w:cs="Times New Roman"/>
                <w:b/>
                <w:bCs/>
                <w:sz w:val="18"/>
                <w:szCs w:val="18"/>
              </w:rPr>
              <w:fldChar w:fldCharType="begin"/>
            </w:r>
            <w:r w:rsidRPr="00DF5034">
              <w:rPr>
                <w:rFonts w:ascii="Times New Roman" w:hAnsi="Times New Roman" w:cs="Times New Roman"/>
                <w:b/>
                <w:bCs/>
                <w:sz w:val="18"/>
                <w:szCs w:val="18"/>
              </w:rPr>
              <w:instrText>PAGE</w:instrText>
            </w:r>
            <w:r w:rsidRPr="00DF5034">
              <w:rPr>
                <w:rFonts w:ascii="Times New Roman" w:hAnsi="Times New Roman" w:cs="Times New Roman"/>
                <w:b/>
                <w:bCs/>
                <w:sz w:val="18"/>
                <w:szCs w:val="18"/>
              </w:rPr>
              <w:fldChar w:fldCharType="separate"/>
            </w:r>
            <w:r w:rsidRPr="00DF5034">
              <w:rPr>
                <w:rFonts w:ascii="Times New Roman" w:hAnsi="Times New Roman" w:cs="Times New Roman"/>
                <w:b/>
                <w:bCs/>
                <w:sz w:val="18"/>
                <w:szCs w:val="18"/>
                <w:lang w:val="es-ES"/>
              </w:rPr>
              <w:t>2</w:t>
            </w:r>
            <w:r w:rsidRPr="00DF5034">
              <w:rPr>
                <w:rFonts w:ascii="Times New Roman" w:hAnsi="Times New Roman" w:cs="Times New Roman"/>
                <w:b/>
                <w:bCs/>
                <w:sz w:val="18"/>
                <w:szCs w:val="18"/>
              </w:rPr>
              <w:fldChar w:fldCharType="end"/>
            </w:r>
            <w:r w:rsidRPr="00DF5034">
              <w:rPr>
                <w:rFonts w:ascii="Times New Roman" w:hAnsi="Times New Roman" w:cs="Times New Roman"/>
                <w:sz w:val="18"/>
                <w:szCs w:val="18"/>
                <w:lang w:val="es-ES"/>
              </w:rPr>
              <w:t xml:space="preserve"> de </w:t>
            </w:r>
            <w:r w:rsidRPr="00DF5034">
              <w:rPr>
                <w:rFonts w:ascii="Times New Roman" w:hAnsi="Times New Roman" w:cs="Times New Roman"/>
                <w:b/>
                <w:bCs/>
                <w:sz w:val="18"/>
                <w:szCs w:val="18"/>
              </w:rPr>
              <w:fldChar w:fldCharType="begin"/>
            </w:r>
            <w:r w:rsidRPr="00DF5034">
              <w:rPr>
                <w:rFonts w:ascii="Times New Roman" w:hAnsi="Times New Roman" w:cs="Times New Roman"/>
                <w:b/>
                <w:bCs/>
                <w:sz w:val="18"/>
                <w:szCs w:val="18"/>
              </w:rPr>
              <w:instrText>NUMPAGES</w:instrText>
            </w:r>
            <w:r w:rsidRPr="00DF5034">
              <w:rPr>
                <w:rFonts w:ascii="Times New Roman" w:hAnsi="Times New Roman" w:cs="Times New Roman"/>
                <w:b/>
                <w:bCs/>
                <w:sz w:val="18"/>
                <w:szCs w:val="18"/>
              </w:rPr>
              <w:fldChar w:fldCharType="separate"/>
            </w:r>
            <w:r w:rsidRPr="00DF5034">
              <w:rPr>
                <w:rFonts w:ascii="Times New Roman" w:hAnsi="Times New Roman" w:cs="Times New Roman"/>
                <w:b/>
                <w:bCs/>
                <w:sz w:val="18"/>
                <w:szCs w:val="18"/>
                <w:lang w:val="es-ES"/>
              </w:rPr>
              <w:t>2</w:t>
            </w:r>
            <w:r w:rsidRPr="00DF5034">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5785" w:rsidP="00784355" w:rsidRDefault="00B65785" w14:paraId="5054E2D6" w14:textId="77777777">
      <w:pPr>
        <w:spacing w:after="0" w:line="240" w:lineRule="auto"/>
      </w:pPr>
      <w:r>
        <w:separator/>
      </w:r>
    </w:p>
  </w:footnote>
  <w:footnote w:type="continuationSeparator" w:id="0">
    <w:p w:rsidR="00B65785" w:rsidP="00784355" w:rsidRDefault="00B65785" w14:paraId="041D510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3D4F14"/>
    <w:multiLevelType w:val="hybridMultilevel"/>
    <w:tmpl w:val="633098D8"/>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3154BAD"/>
    <w:multiLevelType w:val="hybridMultilevel"/>
    <w:tmpl w:val="9DDEF6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675953847">
    <w:abstractNumId w:val="2"/>
  </w:num>
  <w:num w:numId="2" w16cid:durableId="84619864">
    <w:abstractNumId w:val="22"/>
  </w:num>
  <w:num w:numId="3" w16cid:durableId="482091422">
    <w:abstractNumId w:val="12"/>
  </w:num>
  <w:num w:numId="4" w16cid:durableId="1018509621">
    <w:abstractNumId w:val="10"/>
  </w:num>
  <w:num w:numId="5" w16cid:durableId="1064837572">
    <w:abstractNumId w:val="0"/>
  </w:num>
  <w:num w:numId="6" w16cid:durableId="1812483969">
    <w:abstractNumId w:val="28"/>
  </w:num>
  <w:num w:numId="7" w16cid:durableId="1456757023">
    <w:abstractNumId w:val="13"/>
  </w:num>
  <w:num w:numId="8" w16cid:durableId="1030372178">
    <w:abstractNumId w:val="11"/>
  </w:num>
  <w:num w:numId="9" w16cid:durableId="333144724">
    <w:abstractNumId w:val="23"/>
  </w:num>
  <w:num w:numId="10" w16cid:durableId="451216151">
    <w:abstractNumId w:val="17"/>
  </w:num>
  <w:num w:numId="11" w16cid:durableId="1153183853">
    <w:abstractNumId w:val="7"/>
  </w:num>
  <w:num w:numId="12" w16cid:durableId="679239418">
    <w:abstractNumId w:val="24"/>
  </w:num>
  <w:num w:numId="13" w16cid:durableId="1307004976">
    <w:abstractNumId w:val="37"/>
  </w:num>
  <w:num w:numId="14" w16cid:durableId="23018260">
    <w:abstractNumId w:val="25"/>
  </w:num>
  <w:num w:numId="15" w16cid:durableId="1898586792">
    <w:abstractNumId w:val="31"/>
  </w:num>
  <w:num w:numId="16" w16cid:durableId="1745714744">
    <w:abstractNumId w:val="1"/>
  </w:num>
  <w:num w:numId="17" w16cid:durableId="309335544">
    <w:abstractNumId w:val="29"/>
  </w:num>
  <w:num w:numId="18" w16cid:durableId="560561880">
    <w:abstractNumId w:val="6"/>
  </w:num>
  <w:num w:numId="19" w16cid:durableId="722949859">
    <w:abstractNumId w:val="32"/>
  </w:num>
  <w:num w:numId="20" w16cid:durableId="194274105">
    <w:abstractNumId w:val="27"/>
  </w:num>
  <w:num w:numId="21" w16cid:durableId="718476816">
    <w:abstractNumId w:val="9"/>
  </w:num>
  <w:num w:numId="22" w16cid:durableId="1696349896">
    <w:abstractNumId w:val="15"/>
  </w:num>
  <w:num w:numId="23" w16cid:durableId="1862621991">
    <w:abstractNumId w:val="33"/>
  </w:num>
  <w:num w:numId="24" w16cid:durableId="1198002954">
    <w:abstractNumId w:val="8"/>
  </w:num>
  <w:num w:numId="25" w16cid:durableId="1115561842">
    <w:abstractNumId w:val="5"/>
  </w:num>
  <w:num w:numId="26" w16cid:durableId="1465541970">
    <w:abstractNumId w:val="34"/>
  </w:num>
  <w:num w:numId="27" w16cid:durableId="1367364011">
    <w:abstractNumId w:val="30"/>
  </w:num>
  <w:num w:numId="28" w16cid:durableId="1706715158">
    <w:abstractNumId w:val="14"/>
  </w:num>
  <w:num w:numId="29" w16cid:durableId="324287937">
    <w:abstractNumId w:val="16"/>
  </w:num>
  <w:num w:numId="30" w16cid:durableId="200440254">
    <w:abstractNumId w:val="4"/>
  </w:num>
  <w:num w:numId="31" w16cid:durableId="1091976554">
    <w:abstractNumId w:val="18"/>
  </w:num>
  <w:num w:numId="32" w16cid:durableId="403576582">
    <w:abstractNumId w:val="38"/>
  </w:num>
  <w:num w:numId="33" w16cid:durableId="2079741128">
    <w:abstractNumId w:val="36"/>
  </w:num>
  <w:num w:numId="34" w16cid:durableId="1681931261">
    <w:abstractNumId w:val="3"/>
  </w:num>
  <w:num w:numId="35" w16cid:durableId="521673796">
    <w:abstractNumId w:val="35"/>
  </w:num>
  <w:num w:numId="36" w16cid:durableId="1735667002">
    <w:abstractNumId w:val="20"/>
  </w:num>
  <w:num w:numId="37" w16cid:durableId="127089736">
    <w:abstractNumId w:val="26"/>
  </w:num>
  <w:num w:numId="38" w16cid:durableId="43086255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209179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514081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179"/>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548C"/>
    <w:rsid w:val="00070DB6"/>
    <w:rsid w:val="00071751"/>
    <w:rsid w:val="00071A2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6C90"/>
    <w:rsid w:val="000F17DA"/>
    <w:rsid w:val="000F1F1F"/>
    <w:rsid w:val="000F372E"/>
    <w:rsid w:val="000F4458"/>
    <w:rsid w:val="000F56CC"/>
    <w:rsid w:val="000F6340"/>
    <w:rsid w:val="001064A0"/>
    <w:rsid w:val="00110157"/>
    <w:rsid w:val="001107BF"/>
    <w:rsid w:val="00111342"/>
    <w:rsid w:val="00112C8D"/>
    <w:rsid w:val="0011308C"/>
    <w:rsid w:val="0011380D"/>
    <w:rsid w:val="00113FB6"/>
    <w:rsid w:val="00116B6A"/>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650D"/>
    <w:rsid w:val="00146C27"/>
    <w:rsid w:val="00150874"/>
    <w:rsid w:val="001508BC"/>
    <w:rsid w:val="001529FE"/>
    <w:rsid w:val="00157979"/>
    <w:rsid w:val="0016036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9772B"/>
    <w:rsid w:val="001A008A"/>
    <w:rsid w:val="001A3395"/>
    <w:rsid w:val="001A44E1"/>
    <w:rsid w:val="001A555F"/>
    <w:rsid w:val="001A6EBB"/>
    <w:rsid w:val="001B1E59"/>
    <w:rsid w:val="001B3EE9"/>
    <w:rsid w:val="001B58A3"/>
    <w:rsid w:val="001C052B"/>
    <w:rsid w:val="001C3A70"/>
    <w:rsid w:val="001D0EED"/>
    <w:rsid w:val="001D1D31"/>
    <w:rsid w:val="001D2577"/>
    <w:rsid w:val="001D5286"/>
    <w:rsid w:val="001D59D9"/>
    <w:rsid w:val="001D6136"/>
    <w:rsid w:val="001D6F7E"/>
    <w:rsid w:val="001E119C"/>
    <w:rsid w:val="001E4982"/>
    <w:rsid w:val="001E53E2"/>
    <w:rsid w:val="001E6143"/>
    <w:rsid w:val="001F0BD0"/>
    <w:rsid w:val="001F1398"/>
    <w:rsid w:val="001F522B"/>
    <w:rsid w:val="001F5DC4"/>
    <w:rsid w:val="002019FA"/>
    <w:rsid w:val="00201C0D"/>
    <w:rsid w:val="00204407"/>
    <w:rsid w:val="00205AC5"/>
    <w:rsid w:val="00206718"/>
    <w:rsid w:val="0020749F"/>
    <w:rsid w:val="002108AD"/>
    <w:rsid w:val="0021173F"/>
    <w:rsid w:val="00211977"/>
    <w:rsid w:val="00211C72"/>
    <w:rsid w:val="002130B0"/>
    <w:rsid w:val="0021627D"/>
    <w:rsid w:val="0022049B"/>
    <w:rsid w:val="00225288"/>
    <w:rsid w:val="00227D02"/>
    <w:rsid w:val="0023190C"/>
    <w:rsid w:val="00231C58"/>
    <w:rsid w:val="002331C3"/>
    <w:rsid w:val="002333AB"/>
    <w:rsid w:val="00234777"/>
    <w:rsid w:val="00234A33"/>
    <w:rsid w:val="00241719"/>
    <w:rsid w:val="00242425"/>
    <w:rsid w:val="00243DFC"/>
    <w:rsid w:val="00243F6B"/>
    <w:rsid w:val="0024405B"/>
    <w:rsid w:val="00245393"/>
    <w:rsid w:val="002528B8"/>
    <w:rsid w:val="00254641"/>
    <w:rsid w:val="00256E4E"/>
    <w:rsid w:val="00260B6D"/>
    <w:rsid w:val="0026148B"/>
    <w:rsid w:val="0026162A"/>
    <w:rsid w:val="00261D97"/>
    <w:rsid w:val="0027261F"/>
    <w:rsid w:val="00272F4F"/>
    <w:rsid w:val="0027301E"/>
    <w:rsid w:val="00273117"/>
    <w:rsid w:val="00273738"/>
    <w:rsid w:val="00274985"/>
    <w:rsid w:val="0027653A"/>
    <w:rsid w:val="002768C6"/>
    <w:rsid w:val="00276A92"/>
    <w:rsid w:val="00277667"/>
    <w:rsid w:val="002804DF"/>
    <w:rsid w:val="002813C9"/>
    <w:rsid w:val="00282133"/>
    <w:rsid w:val="0028294E"/>
    <w:rsid w:val="002830BC"/>
    <w:rsid w:val="00283E79"/>
    <w:rsid w:val="002866F5"/>
    <w:rsid w:val="00286C15"/>
    <w:rsid w:val="00290CA4"/>
    <w:rsid w:val="00294D98"/>
    <w:rsid w:val="00295828"/>
    <w:rsid w:val="002970F3"/>
    <w:rsid w:val="00297CEF"/>
    <w:rsid w:val="002A31D3"/>
    <w:rsid w:val="002A3AE3"/>
    <w:rsid w:val="002A3D36"/>
    <w:rsid w:val="002A4C39"/>
    <w:rsid w:val="002A596D"/>
    <w:rsid w:val="002A6626"/>
    <w:rsid w:val="002A7E2E"/>
    <w:rsid w:val="002B2022"/>
    <w:rsid w:val="002B5119"/>
    <w:rsid w:val="002B5256"/>
    <w:rsid w:val="002B69A7"/>
    <w:rsid w:val="002B726E"/>
    <w:rsid w:val="002B7735"/>
    <w:rsid w:val="002C2A0F"/>
    <w:rsid w:val="002C3F69"/>
    <w:rsid w:val="002C5DF4"/>
    <w:rsid w:val="002D0DB0"/>
    <w:rsid w:val="002D3B01"/>
    <w:rsid w:val="002D4977"/>
    <w:rsid w:val="002D7BC7"/>
    <w:rsid w:val="002E0275"/>
    <w:rsid w:val="002E1221"/>
    <w:rsid w:val="002E17F9"/>
    <w:rsid w:val="002E287E"/>
    <w:rsid w:val="002E2F76"/>
    <w:rsid w:val="002E4E90"/>
    <w:rsid w:val="002F09CA"/>
    <w:rsid w:val="002F35F0"/>
    <w:rsid w:val="002F478E"/>
    <w:rsid w:val="002F5F01"/>
    <w:rsid w:val="002F7D42"/>
    <w:rsid w:val="00300E51"/>
    <w:rsid w:val="00303740"/>
    <w:rsid w:val="003045E3"/>
    <w:rsid w:val="00306003"/>
    <w:rsid w:val="00306775"/>
    <w:rsid w:val="003069FA"/>
    <w:rsid w:val="00307257"/>
    <w:rsid w:val="003100E8"/>
    <w:rsid w:val="00310C00"/>
    <w:rsid w:val="003128E2"/>
    <w:rsid w:val="003131DE"/>
    <w:rsid w:val="00314603"/>
    <w:rsid w:val="00317805"/>
    <w:rsid w:val="0032132E"/>
    <w:rsid w:val="00321EC9"/>
    <w:rsid w:val="00322AA1"/>
    <w:rsid w:val="00330790"/>
    <w:rsid w:val="003314D9"/>
    <w:rsid w:val="00333BAA"/>
    <w:rsid w:val="00340E4B"/>
    <w:rsid w:val="00341784"/>
    <w:rsid w:val="003426C1"/>
    <w:rsid w:val="00344B3D"/>
    <w:rsid w:val="00345DF0"/>
    <w:rsid w:val="00345F7F"/>
    <w:rsid w:val="00347D7E"/>
    <w:rsid w:val="003526ED"/>
    <w:rsid w:val="00353092"/>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E5F"/>
    <w:rsid w:val="0037787C"/>
    <w:rsid w:val="00377F69"/>
    <w:rsid w:val="003812D2"/>
    <w:rsid w:val="0038290F"/>
    <w:rsid w:val="0038602A"/>
    <w:rsid w:val="00391C15"/>
    <w:rsid w:val="00391F72"/>
    <w:rsid w:val="00392259"/>
    <w:rsid w:val="003A0559"/>
    <w:rsid w:val="003A12F3"/>
    <w:rsid w:val="003A3F8C"/>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E0091"/>
    <w:rsid w:val="003E0CC2"/>
    <w:rsid w:val="003E450C"/>
    <w:rsid w:val="003E7BAE"/>
    <w:rsid w:val="003F0C97"/>
    <w:rsid w:val="003F1149"/>
    <w:rsid w:val="003F1B5F"/>
    <w:rsid w:val="003F20C7"/>
    <w:rsid w:val="003F2DC2"/>
    <w:rsid w:val="00401E6A"/>
    <w:rsid w:val="00403814"/>
    <w:rsid w:val="004049B9"/>
    <w:rsid w:val="00411866"/>
    <w:rsid w:val="00414109"/>
    <w:rsid w:val="00414A7B"/>
    <w:rsid w:val="00417CFB"/>
    <w:rsid w:val="00417E23"/>
    <w:rsid w:val="00420F89"/>
    <w:rsid w:val="0042236E"/>
    <w:rsid w:val="00425ACB"/>
    <w:rsid w:val="00425F75"/>
    <w:rsid w:val="00426C11"/>
    <w:rsid w:val="004270AD"/>
    <w:rsid w:val="004310D6"/>
    <w:rsid w:val="004324AC"/>
    <w:rsid w:val="00440AE0"/>
    <w:rsid w:val="00440BC2"/>
    <w:rsid w:val="00443875"/>
    <w:rsid w:val="00444232"/>
    <w:rsid w:val="00444DE9"/>
    <w:rsid w:val="00445D0D"/>
    <w:rsid w:val="004513F2"/>
    <w:rsid w:val="00452340"/>
    <w:rsid w:val="00452C11"/>
    <w:rsid w:val="00460C30"/>
    <w:rsid w:val="00463C58"/>
    <w:rsid w:val="00465FB9"/>
    <w:rsid w:val="00466302"/>
    <w:rsid w:val="0046647B"/>
    <w:rsid w:val="0047370C"/>
    <w:rsid w:val="0047522D"/>
    <w:rsid w:val="00476BA1"/>
    <w:rsid w:val="00477488"/>
    <w:rsid w:val="0048408F"/>
    <w:rsid w:val="00486637"/>
    <w:rsid w:val="00491AAA"/>
    <w:rsid w:val="004931C9"/>
    <w:rsid w:val="004966DD"/>
    <w:rsid w:val="00496848"/>
    <w:rsid w:val="00496A1A"/>
    <w:rsid w:val="00497760"/>
    <w:rsid w:val="004A1518"/>
    <w:rsid w:val="004A3E25"/>
    <w:rsid w:val="004A3F7E"/>
    <w:rsid w:val="004A537B"/>
    <w:rsid w:val="004A718F"/>
    <w:rsid w:val="004B155C"/>
    <w:rsid w:val="004B1A8C"/>
    <w:rsid w:val="004B27E2"/>
    <w:rsid w:val="004B51ED"/>
    <w:rsid w:val="004B7D4E"/>
    <w:rsid w:val="004B7DCE"/>
    <w:rsid w:val="004C0388"/>
    <w:rsid w:val="004C1C34"/>
    <w:rsid w:val="004C34ED"/>
    <w:rsid w:val="004C3692"/>
    <w:rsid w:val="004C51EC"/>
    <w:rsid w:val="004C5A91"/>
    <w:rsid w:val="004C6DE0"/>
    <w:rsid w:val="004D04B6"/>
    <w:rsid w:val="004E3092"/>
    <w:rsid w:val="004E4AF3"/>
    <w:rsid w:val="004E65DD"/>
    <w:rsid w:val="004E72B4"/>
    <w:rsid w:val="004E75E2"/>
    <w:rsid w:val="004F549E"/>
    <w:rsid w:val="00500494"/>
    <w:rsid w:val="00504C79"/>
    <w:rsid w:val="00504F01"/>
    <w:rsid w:val="00511C64"/>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66DB"/>
    <w:rsid w:val="00547EE5"/>
    <w:rsid w:val="00547F11"/>
    <w:rsid w:val="00550366"/>
    <w:rsid w:val="00556526"/>
    <w:rsid w:val="005570A7"/>
    <w:rsid w:val="005606DC"/>
    <w:rsid w:val="00561130"/>
    <w:rsid w:val="0056773D"/>
    <w:rsid w:val="00567DEC"/>
    <w:rsid w:val="0057035B"/>
    <w:rsid w:val="0057428A"/>
    <w:rsid w:val="005818E3"/>
    <w:rsid w:val="00582D26"/>
    <w:rsid w:val="0058358B"/>
    <w:rsid w:val="00583A87"/>
    <w:rsid w:val="00585D65"/>
    <w:rsid w:val="005948EF"/>
    <w:rsid w:val="00597430"/>
    <w:rsid w:val="005A03DD"/>
    <w:rsid w:val="005A0B70"/>
    <w:rsid w:val="005A40A4"/>
    <w:rsid w:val="005A5161"/>
    <w:rsid w:val="005A5A37"/>
    <w:rsid w:val="005A704E"/>
    <w:rsid w:val="005A782D"/>
    <w:rsid w:val="005B0526"/>
    <w:rsid w:val="005B2924"/>
    <w:rsid w:val="005C04B1"/>
    <w:rsid w:val="005C2E1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F2582"/>
    <w:rsid w:val="005F265B"/>
    <w:rsid w:val="005F4C97"/>
    <w:rsid w:val="005F5311"/>
    <w:rsid w:val="00601339"/>
    <w:rsid w:val="00601861"/>
    <w:rsid w:val="0060197F"/>
    <w:rsid w:val="00601CB2"/>
    <w:rsid w:val="00605902"/>
    <w:rsid w:val="00606105"/>
    <w:rsid w:val="00611905"/>
    <w:rsid w:val="00613283"/>
    <w:rsid w:val="00613A39"/>
    <w:rsid w:val="006157B3"/>
    <w:rsid w:val="006214B0"/>
    <w:rsid w:val="00622ABC"/>
    <w:rsid w:val="00623204"/>
    <w:rsid w:val="00624034"/>
    <w:rsid w:val="0062689C"/>
    <w:rsid w:val="00627C05"/>
    <w:rsid w:val="00631CE7"/>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DE5"/>
    <w:rsid w:val="0067797A"/>
    <w:rsid w:val="00680D8A"/>
    <w:rsid w:val="00682454"/>
    <w:rsid w:val="006832CF"/>
    <w:rsid w:val="00686BB2"/>
    <w:rsid w:val="006878E1"/>
    <w:rsid w:val="0069304A"/>
    <w:rsid w:val="0069590B"/>
    <w:rsid w:val="00695BD5"/>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7232"/>
    <w:rsid w:val="0072050F"/>
    <w:rsid w:val="00720DBC"/>
    <w:rsid w:val="00721FD1"/>
    <w:rsid w:val="00722287"/>
    <w:rsid w:val="0072240A"/>
    <w:rsid w:val="00723561"/>
    <w:rsid w:val="007235E4"/>
    <w:rsid w:val="00725493"/>
    <w:rsid w:val="007261FD"/>
    <w:rsid w:val="00726F96"/>
    <w:rsid w:val="0072710D"/>
    <w:rsid w:val="00727198"/>
    <w:rsid w:val="00727302"/>
    <w:rsid w:val="00727DAA"/>
    <w:rsid w:val="007300C4"/>
    <w:rsid w:val="0073378D"/>
    <w:rsid w:val="00733D4C"/>
    <w:rsid w:val="00737844"/>
    <w:rsid w:val="007415C6"/>
    <w:rsid w:val="00744447"/>
    <w:rsid w:val="00754CE1"/>
    <w:rsid w:val="007600A3"/>
    <w:rsid w:val="0076127D"/>
    <w:rsid w:val="00761F1D"/>
    <w:rsid w:val="007642C1"/>
    <w:rsid w:val="00764BDD"/>
    <w:rsid w:val="00764EF8"/>
    <w:rsid w:val="007703E9"/>
    <w:rsid w:val="007708AB"/>
    <w:rsid w:val="00771625"/>
    <w:rsid w:val="00772376"/>
    <w:rsid w:val="00773577"/>
    <w:rsid w:val="00775298"/>
    <w:rsid w:val="00775590"/>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F95"/>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491"/>
    <w:rsid w:val="007F74F1"/>
    <w:rsid w:val="007F7AC3"/>
    <w:rsid w:val="008010D0"/>
    <w:rsid w:val="008020A1"/>
    <w:rsid w:val="008026DC"/>
    <w:rsid w:val="00802949"/>
    <w:rsid w:val="00803E04"/>
    <w:rsid w:val="008079EC"/>
    <w:rsid w:val="008168DE"/>
    <w:rsid w:val="00816B3F"/>
    <w:rsid w:val="0081754D"/>
    <w:rsid w:val="0081779E"/>
    <w:rsid w:val="008177B9"/>
    <w:rsid w:val="00817F65"/>
    <w:rsid w:val="00821801"/>
    <w:rsid w:val="0082527A"/>
    <w:rsid w:val="00825CD8"/>
    <w:rsid w:val="00827313"/>
    <w:rsid w:val="0083014D"/>
    <w:rsid w:val="00834152"/>
    <w:rsid w:val="00835AAF"/>
    <w:rsid w:val="00836831"/>
    <w:rsid w:val="00837DDE"/>
    <w:rsid w:val="00850F0A"/>
    <w:rsid w:val="008511DF"/>
    <w:rsid w:val="008523F5"/>
    <w:rsid w:val="008548F9"/>
    <w:rsid w:val="0085575C"/>
    <w:rsid w:val="00856A4A"/>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F86"/>
    <w:rsid w:val="00955C03"/>
    <w:rsid w:val="00956DE7"/>
    <w:rsid w:val="0096387F"/>
    <w:rsid w:val="00964237"/>
    <w:rsid w:val="009647EC"/>
    <w:rsid w:val="00965812"/>
    <w:rsid w:val="00965853"/>
    <w:rsid w:val="00966813"/>
    <w:rsid w:val="00967B16"/>
    <w:rsid w:val="009718FA"/>
    <w:rsid w:val="0097301B"/>
    <w:rsid w:val="00973FEF"/>
    <w:rsid w:val="00974D2D"/>
    <w:rsid w:val="009754DD"/>
    <w:rsid w:val="009759AC"/>
    <w:rsid w:val="00977C78"/>
    <w:rsid w:val="00980C9E"/>
    <w:rsid w:val="0098136F"/>
    <w:rsid w:val="00982B8F"/>
    <w:rsid w:val="00983642"/>
    <w:rsid w:val="00986F0C"/>
    <w:rsid w:val="00987D6D"/>
    <w:rsid w:val="00990B25"/>
    <w:rsid w:val="009923C5"/>
    <w:rsid w:val="00992BDE"/>
    <w:rsid w:val="0099320E"/>
    <w:rsid w:val="00997863"/>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56D8"/>
    <w:rsid w:val="009D5ECD"/>
    <w:rsid w:val="009D6055"/>
    <w:rsid w:val="009D7BF6"/>
    <w:rsid w:val="009E10EE"/>
    <w:rsid w:val="009E12A8"/>
    <w:rsid w:val="009E5F11"/>
    <w:rsid w:val="009E6480"/>
    <w:rsid w:val="009E7994"/>
    <w:rsid w:val="009F143B"/>
    <w:rsid w:val="009F2DB4"/>
    <w:rsid w:val="009F2EEB"/>
    <w:rsid w:val="009F2F3F"/>
    <w:rsid w:val="009F56DB"/>
    <w:rsid w:val="009F58BA"/>
    <w:rsid w:val="009F73BD"/>
    <w:rsid w:val="009F75DF"/>
    <w:rsid w:val="00A00055"/>
    <w:rsid w:val="00A00101"/>
    <w:rsid w:val="00A02270"/>
    <w:rsid w:val="00A077D2"/>
    <w:rsid w:val="00A16942"/>
    <w:rsid w:val="00A17A72"/>
    <w:rsid w:val="00A20E69"/>
    <w:rsid w:val="00A23D9B"/>
    <w:rsid w:val="00A23DD8"/>
    <w:rsid w:val="00A25909"/>
    <w:rsid w:val="00A25F51"/>
    <w:rsid w:val="00A268C5"/>
    <w:rsid w:val="00A27E33"/>
    <w:rsid w:val="00A30393"/>
    <w:rsid w:val="00A31AB4"/>
    <w:rsid w:val="00A321E2"/>
    <w:rsid w:val="00A32246"/>
    <w:rsid w:val="00A323F4"/>
    <w:rsid w:val="00A328C0"/>
    <w:rsid w:val="00A339A7"/>
    <w:rsid w:val="00A3714C"/>
    <w:rsid w:val="00A405C7"/>
    <w:rsid w:val="00A410BC"/>
    <w:rsid w:val="00A4125F"/>
    <w:rsid w:val="00A427D6"/>
    <w:rsid w:val="00A45014"/>
    <w:rsid w:val="00A46E96"/>
    <w:rsid w:val="00A4759A"/>
    <w:rsid w:val="00A47679"/>
    <w:rsid w:val="00A47AAA"/>
    <w:rsid w:val="00A501AE"/>
    <w:rsid w:val="00A52030"/>
    <w:rsid w:val="00A5230D"/>
    <w:rsid w:val="00A5541B"/>
    <w:rsid w:val="00A5787A"/>
    <w:rsid w:val="00A60E9F"/>
    <w:rsid w:val="00A62A69"/>
    <w:rsid w:val="00A62BEC"/>
    <w:rsid w:val="00A63A63"/>
    <w:rsid w:val="00A658C1"/>
    <w:rsid w:val="00A66684"/>
    <w:rsid w:val="00A734AD"/>
    <w:rsid w:val="00A74C70"/>
    <w:rsid w:val="00A76050"/>
    <w:rsid w:val="00A76A29"/>
    <w:rsid w:val="00A770E4"/>
    <w:rsid w:val="00A804D9"/>
    <w:rsid w:val="00A81C21"/>
    <w:rsid w:val="00A82018"/>
    <w:rsid w:val="00A837A0"/>
    <w:rsid w:val="00A83E6A"/>
    <w:rsid w:val="00A90707"/>
    <w:rsid w:val="00A90926"/>
    <w:rsid w:val="00A924D3"/>
    <w:rsid w:val="00A927BE"/>
    <w:rsid w:val="00A928EC"/>
    <w:rsid w:val="00A94273"/>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A9E"/>
    <w:rsid w:val="00AC74C2"/>
    <w:rsid w:val="00AD1FEC"/>
    <w:rsid w:val="00AD2B82"/>
    <w:rsid w:val="00AD2DF1"/>
    <w:rsid w:val="00AD2EA1"/>
    <w:rsid w:val="00AD392D"/>
    <w:rsid w:val="00AD4559"/>
    <w:rsid w:val="00AD772E"/>
    <w:rsid w:val="00AE1CA2"/>
    <w:rsid w:val="00AE4125"/>
    <w:rsid w:val="00AE58A1"/>
    <w:rsid w:val="00AE6BD5"/>
    <w:rsid w:val="00AF19B6"/>
    <w:rsid w:val="00AF1C99"/>
    <w:rsid w:val="00AF3146"/>
    <w:rsid w:val="00AF5E87"/>
    <w:rsid w:val="00AF68BD"/>
    <w:rsid w:val="00B00552"/>
    <w:rsid w:val="00B013C6"/>
    <w:rsid w:val="00B02BEE"/>
    <w:rsid w:val="00B06740"/>
    <w:rsid w:val="00B106B7"/>
    <w:rsid w:val="00B10BD5"/>
    <w:rsid w:val="00B11C1C"/>
    <w:rsid w:val="00B12E7A"/>
    <w:rsid w:val="00B13613"/>
    <w:rsid w:val="00B17BD8"/>
    <w:rsid w:val="00B17E56"/>
    <w:rsid w:val="00B256E8"/>
    <w:rsid w:val="00B25C34"/>
    <w:rsid w:val="00B30B53"/>
    <w:rsid w:val="00B313E9"/>
    <w:rsid w:val="00B32325"/>
    <w:rsid w:val="00B32AAC"/>
    <w:rsid w:val="00B3379E"/>
    <w:rsid w:val="00B340A4"/>
    <w:rsid w:val="00B340D4"/>
    <w:rsid w:val="00B355EC"/>
    <w:rsid w:val="00B411A3"/>
    <w:rsid w:val="00B431AF"/>
    <w:rsid w:val="00B443CF"/>
    <w:rsid w:val="00B45C2D"/>
    <w:rsid w:val="00B46D45"/>
    <w:rsid w:val="00B47985"/>
    <w:rsid w:val="00B50F76"/>
    <w:rsid w:val="00B53696"/>
    <w:rsid w:val="00B56649"/>
    <w:rsid w:val="00B625F2"/>
    <w:rsid w:val="00B62982"/>
    <w:rsid w:val="00B64FA2"/>
    <w:rsid w:val="00B65520"/>
    <w:rsid w:val="00B65785"/>
    <w:rsid w:val="00B663DC"/>
    <w:rsid w:val="00B67430"/>
    <w:rsid w:val="00B710D8"/>
    <w:rsid w:val="00B73629"/>
    <w:rsid w:val="00B7466E"/>
    <w:rsid w:val="00B74AE3"/>
    <w:rsid w:val="00B779BD"/>
    <w:rsid w:val="00B8021E"/>
    <w:rsid w:val="00B8028F"/>
    <w:rsid w:val="00B833BE"/>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405B"/>
    <w:rsid w:val="00BB4B19"/>
    <w:rsid w:val="00BB68F9"/>
    <w:rsid w:val="00BB7FC6"/>
    <w:rsid w:val="00BC29D0"/>
    <w:rsid w:val="00BC4043"/>
    <w:rsid w:val="00BD6F2D"/>
    <w:rsid w:val="00BD797F"/>
    <w:rsid w:val="00BD7F12"/>
    <w:rsid w:val="00BE1470"/>
    <w:rsid w:val="00BE7C72"/>
    <w:rsid w:val="00BF1421"/>
    <w:rsid w:val="00BF2468"/>
    <w:rsid w:val="00BF414E"/>
    <w:rsid w:val="00BF78BF"/>
    <w:rsid w:val="00C00BBF"/>
    <w:rsid w:val="00C02CC4"/>
    <w:rsid w:val="00C03B68"/>
    <w:rsid w:val="00C04AA4"/>
    <w:rsid w:val="00C05445"/>
    <w:rsid w:val="00C112C9"/>
    <w:rsid w:val="00C12CBD"/>
    <w:rsid w:val="00C13469"/>
    <w:rsid w:val="00C134DB"/>
    <w:rsid w:val="00C16D8A"/>
    <w:rsid w:val="00C222E3"/>
    <w:rsid w:val="00C25B78"/>
    <w:rsid w:val="00C264DC"/>
    <w:rsid w:val="00C26907"/>
    <w:rsid w:val="00C32068"/>
    <w:rsid w:val="00C32849"/>
    <w:rsid w:val="00C33FEF"/>
    <w:rsid w:val="00C34017"/>
    <w:rsid w:val="00C355DF"/>
    <w:rsid w:val="00C4007D"/>
    <w:rsid w:val="00C4163B"/>
    <w:rsid w:val="00C41F24"/>
    <w:rsid w:val="00C43FD0"/>
    <w:rsid w:val="00C4691E"/>
    <w:rsid w:val="00C47619"/>
    <w:rsid w:val="00C51445"/>
    <w:rsid w:val="00C5168E"/>
    <w:rsid w:val="00C51D2A"/>
    <w:rsid w:val="00C52848"/>
    <w:rsid w:val="00C565C7"/>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6D7"/>
    <w:rsid w:val="00C8675B"/>
    <w:rsid w:val="00C86CD7"/>
    <w:rsid w:val="00C86F17"/>
    <w:rsid w:val="00C87AD2"/>
    <w:rsid w:val="00C91865"/>
    <w:rsid w:val="00C9376B"/>
    <w:rsid w:val="00C9581A"/>
    <w:rsid w:val="00C960BE"/>
    <w:rsid w:val="00C9791B"/>
    <w:rsid w:val="00CA27CB"/>
    <w:rsid w:val="00CA3682"/>
    <w:rsid w:val="00CA4D56"/>
    <w:rsid w:val="00CB0040"/>
    <w:rsid w:val="00CB44BB"/>
    <w:rsid w:val="00CB4580"/>
    <w:rsid w:val="00CC4AEF"/>
    <w:rsid w:val="00CC6C0C"/>
    <w:rsid w:val="00CC719D"/>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6C5C"/>
    <w:rsid w:val="00D50B42"/>
    <w:rsid w:val="00D513C0"/>
    <w:rsid w:val="00D5307F"/>
    <w:rsid w:val="00D56587"/>
    <w:rsid w:val="00D57228"/>
    <w:rsid w:val="00D618A4"/>
    <w:rsid w:val="00D61C6D"/>
    <w:rsid w:val="00D62940"/>
    <w:rsid w:val="00D64034"/>
    <w:rsid w:val="00D6481C"/>
    <w:rsid w:val="00D65726"/>
    <w:rsid w:val="00D7246B"/>
    <w:rsid w:val="00D72832"/>
    <w:rsid w:val="00D73109"/>
    <w:rsid w:val="00D76C43"/>
    <w:rsid w:val="00D77363"/>
    <w:rsid w:val="00D810EC"/>
    <w:rsid w:val="00D835B6"/>
    <w:rsid w:val="00D84464"/>
    <w:rsid w:val="00D8548C"/>
    <w:rsid w:val="00D91782"/>
    <w:rsid w:val="00D92107"/>
    <w:rsid w:val="00D94999"/>
    <w:rsid w:val="00DA0540"/>
    <w:rsid w:val="00DA2840"/>
    <w:rsid w:val="00DA35E1"/>
    <w:rsid w:val="00DA35EF"/>
    <w:rsid w:val="00DA4030"/>
    <w:rsid w:val="00DA6819"/>
    <w:rsid w:val="00DB15FD"/>
    <w:rsid w:val="00DB2E84"/>
    <w:rsid w:val="00DB3DD5"/>
    <w:rsid w:val="00DB5079"/>
    <w:rsid w:val="00DB58EC"/>
    <w:rsid w:val="00DC156F"/>
    <w:rsid w:val="00DC399B"/>
    <w:rsid w:val="00DC7518"/>
    <w:rsid w:val="00DD0F92"/>
    <w:rsid w:val="00DD3F06"/>
    <w:rsid w:val="00DD49F4"/>
    <w:rsid w:val="00DD5700"/>
    <w:rsid w:val="00DD5E2B"/>
    <w:rsid w:val="00DF0424"/>
    <w:rsid w:val="00DF3781"/>
    <w:rsid w:val="00DF5034"/>
    <w:rsid w:val="00DF5B48"/>
    <w:rsid w:val="00DF6E69"/>
    <w:rsid w:val="00E0140B"/>
    <w:rsid w:val="00E01785"/>
    <w:rsid w:val="00E01BEC"/>
    <w:rsid w:val="00E03F92"/>
    <w:rsid w:val="00E0455D"/>
    <w:rsid w:val="00E06847"/>
    <w:rsid w:val="00E06EE2"/>
    <w:rsid w:val="00E107CA"/>
    <w:rsid w:val="00E1216B"/>
    <w:rsid w:val="00E1477F"/>
    <w:rsid w:val="00E16C63"/>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8"/>
    <w:rsid w:val="00E531B9"/>
    <w:rsid w:val="00E53BC5"/>
    <w:rsid w:val="00E5758B"/>
    <w:rsid w:val="00E57869"/>
    <w:rsid w:val="00E6191D"/>
    <w:rsid w:val="00E61DBC"/>
    <w:rsid w:val="00E64057"/>
    <w:rsid w:val="00E66AFF"/>
    <w:rsid w:val="00E6771C"/>
    <w:rsid w:val="00E70381"/>
    <w:rsid w:val="00E705E6"/>
    <w:rsid w:val="00E70EAE"/>
    <w:rsid w:val="00E70F8F"/>
    <w:rsid w:val="00E729DC"/>
    <w:rsid w:val="00E73DEF"/>
    <w:rsid w:val="00E753EC"/>
    <w:rsid w:val="00E76B37"/>
    <w:rsid w:val="00E80D65"/>
    <w:rsid w:val="00E8557F"/>
    <w:rsid w:val="00E864E4"/>
    <w:rsid w:val="00E900E2"/>
    <w:rsid w:val="00E91723"/>
    <w:rsid w:val="00E968FC"/>
    <w:rsid w:val="00EA0220"/>
    <w:rsid w:val="00EA0ADC"/>
    <w:rsid w:val="00EA21E9"/>
    <w:rsid w:val="00EA4C4B"/>
    <w:rsid w:val="00EA77BE"/>
    <w:rsid w:val="00EB0FDD"/>
    <w:rsid w:val="00EB2090"/>
    <w:rsid w:val="00EB23CD"/>
    <w:rsid w:val="00EB5299"/>
    <w:rsid w:val="00EB6F2C"/>
    <w:rsid w:val="00EC006F"/>
    <w:rsid w:val="00EC1316"/>
    <w:rsid w:val="00EC19C1"/>
    <w:rsid w:val="00EC25F1"/>
    <w:rsid w:val="00EC283A"/>
    <w:rsid w:val="00EC3551"/>
    <w:rsid w:val="00EC7271"/>
    <w:rsid w:val="00EC7673"/>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0D9"/>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46F1"/>
    <w:rsid w:val="00FC5555"/>
    <w:rsid w:val="00FD1BE5"/>
    <w:rsid w:val="00FD78D4"/>
    <w:rsid w:val="00FE1D8F"/>
    <w:rsid w:val="00FE2169"/>
    <w:rsid w:val="00FE38F0"/>
    <w:rsid w:val="00FE400D"/>
    <w:rsid w:val="00FE43A9"/>
    <w:rsid w:val="00FE6588"/>
    <w:rsid w:val="00FE70D2"/>
    <w:rsid w:val="00FE73F3"/>
    <w:rsid w:val="00FF41F3"/>
    <w:rsid w:val="1AD97E48"/>
    <w:rsid w:val="1FEF04A6"/>
    <w:rsid w:val="26BB5DBB"/>
    <w:rsid w:val="2CF1A6D2"/>
    <w:rsid w:val="31422F84"/>
    <w:rsid w:val="38E3CA7F"/>
    <w:rsid w:val="3F81F918"/>
    <w:rsid w:val="49029586"/>
    <w:rsid w:val="6E0B4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60D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FE70875-5FC8-44B5-9916-2C940C561D42}"/>
</file>

<file path=customXml/itemProps3.xml><?xml version="1.0" encoding="utf-8"?>
<ds:datastoreItem xmlns:ds="http://schemas.openxmlformats.org/officeDocument/2006/customXml" ds:itemID="{51276656-3E86-4ABC-8B2F-CBB55417AD7C}"/>
</file>

<file path=customXml/itemProps4.xml><?xml version="1.0" encoding="utf-8"?>
<ds:datastoreItem xmlns:ds="http://schemas.openxmlformats.org/officeDocument/2006/customXml" ds:itemID="{05628C90-7F69-4B90-84A8-FDF58F5FE3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21</cp:revision>
  <cp:lastPrinted>2025-09-08T16:51:00Z</cp:lastPrinted>
  <dcterms:created xsi:type="dcterms:W3CDTF">2025-08-19T07:32:00Z</dcterms:created>
  <dcterms:modified xsi:type="dcterms:W3CDTF">2026-04-21T16:33:38Z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