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E77D87" w:rsidRDefault="00201C0D" w14:paraId="2E2FA649" w14:textId="5E0DA380">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w:t>
      </w:r>
      <w:r w:rsidR="004A6758">
        <w:rPr>
          <w:rFonts w:ascii="Times New Roman" w:hAnsi="Times New Roman" w:cs="Times New Roman"/>
          <w:b/>
          <w:sz w:val="24"/>
          <w:szCs w:val="24"/>
          <w:lang w:val="es-PE" w:eastAsia="ar-SA"/>
        </w:rPr>
        <w:t>1</w:t>
      </w:r>
      <w:r w:rsidRPr="00E77D87" w:rsidR="00AA2AA2">
        <w:rPr>
          <w:rFonts w:ascii="Times New Roman" w:hAnsi="Times New Roman" w:cs="Times New Roman"/>
          <w:b/>
          <w:sz w:val="24"/>
          <w:szCs w:val="24"/>
          <w:lang w:val="es-PE" w:eastAsia="ar-SA"/>
        </w:rPr>
        <w:t>/25</w:t>
      </w:r>
    </w:p>
    <w:p w:rsidRPr="00E77D87" w:rsidR="00E77D87" w:rsidP="00416E4F" w:rsidRDefault="00E77D87" w14:paraId="51D07706" w14:textId="77777777">
      <w:pPr>
        <w:spacing w:after="0" w:line="240" w:lineRule="auto"/>
        <w:jc w:val="both"/>
        <w:rPr>
          <w:rFonts w:ascii="Times New Roman" w:hAnsi="Times New Roman" w:cs="Times New Roman"/>
          <w:b/>
          <w:sz w:val="24"/>
          <w:szCs w:val="24"/>
          <w:lang w:val="es-PE" w:eastAsia="ar-SA"/>
        </w:rPr>
      </w:pPr>
    </w:p>
    <w:p w:rsidRPr="00416E4F" w:rsidR="00416E4F" w:rsidP="00416E4F" w:rsidRDefault="00416E4F" w14:paraId="443E1AB0" w14:textId="77777777">
      <w:pPr>
        <w:spacing w:after="200" w:line="240" w:lineRule="auto"/>
        <w:jc w:val="both"/>
        <w:rPr>
          <w:rFonts w:ascii="Times New Roman" w:hAnsi="Times New Roman" w:cs="Times New Roman"/>
          <w:b/>
          <w:bCs/>
          <w:sz w:val="24"/>
          <w:szCs w:val="24"/>
          <w:lang w:val="es-PE"/>
        </w:rPr>
      </w:pPr>
      <w:bookmarkStart w:name="_Hlk198053358" w:id="0"/>
      <w:r w:rsidRPr="00416E4F">
        <w:rPr>
          <w:rFonts w:ascii="Times New Roman" w:hAnsi="Times New Roman" w:cs="Times New Roman"/>
          <w:b/>
          <w:bCs/>
          <w:sz w:val="24"/>
          <w:szCs w:val="24"/>
          <w:lang w:val="es-PE"/>
        </w:rPr>
        <w:t>Vistos:</w:t>
      </w:r>
    </w:p>
    <w:p w:rsidRPr="00416E4F" w:rsidR="00416E4F" w:rsidP="00416E4F" w:rsidRDefault="00416E4F" w14:paraId="1F2DDEF5" w14:textId="56A98050">
      <w:pPr>
        <w:spacing w:after="200" w:line="240" w:lineRule="auto"/>
        <w:jc w:val="both"/>
        <w:rPr>
          <w:rFonts w:ascii="Times New Roman" w:hAnsi="Times New Roman" w:cs="Times New Roman"/>
          <w:b w:val="1"/>
          <w:bCs w:val="1"/>
          <w:sz w:val="24"/>
          <w:szCs w:val="24"/>
          <w:lang w:val="es-MX"/>
        </w:rPr>
      </w:pPr>
      <w:r w:rsidRPr="4CC65DCF" w:rsidR="00416E4F">
        <w:rPr>
          <w:rFonts w:ascii="Times New Roman" w:hAnsi="Times New Roman" w:cs="Times New Roman"/>
          <w:sz w:val="24"/>
          <w:szCs w:val="24"/>
          <w:lang w:val="es-PE"/>
        </w:rPr>
        <w:t xml:space="preserve">Que, </w:t>
      </w:r>
      <w:bookmarkStart w:name="_Hlk185247457" w:id="1"/>
      <w:bookmarkStart w:name="_Hlk107662905" w:id="2"/>
      <w:r w:rsidRPr="4CC65DCF" w:rsidR="4F7431CB">
        <w:rPr>
          <w:rFonts w:ascii="Times New Roman" w:hAnsi="Times New Roman" w:cs="Times New Roman"/>
          <w:b w:val="1"/>
          <w:bCs w:val="1"/>
          <w:sz w:val="24"/>
          <w:szCs w:val="24"/>
          <w:lang w:val="es-ES"/>
        </w:rPr>
        <w:t>.............................................</w:t>
      </w:r>
      <w:bookmarkEnd w:id="1"/>
      <w:r w:rsidRPr="4CC65DCF" w:rsidR="00416E4F">
        <w:rPr>
          <w:rFonts w:ascii="Times New Roman" w:hAnsi="Times New Roman" w:cs="Times New Roman"/>
          <w:b w:val="1"/>
          <w:bCs w:val="1"/>
          <w:sz w:val="24"/>
          <w:szCs w:val="24"/>
          <w:lang w:val="es-MX"/>
        </w:rPr>
        <w:t xml:space="preserve"> </w:t>
      </w:r>
      <w:bookmarkEnd w:id="2"/>
      <w:r w:rsidRPr="4CC65DCF" w:rsidR="00416E4F">
        <w:rPr>
          <w:rFonts w:ascii="Times New Roman" w:hAnsi="Times New Roman" w:cs="Times New Roman"/>
          <w:sz w:val="24"/>
          <w:szCs w:val="24"/>
          <w:lang w:val="es-MX"/>
        </w:rPr>
        <w:t>interpone</w:t>
      </w:r>
      <w:r w:rsidRPr="4CC65DCF" w:rsidR="00416E4F">
        <w:rPr>
          <w:rFonts w:ascii="Times New Roman" w:hAnsi="Times New Roman" w:cs="Times New Roman"/>
          <w:sz w:val="24"/>
          <w:szCs w:val="24"/>
          <w:lang w:val="es-PE"/>
        </w:rPr>
        <w:t xml:space="preserve"> reclamación ante esta Defensoría del Asegurado (DEFASEG) solicitando que </w:t>
      </w:r>
      <w:r w:rsidRPr="4CC65DCF" w:rsidR="293E14A9">
        <w:rPr>
          <w:rFonts w:ascii="Times New Roman" w:hAnsi="Times New Roman" w:cs="Times New Roman"/>
          <w:b w:val="1"/>
          <w:bCs w:val="1"/>
          <w:sz w:val="24"/>
          <w:szCs w:val="24"/>
          <w:lang w:val="es-MX"/>
        </w:rPr>
        <w:t>.......................................</w:t>
      </w:r>
      <w:r w:rsidRPr="4CC65DCF" w:rsidR="00416E4F">
        <w:rPr>
          <w:rFonts w:ascii="Times New Roman" w:hAnsi="Times New Roman" w:cs="Times New Roman"/>
          <w:b w:val="1"/>
          <w:bCs w:val="1"/>
          <w:sz w:val="24"/>
          <w:szCs w:val="24"/>
          <w:lang w:val="es-MX"/>
        </w:rPr>
        <w:t xml:space="preserve"> </w:t>
      </w:r>
      <w:r w:rsidRPr="4CC65DCF" w:rsidR="00416E4F">
        <w:rPr>
          <w:rFonts w:ascii="Times New Roman" w:hAnsi="Times New Roman" w:cs="Times New Roman"/>
          <w:sz w:val="24"/>
          <w:szCs w:val="24"/>
          <w:lang w:val="es-PE"/>
        </w:rPr>
        <w:t>otorgue  cobertura</w:t>
      </w:r>
      <w:r w:rsidRPr="4CC65DCF" w:rsidR="00416E4F">
        <w:rPr>
          <w:rFonts w:ascii="Times New Roman" w:hAnsi="Times New Roman" w:cs="Times New Roman"/>
          <w:sz w:val="24"/>
          <w:szCs w:val="24"/>
          <w:lang w:val="es-PE"/>
        </w:rPr>
        <w:t xml:space="preserve"> conforme al </w:t>
      </w:r>
      <w:r w:rsidRPr="4CC65DCF" w:rsidR="00416E4F">
        <w:rPr>
          <w:rFonts w:ascii="Times New Roman" w:hAnsi="Times New Roman" w:cs="Times New Roman"/>
          <w:b w:val="1"/>
          <w:bCs w:val="1"/>
          <w:sz w:val="24"/>
          <w:szCs w:val="24"/>
          <w:lang w:val="es-MX"/>
        </w:rPr>
        <w:t xml:space="preserve">SEGURO </w:t>
      </w:r>
      <w:r w:rsidRPr="4CC65DCF" w:rsidR="00416E4F">
        <w:rPr>
          <w:rFonts w:ascii="Times New Roman" w:hAnsi="Times New Roman" w:cs="Times New Roman"/>
          <w:b w:val="1"/>
          <w:bCs w:val="1"/>
          <w:sz w:val="24"/>
          <w:szCs w:val="24"/>
          <w:lang w:val="es-PE"/>
        </w:rPr>
        <w:t xml:space="preserve">AUTOS TODO RIESGO - PLAN FULL - </w:t>
      </w:r>
      <w:r w:rsidRPr="4CC65DCF" w:rsidR="00416E4F">
        <w:rPr>
          <w:rFonts w:ascii="Times New Roman" w:hAnsi="Times New Roman" w:cs="Times New Roman"/>
          <w:b w:val="1"/>
          <w:bCs w:val="1"/>
          <w:sz w:val="24"/>
          <w:szCs w:val="24"/>
          <w:lang w:val="es-MX"/>
        </w:rPr>
        <w:t xml:space="preserve">PÓLIZA No  </w:t>
      </w:r>
      <w:r w:rsidRPr="4CC65DCF" w:rsidR="26BD1C1E">
        <w:rPr>
          <w:rFonts w:ascii="Times New Roman" w:hAnsi="Times New Roman" w:cs="Times New Roman"/>
          <w:b w:val="1"/>
          <w:bCs w:val="1"/>
          <w:sz w:val="24"/>
          <w:szCs w:val="24"/>
          <w:lang w:val="es-PE"/>
        </w:rPr>
        <w:t>........................</w:t>
      </w:r>
      <w:r w:rsidRPr="4CC65DCF" w:rsidR="00416E4F">
        <w:rPr>
          <w:rFonts w:ascii="Times New Roman" w:hAnsi="Times New Roman" w:cs="Times New Roman"/>
          <w:b w:val="1"/>
          <w:bCs w:val="1"/>
          <w:sz w:val="24"/>
          <w:szCs w:val="24"/>
          <w:lang w:val="es-ES"/>
        </w:rPr>
        <w:t>.</w:t>
      </w:r>
    </w:p>
    <w:p w:rsidRPr="00416E4F" w:rsidR="00416E4F" w:rsidP="00416E4F" w:rsidRDefault="00416E4F" w14:paraId="4F80C4C6" w14:textId="77777777">
      <w:pPr>
        <w:spacing w:after="200" w:line="240" w:lineRule="auto"/>
        <w:jc w:val="both"/>
        <w:rPr>
          <w:rFonts w:ascii="Times New Roman" w:hAnsi="Times New Roman" w:cs="Times New Roman"/>
          <w:sz w:val="24"/>
          <w:szCs w:val="24"/>
          <w:lang w:val="es-ES"/>
        </w:rPr>
      </w:pPr>
      <w:r w:rsidRPr="00416E4F">
        <w:rPr>
          <w:rFonts w:ascii="Times New Roman" w:hAnsi="Times New Roman" w:cs="Times New Roman"/>
          <w:sz w:val="24"/>
          <w:szCs w:val="24"/>
          <w:lang w:val="es-ES"/>
        </w:rPr>
        <w:t>Que, el 21 de julio de 2025 se llevó a cabo la audiencia de vista;</w:t>
      </w:r>
    </w:p>
    <w:p w:rsidRPr="00416E4F" w:rsidR="00416E4F" w:rsidP="00416E4F" w:rsidRDefault="00416E4F" w14:paraId="749DC377" w14:textId="021BF01A">
      <w:pPr>
        <w:spacing w:after="200" w:line="240" w:lineRule="auto"/>
        <w:jc w:val="both"/>
        <w:rPr>
          <w:rFonts w:ascii="Times New Roman" w:hAnsi="Times New Roman" w:cs="Times New Roman"/>
          <w:sz w:val="24"/>
          <w:szCs w:val="24"/>
          <w:lang w:val="es-PE"/>
        </w:rPr>
      </w:pPr>
      <w:r w:rsidRPr="4CC65DCF" w:rsidR="00416E4F">
        <w:rPr>
          <w:rFonts w:ascii="Times New Roman" w:hAnsi="Times New Roman" w:cs="Times New Roman"/>
          <w:sz w:val="24"/>
          <w:szCs w:val="24"/>
          <w:lang w:val="es-ES"/>
        </w:rPr>
        <w:t>Que, la reclamación se sustenta resumidamente en lo siguiente: (1)</w:t>
      </w:r>
      <w:r w:rsidRPr="4CC65DCF" w:rsidR="00416E4F">
        <w:rPr>
          <w:rFonts w:ascii="Times New Roman" w:hAnsi="Times New Roman" w:cs="Times New Roman"/>
          <w:sz w:val="24"/>
          <w:szCs w:val="24"/>
          <w:lang w:val="es-MX"/>
        </w:rPr>
        <w:t xml:space="preserve"> </w:t>
      </w:r>
      <w:bookmarkStart w:name="_Hlk185247602" w:id="3"/>
      <w:r w:rsidRPr="4CC65DCF" w:rsidR="00416E4F">
        <w:rPr>
          <w:rFonts w:ascii="Times New Roman" w:hAnsi="Times New Roman" w:cs="Times New Roman"/>
          <w:sz w:val="24"/>
          <w:szCs w:val="24"/>
          <w:lang w:val="es-PE"/>
        </w:rPr>
        <w:t xml:space="preserve">no estuvo conforme con la atención del siniestro, toda vez que, el primer taller a donde se internó el vehículo asegurado, </w:t>
      </w:r>
      <w:r w:rsidRPr="4CC65DCF" w:rsidR="484868E3">
        <w:rPr>
          <w:rFonts w:ascii="Times New Roman" w:hAnsi="Times New Roman" w:cs="Times New Roman"/>
          <w:sz w:val="24"/>
          <w:szCs w:val="24"/>
          <w:lang w:val="es-PE"/>
        </w:rPr>
        <w:t>...............</w:t>
      </w:r>
      <w:r w:rsidRPr="4CC65DCF" w:rsidR="00416E4F">
        <w:rPr>
          <w:rFonts w:ascii="Times New Roman" w:hAnsi="Times New Roman" w:cs="Times New Roman"/>
          <w:sz w:val="24"/>
          <w:szCs w:val="24"/>
          <w:lang w:val="es-PE"/>
        </w:rPr>
        <w:t xml:space="preserve"> no le brindó las garantías del caso y posterior a ello, tuvo que trasladarlo al taller SAN BLAS, y que </w:t>
      </w:r>
      <w:r w:rsidRPr="4CC65DCF" w:rsidR="5FB3BCAF">
        <w:rPr>
          <w:rFonts w:ascii="Times New Roman" w:hAnsi="Times New Roman" w:cs="Times New Roman"/>
          <w:sz w:val="24"/>
          <w:szCs w:val="24"/>
          <w:lang w:val="es-PE"/>
        </w:rPr>
        <w:t>....................</w:t>
      </w:r>
      <w:r w:rsidRPr="4CC65DCF" w:rsidR="00416E4F">
        <w:rPr>
          <w:rFonts w:ascii="Times New Roman" w:hAnsi="Times New Roman" w:cs="Times New Roman"/>
          <w:sz w:val="24"/>
          <w:szCs w:val="24"/>
          <w:lang w:val="es-PE"/>
        </w:rPr>
        <w:t xml:space="preserve"> no autorizo todos los daños que presenta la unidad asegurada; (2) el primer taller </w:t>
      </w:r>
      <w:r w:rsidRPr="4CC65DCF" w:rsidR="484868E3">
        <w:rPr>
          <w:rFonts w:ascii="Times New Roman" w:hAnsi="Times New Roman" w:cs="Times New Roman"/>
          <w:sz w:val="24"/>
          <w:szCs w:val="24"/>
          <w:lang w:val="es-PE"/>
        </w:rPr>
        <w:t>...............</w:t>
      </w:r>
      <w:r w:rsidRPr="4CC65DCF" w:rsidR="00416E4F">
        <w:rPr>
          <w:rFonts w:ascii="Times New Roman" w:hAnsi="Times New Roman" w:cs="Times New Roman"/>
          <w:sz w:val="24"/>
          <w:szCs w:val="24"/>
          <w:lang w:val="es-PE"/>
        </w:rPr>
        <w:t xml:space="preserve"> cometió varios errores: - no revisar bien el auto y el impacto del accidente, por lo que esa mala revisión dio lugar a una mala cotización; - enviar la cotización a la aseguradora sin aprobación del asegurado; - a la aseguradora le llegó una cotización inicial que no refleja el daño total del accidente; (3) el segundo taller SAN BLAS elaboró una cotización de US $3,659.72 y la aseguradora aprobó US $ 385,81, es decir el 10.54%  sin haber visto el carro ni una sola vez; (4) la aseguradora no ha visto el vehículo ni los elementos que demuestran que el impacto dañó las partes que no quieren cubrir; (5) con las fotos es difícil entender la totalidad del impacto del choque; (6) el vehículo que le chocó era una camioneta grande, muy alta y con una parrilla delantera que desencajó todo el auto, por lo que no es el típico choque posterior donde la parte que se daña es únicamente el parachoques; (7) al momento de llenarse el formulario virtual hubo poca visibilidad de noche, seguramente se cometió un error al no indicar todas las zonas de impacto; (8) un error de envío de información no implica que las partes/piezas que no se quiere cubrir no sean parte del choque; (9) sí hay deformación estructural y que es claro que el impacto hizo que la estructura de la parte posterior se desplace ejerciendo presión sobre varios puntos, entre los cuales generó la ruptura de las esquinas de los faros; (10) es difícil que una persona choque en ese punto con una columna o poste, dado que es la parte lateral del auto, más aún, que se tengan dos accidentes uno por el lado derecho y otro por el izquierdo en el mismo punto en ambos lados; (11) la aseguradora no explica cómo llega a la conclusión de que el desprendimiento de los </w:t>
      </w:r>
      <w:r w:rsidRPr="4CC65DCF" w:rsidR="00416E4F">
        <w:rPr>
          <w:rFonts w:ascii="Times New Roman" w:hAnsi="Times New Roman" w:cs="Times New Roman"/>
          <w:i w:val="1"/>
          <w:iCs w:val="1"/>
          <w:sz w:val="24"/>
          <w:szCs w:val="24"/>
          <w:lang w:val="es-PE"/>
        </w:rPr>
        <w:t>fenders</w:t>
      </w:r>
      <w:r w:rsidRPr="4CC65DCF" w:rsidR="00416E4F">
        <w:rPr>
          <w:rFonts w:ascii="Times New Roman" w:hAnsi="Times New Roman" w:cs="Times New Roman"/>
          <w:sz w:val="24"/>
          <w:szCs w:val="24"/>
          <w:lang w:val="es-PE"/>
        </w:rPr>
        <w:t xml:space="preserve"> es por un impacto contra una columna o poste.</w:t>
      </w:r>
    </w:p>
    <w:bookmarkEnd w:id="3"/>
    <w:p w:rsidRPr="00416E4F" w:rsidR="00416E4F" w:rsidP="00416E4F" w:rsidRDefault="00416E4F" w14:paraId="0CA793ED" w14:textId="3E50C817">
      <w:pPr>
        <w:spacing w:after="200" w:line="240" w:lineRule="auto"/>
        <w:jc w:val="both"/>
        <w:rPr>
          <w:rFonts w:ascii="Times New Roman" w:hAnsi="Times New Roman" w:cs="Times New Roman"/>
          <w:sz w:val="24"/>
          <w:szCs w:val="24"/>
          <w:lang w:val="es-PE"/>
        </w:rPr>
      </w:pPr>
      <w:r w:rsidRPr="11BCF229" w:rsidR="00416E4F">
        <w:rPr>
          <w:rFonts w:ascii="Times New Roman" w:hAnsi="Times New Roman" w:cs="Times New Roman"/>
          <w:sz w:val="24"/>
          <w:szCs w:val="24"/>
          <w:lang w:val="es-PE"/>
        </w:rPr>
        <w:t xml:space="preserve">Que, por su parte, en su contestación a la reclamación, </w:t>
      </w:r>
      <w:r w:rsidRPr="11BCF229" w:rsidR="5FB3BCAF">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destaca principalmente lo siguiente: (1) la señora </w:t>
      </w:r>
      <w:r w:rsidRPr="11BCF229" w:rsidR="7692E5BF">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en representación de la empresa </w:t>
      </w:r>
      <w:r w:rsidRPr="11BCF229" w:rsidR="4F7431CB">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contrató la Póliza </w:t>
      </w:r>
      <w:r w:rsidRPr="11BCF229" w:rsidR="00416E4F">
        <w:rPr>
          <w:rFonts w:ascii="Times New Roman" w:hAnsi="Times New Roman" w:cs="Times New Roman"/>
          <w:sz w:val="24"/>
          <w:szCs w:val="24"/>
          <w:lang w:val="es-PE"/>
        </w:rPr>
        <w:t>N°</w:t>
      </w:r>
      <w:r w:rsidRPr="11BCF229" w:rsidR="00416E4F">
        <w:rPr>
          <w:rFonts w:ascii="Times New Roman" w:hAnsi="Times New Roman" w:cs="Times New Roman"/>
          <w:sz w:val="24"/>
          <w:szCs w:val="24"/>
          <w:lang w:val="es-PE"/>
        </w:rPr>
        <w:t xml:space="preserve"> </w:t>
      </w:r>
      <w:r w:rsidRPr="11BCF229" w:rsidR="26BD1C1E">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para el vehículo de Placa de Rodaje </w:t>
      </w:r>
      <w:r w:rsidRPr="11BCF229" w:rsidR="64853DE9">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marca MITSUBISHI, modelo </w:t>
      </w:r>
      <w:r w:rsidRPr="11BCF229" w:rsidR="00416E4F">
        <w:rPr>
          <w:rFonts w:ascii="Times New Roman" w:hAnsi="Times New Roman" w:cs="Times New Roman"/>
          <w:sz w:val="24"/>
          <w:szCs w:val="24"/>
          <w:lang w:val="es-PE"/>
        </w:rPr>
        <w:t>Outlander</w:t>
      </w:r>
      <w:r w:rsidRPr="11BCF229" w:rsidR="00416E4F">
        <w:rPr>
          <w:rFonts w:ascii="Times New Roman" w:hAnsi="Times New Roman" w:cs="Times New Roman"/>
          <w:sz w:val="24"/>
          <w:szCs w:val="24"/>
          <w:lang w:val="es-PE"/>
        </w:rPr>
        <w:t xml:space="preserve"> 2WD; (2) el 24 de febrero de 2025 se produjo el siniestro mientras la señora Vera conducía el vehículo asegurado durante horas de la noche, este consistió en el impacto de otro vehículo hacia el vehículo asegurado por la parte posterior; (3) el 25 de febrero de 2025, se aprobó inmediatamente la cobertura y se hizo el traslado del vehículo asegurado al taller automotriz </w:t>
      </w:r>
      <w:r w:rsidRPr="11BCF229" w:rsidR="1E382A30">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el cual realizó una cotización respecto de los daños y materiales necesarios para la reparación del vehículo. Así, el 04 de marzo de 2025, se aprobó dicha cotización; (4) el 20 de marzo de 2025, no estando de acuerdo con la cotización del taller </w:t>
      </w:r>
      <w:r w:rsidRPr="11BCF229" w:rsidR="1E382A30">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la reclamante trasladó el vehículo asegurado a otro taller, siendo este MSK Automotriz S.A.C., el cual emitió una nueva cotización; (5) el 04 de abril de 2025 el área técnica evaluó nuevamente el caso y precisó que </w:t>
      </w:r>
      <w:r w:rsidRPr="11BCF229" w:rsidR="00416E4F">
        <w:rPr>
          <w:rFonts w:ascii="Times New Roman" w:hAnsi="Times New Roman" w:cs="Times New Roman"/>
          <w:sz w:val="24"/>
          <w:szCs w:val="24"/>
          <w:lang w:val="es-PE"/>
        </w:rPr>
        <w:t xml:space="preserve">la nueva cotización dada por MSK Automotriz S.A.C abarcaba daños que no correspondían al siniestro de fecha 24 de febrero de 2025, por lo cual se remitió la Carta </w:t>
      </w:r>
      <w:r w:rsidRPr="11BCF229" w:rsidR="111B02E5">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donde se le dio mayores detalles de la procedencia de la cobertura excluyendo a los daños que no guardaban relación con el siniestro reportado; (6) el siniestro fue reportado como choque y fuga, generando daños en la parte posterior del vehículo asegurado y todo lo relacionado ha sido aprobado e informado a los representantes del taller SAN BLAS; (7) el daño que presenta el faro posterior del vehículo no forma parte ni tiene relación con el siniestro reportado, toda vez que, no se encuentran elementos de impacto cercano; (8) la cotización emitida por el taller </w:t>
      </w:r>
      <w:r w:rsidRPr="11BCF229" w:rsidR="1E382A30">
        <w:rPr>
          <w:rFonts w:ascii="Times New Roman" w:hAnsi="Times New Roman" w:cs="Times New Roman"/>
          <w:sz w:val="24"/>
          <w:szCs w:val="24"/>
          <w:lang w:val="es-PE"/>
        </w:rPr>
        <w:t>............................</w:t>
      </w:r>
      <w:r w:rsidRPr="11BCF229" w:rsidR="00416E4F">
        <w:rPr>
          <w:rFonts w:ascii="Times New Roman" w:hAnsi="Times New Roman" w:cs="Times New Roman"/>
          <w:sz w:val="24"/>
          <w:szCs w:val="24"/>
          <w:lang w:val="es-PE"/>
        </w:rPr>
        <w:t xml:space="preserve">. </w:t>
      </w:r>
      <w:r w:rsidRPr="11BCF229" w:rsidR="00416E4F">
        <w:rPr>
          <w:rFonts w:ascii="Times New Roman" w:hAnsi="Times New Roman" w:cs="Times New Roman"/>
          <w:sz w:val="24"/>
          <w:szCs w:val="24"/>
          <w:lang w:val="es-PE"/>
        </w:rPr>
        <w:t>resulta ser adecuada, en tanto se encuentra debidamente delimitada a los daños directamente ocasionados por el siniestro ocurrido el 24 de febrero de 2025.</w:t>
      </w:r>
      <w:r w:rsidRPr="11BCF229" w:rsidR="00416E4F">
        <w:rPr>
          <w:rFonts w:ascii="Times New Roman" w:hAnsi="Times New Roman" w:cs="Times New Roman"/>
          <w:sz w:val="24"/>
          <w:szCs w:val="24"/>
          <w:lang w:val="es-PE"/>
        </w:rPr>
        <w:t xml:space="preserve"> Por el contrario, la cotización presentada por el taller MSK Automotriz S.A.C. incluye reparaciones que no guardan relación causal con dicho evento, incorporando daños cuya naturaleza, ubicación y características no se corresponden con un impacto trasero por alcance, tal como fue reportado; (9) los daños no aprobados corresponden a dos zonas del vehículo: (i) en el faro posterior, cuya no cobertura se debe a que no se identificaron elementos de impacto cercanos a dicha zona, pues durante la inspección técnica no se observaron señales de colisión ni deformaciones estructurales alrededor del faro, lo cual indica que dicho daño no guarda relación con el evento reportado (choque), sino que probablemente se originó en una situación diferente o anterior al siniestro del 24 de febrero de 2025; (</w:t>
      </w:r>
      <w:r w:rsidRPr="11BCF229" w:rsidR="00416E4F">
        <w:rPr>
          <w:rFonts w:ascii="Times New Roman" w:hAnsi="Times New Roman" w:cs="Times New Roman"/>
          <w:sz w:val="24"/>
          <w:szCs w:val="24"/>
          <w:lang w:val="es-PE"/>
        </w:rPr>
        <w:t>ii</w:t>
      </w:r>
      <w:r w:rsidRPr="11BCF229" w:rsidR="00416E4F">
        <w:rPr>
          <w:rFonts w:ascii="Times New Roman" w:hAnsi="Times New Roman" w:cs="Times New Roman"/>
          <w:sz w:val="24"/>
          <w:szCs w:val="24"/>
          <w:lang w:val="es-PE"/>
        </w:rPr>
        <w:t xml:space="preserve">) el daño en el </w:t>
      </w:r>
      <w:r w:rsidRPr="11BCF229" w:rsidR="00416E4F">
        <w:rPr>
          <w:rFonts w:ascii="Times New Roman" w:hAnsi="Times New Roman" w:cs="Times New Roman"/>
          <w:i w:val="1"/>
          <w:iCs w:val="1"/>
          <w:sz w:val="24"/>
          <w:szCs w:val="24"/>
          <w:lang w:val="es-PE"/>
        </w:rPr>
        <w:t>fender</w:t>
      </w:r>
      <w:r w:rsidRPr="11BCF229" w:rsidR="00416E4F">
        <w:rPr>
          <w:rFonts w:ascii="Times New Roman" w:hAnsi="Times New Roman" w:cs="Times New Roman"/>
          <w:sz w:val="24"/>
          <w:szCs w:val="24"/>
          <w:lang w:val="es-PE"/>
        </w:rPr>
        <w:t xml:space="preserve"> posterior, el cual tampoco goza de cobertura ya que presenta características incompatibles con el siniestro reportado; (10) de acuerdo con la inspección realizada, el daño muestra signos de haber sido provocado por el impacto contra un objeto fijo y puntual, como una columna o poste, dado que la afectación es localizada y concentrada. Este tipo de daño no guarda coherencia con un choque por alcance —como el ocurrido en el presente caso— en el cual normalmente se observa una deformación más amplia y distribuida a lo largo del panel trasero. Por tanto, se concluye que el daño en el </w:t>
      </w:r>
      <w:r w:rsidRPr="11BCF229" w:rsidR="00416E4F">
        <w:rPr>
          <w:rFonts w:ascii="Times New Roman" w:hAnsi="Times New Roman" w:cs="Times New Roman"/>
          <w:i w:val="1"/>
          <w:iCs w:val="1"/>
          <w:sz w:val="24"/>
          <w:szCs w:val="24"/>
          <w:lang w:val="es-PE"/>
        </w:rPr>
        <w:t>fender</w:t>
      </w:r>
      <w:r w:rsidRPr="11BCF229" w:rsidR="00416E4F">
        <w:rPr>
          <w:rFonts w:ascii="Times New Roman" w:hAnsi="Times New Roman" w:cs="Times New Roman"/>
          <w:sz w:val="24"/>
          <w:szCs w:val="24"/>
          <w:lang w:val="es-PE"/>
        </w:rPr>
        <w:t xml:space="preserve"> posterior corresponde a un evento distinto y no al siniestro del 24 de febrero de 2025. </w:t>
      </w:r>
    </w:p>
    <w:p w:rsidRPr="00416E4F" w:rsidR="00416E4F" w:rsidP="00416E4F" w:rsidRDefault="00416E4F" w14:paraId="79DB88B3" w14:textId="6EA3EC36">
      <w:pPr>
        <w:spacing w:after="200" w:line="240" w:lineRule="auto"/>
        <w:jc w:val="both"/>
        <w:rPr>
          <w:rFonts w:ascii="Times New Roman" w:hAnsi="Times New Roman" w:cs="Times New Roman"/>
          <w:sz w:val="24"/>
          <w:szCs w:val="24"/>
          <w:lang w:val="es-PE"/>
        </w:rPr>
      </w:pPr>
      <w:r w:rsidRPr="4CC65DCF" w:rsidR="00416E4F">
        <w:rPr>
          <w:rFonts w:ascii="Times New Roman" w:hAnsi="Times New Roman" w:cs="Times New Roman"/>
          <w:sz w:val="24"/>
          <w:szCs w:val="24"/>
          <w:lang w:val="es-MX"/>
        </w:rPr>
        <w:t xml:space="preserve">Mediante correo electrónico la asegurada presentó una copia de la Resolución </w:t>
      </w:r>
      <w:r w:rsidRPr="4CC65DCF" w:rsidR="00416E4F">
        <w:rPr>
          <w:rFonts w:ascii="Times New Roman" w:hAnsi="Times New Roman" w:cs="Times New Roman"/>
          <w:sz w:val="24"/>
          <w:szCs w:val="24"/>
          <w:lang w:val="es-MX"/>
        </w:rPr>
        <w:t>N°</w:t>
      </w:r>
      <w:r w:rsidRPr="4CC65DCF" w:rsidR="00416E4F">
        <w:rPr>
          <w:rFonts w:ascii="Times New Roman" w:hAnsi="Times New Roman" w:cs="Times New Roman"/>
          <w:sz w:val="24"/>
          <w:szCs w:val="24"/>
          <w:lang w:val="es-MX"/>
        </w:rPr>
        <w:t xml:space="preserve"> 2 de fecha 18 de julio de 2025 emitida por el </w:t>
      </w:r>
      <w:r w:rsidRPr="4CC65DCF" w:rsidR="00416E4F">
        <w:rPr>
          <w:rFonts w:ascii="Times New Roman" w:hAnsi="Times New Roman" w:cs="Times New Roman"/>
          <w:sz w:val="24"/>
          <w:szCs w:val="24"/>
          <w:lang w:val="es-PE"/>
        </w:rPr>
        <w:t xml:space="preserve">Órgano Resolutivo de Procedimientos Sumarísimos de Protección al Consumidor </w:t>
      </w:r>
      <w:r w:rsidRPr="4CC65DCF" w:rsidR="00416E4F">
        <w:rPr>
          <w:rFonts w:ascii="Times New Roman" w:hAnsi="Times New Roman" w:cs="Times New Roman"/>
          <w:sz w:val="24"/>
          <w:szCs w:val="24"/>
          <w:lang w:val="es-PE"/>
        </w:rPr>
        <w:t>N°</w:t>
      </w:r>
      <w:r w:rsidRPr="4CC65DCF" w:rsidR="00416E4F">
        <w:rPr>
          <w:rFonts w:ascii="Times New Roman" w:hAnsi="Times New Roman" w:cs="Times New Roman"/>
          <w:sz w:val="24"/>
          <w:szCs w:val="24"/>
          <w:lang w:val="es-PE"/>
        </w:rPr>
        <w:t xml:space="preserve"> 1 del INDECOPI, disponiendo iniciar un procedimiento administrativo sancionador en contra de </w:t>
      </w:r>
      <w:r w:rsidRPr="4CC65DCF" w:rsidR="5FB3BCAF">
        <w:rPr>
          <w:rFonts w:ascii="Times New Roman" w:hAnsi="Times New Roman" w:cs="Times New Roman"/>
          <w:sz w:val="24"/>
          <w:szCs w:val="24"/>
          <w:lang w:val="es-PE"/>
        </w:rPr>
        <w:t>....................</w:t>
      </w:r>
      <w:r w:rsidRPr="4CC65DCF" w:rsidR="00416E4F">
        <w:rPr>
          <w:rFonts w:ascii="Times New Roman" w:hAnsi="Times New Roman" w:cs="Times New Roman"/>
          <w:sz w:val="24"/>
          <w:szCs w:val="24"/>
          <w:lang w:val="es-PE"/>
        </w:rPr>
        <w:t xml:space="preserve"> por los mismos hechos materia de la reclamación presentada ante la DEFASEG.</w:t>
      </w:r>
    </w:p>
    <w:p w:rsidRPr="00416E4F" w:rsidR="00416E4F" w:rsidP="00416E4F" w:rsidRDefault="00416E4F" w14:paraId="76182460" w14:textId="77777777">
      <w:pPr>
        <w:spacing w:after="200" w:line="240" w:lineRule="auto"/>
        <w:jc w:val="both"/>
        <w:rPr>
          <w:rFonts w:ascii="Times New Roman" w:hAnsi="Times New Roman" w:cs="Times New Roman"/>
          <w:sz w:val="24"/>
          <w:szCs w:val="24"/>
          <w:lang w:val="es-PE"/>
        </w:rPr>
      </w:pPr>
      <w:r w:rsidRPr="00416E4F">
        <w:rPr>
          <w:rFonts w:ascii="Times New Roman" w:hAnsi="Times New Roman" w:cs="Times New Roman"/>
          <w:b/>
          <w:bCs/>
          <w:sz w:val="24"/>
          <w:szCs w:val="24"/>
          <w:lang w:val="es-PE"/>
        </w:rPr>
        <w:t>CONSIDERANDO:</w:t>
      </w:r>
    </w:p>
    <w:p w:rsidRPr="00416E4F" w:rsidR="00416E4F" w:rsidP="00416E4F" w:rsidRDefault="00416E4F" w14:paraId="1731A190" w14:textId="5F37CCFE">
      <w:pPr>
        <w:spacing w:after="200" w:line="240" w:lineRule="auto"/>
        <w:jc w:val="both"/>
        <w:rPr>
          <w:rFonts w:ascii="Times New Roman" w:hAnsi="Times New Roman" w:cs="Times New Roman"/>
          <w:sz w:val="24"/>
          <w:szCs w:val="24"/>
          <w:lang w:val="es-PE"/>
        </w:rPr>
      </w:pPr>
      <w:r w:rsidRPr="00416E4F">
        <w:rPr>
          <w:rFonts w:ascii="Times New Roman" w:hAnsi="Times New Roman" w:cs="Times New Roman"/>
          <w:b/>
          <w:sz w:val="24"/>
          <w:szCs w:val="24"/>
          <w:u w:val="single"/>
          <w:lang w:val="es-PE"/>
        </w:rPr>
        <w:t>PRIMERO</w:t>
      </w:r>
      <w:r w:rsidRPr="00416E4F">
        <w:rPr>
          <w:rFonts w:ascii="Times New Roman" w:hAnsi="Times New Roman" w:cs="Times New Roman"/>
          <w:b/>
          <w:sz w:val="24"/>
          <w:szCs w:val="24"/>
          <w:lang w:val="es-PE"/>
        </w:rPr>
        <w:t xml:space="preserve">: </w:t>
      </w:r>
      <w:r w:rsidRPr="00416E4F">
        <w:rPr>
          <w:rFonts w:ascii="Times New Roman" w:hAnsi="Times New Roman" w:cs="Times New Roman"/>
          <w:sz w:val="24"/>
          <w:szCs w:val="24"/>
          <w:lang w:val="es-PE"/>
        </w:rPr>
        <w:t>Que, conforme a su Reglamento, la</w:t>
      </w:r>
      <w:r w:rsidRPr="00416E4F">
        <w:rPr>
          <w:rFonts w:ascii="Times New Roman" w:hAnsi="Times New Roman" w:cs="Times New Roman"/>
          <w:b/>
          <w:bCs/>
          <w:sz w:val="24"/>
          <w:szCs w:val="24"/>
          <w:lang w:val="es-PE"/>
        </w:rPr>
        <w:t xml:space="preserve"> </w:t>
      </w:r>
      <w:r w:rsidRPr="00416E4F">
        <w:rPr>
          <w:rFonts w:ascii="Times New Roman" w:hAnsi="Times New Roman" w:cs="Times New Roman"/>
          <w:sz w:val="24"/>
          <w:szCs w:val="24"/>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16E4F" w:rsidR="00416E4F" w:rsidP="00416E4F" w:rsidRDefault="00416E4F" w14:paraId="660FD99E" w14:textId="77777777">
      <w:pPr>
        <w:spacing w:after="200" w:line="240" w:lineRule="auto"/>
        <w:jc w:val="both"/>
        <w:rPr>
          <w:rFonts w:ascii="Times New Roman" w:hAnsi="Times New Roman" w:cs="Times New Roman"/>
          <w:sz w:val="24"/>
          <w:szCs w:val="24"/>
          <w:lang w:val="es-ES"/>
        </w:rPr>
      </w:pPr>
      <w:r w:rsidRPr="00416E4F">
        <w:rPr>
          <w:rFonts w:ascii="Times New Roman" w:hAnsi="Times New Roman" w:cs="Times New Roman"/>
          <w:b/>
          <w:bCs/>
          <w:sz w:val="24"/>
          <w:szCs w:val="24"/>
          <w:u w:val="single"/>
          <w:lang w:val="es-PE"/>
        </w:rPr>
        <w:t>SEGUNDO</w:t>
      </w:r>
      <w:r w:rsidRPr="00416E4F">
        <w:rPr>
          <w:rFonts w:ascii="Times New Roman" w:hAnsi="Times New Roman" w:cs="Times New Roman"/>
          <w:b/>
          <w:bCs/>
          <w:sz w:val="24"/>
          <w:szCs w:val="24"/>
          <w:lang w:val="es-PE"/>
        </w:rPr>
        <w:t>:</w:t>
      </w:r>
      <w:r w:rsidRPr="00416E4F">
        <w:rPr>
          <w:rFonts w:ascii="Times New Roman" w:hAnsi="Times New Roman" w:cs="Times New Roman"/>
          <w:bCs/>
          <w:sz w:val="24"/>
          <w:szCs w:val="24"/>
          <w:lang w:val="es-PE"/>
        </w:rPr>
        <w:t xml:space="preserve"> </w:t>
      </w:r>
      <w:r w:rsidRPr="00416E4F">
        <w:rPr>
          <w:rFonts w:ascii="Times New Roman" w:hAnsi="Times New Roman" w:cs="Times New Roman"/>
          <w:sz w:val="24"/>
          <w:szCs w:val="24"/>
          <w:lang w:val="es-PE"/>
        </w:rPr>
        <w:t xml:space="preserve">Que, de acuerdo con el Reglamento de la DEFASEG, </w:t>
      </w:r>
      <w:r w:rsidRPr="00416E4F">
        <w:rPr>
          <w:rFonts w:ascii="Times New Roman" w:hAnsi="Times New Roman" w:cs="Times New Roman"/>
          <w:sz w:val="24"/>
          <w:szCs w:val="24"/>
          <w:lang w:val="es-ES"/>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416E4F" w:rsidR="00416E4F" w:rsidP="00416E4F" w:rsidRDefault="00416E4F" w14:paraId="091C671B" w14:textId="77777777">
      <w:pPr>
        <w:spacing w:after="200" w:line="240" w:lineRule="auto"/>
        <w:jc w:val="both"/>
        <w:rPr>
          <w:rFonts w:ascii="Times New Roman" w:hAnsi="Times New Roman" w:cs="Times New Roman"/>
          <w:sz w:val="24"/>
          <w:szCs w:val="24"/>
          <w:lang w:val="es-ES"/>
        </w:rPr>
      </w:pPr>
    </w:p>
    <w:p w:rsidRPr="00416E4F" w:rsidR="00416E4F" w:rsidP="00416E4F" w:rsidRDefault="00416E4F" w14:paraId="6596FBEA" w14:textId="77EF3F2D">
      <w:pPr>
        <w:spacing w:after="200" w:line="240" w:lineRule="auto"/>
        <w:jc w:val="both"/>
        <w:rPr>
          <w:rFonts w:ascii="Times New Roman" w:hAnsi="Times New Roman" w:cs="Times New Roman"/>
          <w:sz w:val="24"/>
          <w:szCs w:val="24"/>
          <w:lang w:val="es-ES"/>
        </w:rPr>
      </w:pPr>
      <w:r w:rsidRPr="00416E4F">
        <w:rPr>
          <w:rFonts w:ascii="Times New Roman" w:hAnsi="Times New Roman" w:cs="Times New Roman"/>
          <w:sz w:val="24"/>
          <w:szCs w:val="24"/>
          <w:lang w:val="es-ES"/>
        </w:rPr>
        <w:lastRenderedPageBreak/>
        <w:t>Conforme a ello, hallándose plenamente acreditado que el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rsidRPr="00416E4F" w:rsidR="00416E4F" w:rsidP="00416E4F" w:rsidRDefault="00416E4F" w14:paraId="18D22401" w14:textId="4458765E">
      <w:pPr>
        <w:spacing w:after="200" w:line="240" w:lineRule="auto"/>
        <w:jc w:val="both"/>
        <w:rPr>
          <w:rFonts w:ascii="Times New Roman" w:hAnsi="Times New Roman" w:cs="Times New Roman"/>
          <w:b/>
          <w:sz w:val="24"/>
          <w:szCs w:val="24"/>
          <w:lang w:val="es-PE"/>
        </w:rPr>
      </w:pPr>
      <w:r w:rsidRPr="00416E4F">
        <w:rPr>
          <w:rFonts w:ascii="Times New Roman" w:hAnsi="Times New Roman" w:cs="Times New Roman"/>
          <w:b/>
          <w:sz w:val="24"/>
          <w:szCs w:val="24"/>
          <w:lang w:val="es-PE"/>
        </w:rPr>
        <w:t>ATENDIENDO A LO EXPRESADO, CONFORME A SU REGLAMENTO, ESTE COLEGIADO RESUELVE:</w:t>
      </w:r>
    </w:p>
    <w:p w:rsidRPr="00416E4F" w:rsidR="00416E4F" w:rsidP="00416E4F" w:rsidRDefault="00416E4F" w14:paraId="58FB7099" w14:textId="3AC2CE81">
      <w:pPr>
        <w:spacing w:after="200" w:line="240" w:lineRule="auto"/>
        <w:jc w:val="both"/>
        <w:rPr>
          <w:rFonts w:ascii="Times New Roman" w:hAnsi="Times New Roman" w:cs="Times New Roman"/>
          <w:sz w:val="24"/>
          <w:szCs w:val="24"/>
          <w:lang w:val="es-PE"/>
        </w:rPr>
      </w:pPr>
      <w:r w:rsidRPr="4CC65DCF" w:rsidR="00416E4F">
        <w:rPr>
          <w:rFonts w:ascii="Times New Roman" w:hAnsi="Times New Roman" w:cs="Times New Roman"/>
          <w:sz w:val="24"/>
          <w:szCs w:val="24"/>
          <w:lang w:val="es-PE"/>
        </w:rPr>
        <w:t xml:space="preserve">Declarar </w:t>
      </w:r>
      <w:r w:rsidRPr="4CC65DCF" w:rsidR="00416E4F">
        <w:rPr>
          <w:rFonts w:ascii="Times New Roman" w:hAnsi="Times New Roman" w:cs="Times New Roman"/>
          <w:b w:val="1"/>
          <w:bCs w:val="1"/>
          <w:sz w:val="24"/>
          <w:szCs w:val="24"/>
          <w:lang w:val="es-PE"/>
        </w:rPr>
        <w:t xml:space="preserve">CONCLUIDO, SIN PRONUNCIAMIENTO SOBRE EL FONDO, </w:t>
      </w:r>
      <w:r w:rsidRPr="4CC65DCF" w:rsidR="00416E4F">
        <w:rPr>
          <w:rFonts w:ascii="Times New Roman" w:hAnsi="Times New Roman" w:cs="Times New Roman"/>
          <w:sz w:val="24"/>
          <w:szCs w:val="24"/>
          <w:lang w:val="es-PE"/>
        </w:rPr>
        <w:t xml:space="preserve">el proceso relativo a la reclamación interpuesta por </w:t>
      </w:r>
      <w:r w:rsidRPr="4CC65DCF" w:rsidR="4F7431CB">
        <w:rPr>
          <w:rFonts w:ascii="Times New Roman" w:hAnsi="Times New Roman" w:cs="Times New Roman"/>
          <w:b w:val="1"/>
          <w:bCs w:val="1"/>
          <w:sz w:val="24"/>
          <w:szCs w:val="24"/>
          <w:lang w:val="es-ES"/>
        </w:rPr>
        <w:t>.............................................</w:t>
      </w:r>
      <w:r w:rsidRPr="4CC65DCF" w:rsidR="00416E4F">
        <w:rPr>
          <w:rFonts w:ascii="Times New Roman" w:hAnsi="Times New Roman" w:cs="Times New Roman"/>
          <w:b w:val="1"/>
          <w:bCs w:val="1"/>
          <w:sz w:val="24"/>
          <w:szCs w:val="24"/>
          <w:lang w:val="es-MX"/>
        </w:rPr>
        <w:t xml:space="preserve"> </w:t>
      </w:r>
      <w:r w:rsidRPr="4CC65DCF" w:rsidR="00416E4F">
        <w:rPr>
          <w:rFonts w:ascii="Times New Roman" w:hAnsi="Times New Roman" w:cs="Times New Roman"/>
          <w:sz w:val="24"/>
          <w:szCs w:val="24"/>
          <w:lang w:val="es-PE"/>
        </w:rPr>
        <w:t xml:space="preserve">contra </w:t>
      </w:r>
      <w:r w:rsidRPr="4CC65DCF" w:rsidR="293E14A9">
        <w:rPr>
          <w:rFonts w:ascii="Times New Roman" w:hAnsi="Times New Roman" w:cs="Times New Roman"/>
          <w:b w:val="1"/>
          <w:bCs w:val="1"/>
          <w:sz w:val="24"/>
          <w:szCs w:val="24"/>
          <w:lang w:val="es-MX"/>
        </w:rPr>
        <w:t>.......................................</w:t>
      </w:r>
      <w:r w:rsidRPr="4CC65DCF" w:rsidR="00416E4F">
        <w:rPr>
          <w:rFonts w:ascii="Times New Roman" w:hAnsi="Times New Roman" w:cs="Times New Roman"/>
          <w:b w:val="1"/>
          <w:bCs w:val="1"/>
          <w:sz w:val="24"/>
          <w:szCs w:val="24"/>
          <w:lang w:val="es-MX"/>
        </w:rPr>
        <w:t>,</w:t>
      </w:r>
      <w:r w:rsidRPr="4CC65DCF" w:rsidR="00416E4F">
        <w:rPr>
          <w:rFonts w:ascii="Times New Roman" w:hAnsi="Times New Roman" w:cs="Times New Roman"/>
          <w:sz w:val="24"/>
          <w:szCs w:val="24"/>
          <w:lang w:val="es-PE"/>
        </w:rPr>
        <w:t xml:space="preserve"> disponiéndose el </w:t>
      </w:r>
      <w:r w:rsidRPr="4CC65DCF" w:rsidR="00416E4F">
        <w:rPr>
          <w:rFonts w:ascii="Times New Roman" w:hAnsi="Times New Roman" w:cs="Times New Roman"/>
          <w:b w:val="1"/>
          <w:bCs w:val="1"/>
          <w:sz w:val="24"/>
          <w:szCs w:val="24"/>
          <w:lang w:val="es-PE"/>
        </w:rPr>
        <w:t>ARCHIVO DEFINITIVO DEL CASO,</w:t>
      </w:r>
      <w:r w:rsidRPr="4CC65DCF" w:rsidR="00416E4F">
        <w:rPr>
          <w:rFonts w:ascii="Times New Roman" w:hAnsi="Times New Roman" w:cs="Times New Roman"/>
          <w:sz w:val="24"/>
          <w:szCs w:val="24"/>
          <w:lang w:val="es-PE"/>
        </w:rPr>
        <w:t xml:space="preserve"> quedando a salvo su derecho de recurrir a las instancias que considere pertinentes.</w:t>
      </w:r>
    </w:p>
    <w:p w:rsidRPr="00E77D87" w:rsidR="00033B9E" w:rsidP="00E77D87" w:rsidRDefault="00033B9E" w14:paraId="5ED79E9E" w14:textId="5933C9EF">
      <w:pPr>
        <w:spacing w:after="200" w:line="240" w:lineRule="auto"/>
        <w:jc w:val="right"/>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Lima, </w:t>
      </w:r>
      <w:r w:rsidRPr="00E77D87" w:rsidR="009F1CD1">
        <w:rPr>
          <w:rFonts w:ascii="Times New Roman" w:hAnsi="Times New Roman" w:cs="Times New Roman"/>
          <w:sz w:val="24"/>
          <w:szCs w:val="24"/>
          <w:lang w:val="es-PE"/>
        </w:rPr>
        <w:t>2</w:t>
      </w:r>
      <w:r w:rsidRPr="00E77D87" w:rsidR="00E77D87">
        <w:rPr>
          <w:rFonts w:ascii="Times New Roman" w:hAnsi="Times New Roman" w:cs="Times New Roman"/>
          <w:sz w:val="24"/>
          <w:szCs w:val="24"/>
          <w:lang w:val="es-PE"/>
        </w:rPr>
        <w:t>5</w:t>
      </w:r>
      <w:r w:rsidRPr="00E77D87">
        <w:rPr>
          <w:rFonts w:ascii="Times New Roman" w:hAnsi="Times New Roman" w:cs="Times New Roman"/>
          <w:sz w:val="24"/>
          <w:szCs w:val="24"/>
          <w:lang w:val="es-PE"/>
        </w:rPr>
        <w:t xml:space="preserve"> de </w:t>
      </w:r>
      <w:r w:rsidRPr="00E77D87" w:rsidR="00DF779F">
        <w:rPr>
          <w:rFonts w:ascii="Times New Roman" w:hAnsi="Times New Roman" w:cs="Times New Roman"/>
          <w:sz w:val="24"/>
          <w:szCs w:val="24"/>
          <w:lang w:val="es-PE"/>
        </w:rPr>
        <w:t>agosto</w:t>
      </w:r>
      <w:r w:rsidRPr="00E77D87">
        <w:rPr>
          <w:rFonts w:ascii="Times New Roman" w:hAnsi="Times New Roman" w:cs="Times New Roman"/>
          <w:sz w:val="24"/>
          <w:szCs w:val="24"/>
          <w:lang w:val="es-PE"/>
        </w:rPr>
        <w:t xml:space="preserve"> de 2025 </w:t>
      </w:r>
    </w:p>
    <w:p w:rsidRPr="00E77D87" w:rsidR="00033B9E" w:rsidP="00E77D8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77D87"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E77D8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E77D87" w:rsidR="00033B9E" w:rsidP="00E77D87" w:rsidRDefault="00033B9E" w14:paraId="480C5042"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Rolando Eyzaguirre Maccan - Presidente</w:t>
      </w:r>
    </w:p>
    <w:p w:rsidRPr="00E77D87"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María Eugenia Valdez Fernández Baca - Vocal</w:t>
      </w:r>
    </w:p>
    <w:p w:rsidRPr="00E77D87" w:rsidR="00543E68" w:rsidP="00E77D87" w:rsidRDefault="00033B9E" w14:paraId="39CA59B6" w14:textId="2505313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Antonio Rodriguez Lobatón – Vocal</w:t>
      </w:r>
      <w:bookmarkEnd w:id="0"/>
    </w:p>
    <w:sectPr w:rsidRPr="00E77D87"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5DC" w:rsidP="00784355" w:rsidRDefault="000125DC" w14:paraId="5B288A1D" w14:textId="77777777">
      <w:pPr>
        <w:spacing w:after="0" w:line="240" w:lineRule="auto"/>
      </w:pPr>
      <w:r>
        <w:separator/>
      </w:r>
    </w:p>
  </w:endnote>
  <w:endnote w:type="continuationSeparator" w:id="0">
    <w:p w:rsidR="000125DC" w:rsidP="00784355" w:rsidRDefault="000125DC" w14:paraId="77231A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5DC" w:rsidP="00784355" w:rsidRDefault="000125DC" w14:paraId="1BFE203C" w14:textId="77777777">
      <w:pPr>
        <w:spacing w:after="0" w:line="240" w:lineRule="auto"/>
      </w:pPr>
      <w:r>
        <w:separator/>
      </w:r>
    </w:p>
  </w:footnote>
  <w:footnote w:type="continuationSeparator" w:id="0">
    <w:p w:rsidR="000125DC" w:rsidP="00784355" w:rsidRDefault="000125DC" w14:paraId="249EE2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111B02E5"/>
    <w:rsid w:val="11BCF229"/>
    <w:rsid w:val="1C887FB4"/>
    <w:rsid w:val="1E382A30"/>
    <w:rsid w:val="26BD1C1E"/>
    <w:rsid w:val="293E14A9"/>
    <w:rsid w:val="401F854E"/>
    <w:rsid w:val="484868E3"/>
    <w:rsid w:val="4CC65DCF"/>
    <w:rsid w:val="4F7431CB"/>
    <w:rsid w:val="5FB3BCAF"/>
    <w:rsid w:val="64853DE9"/>
    <w:rsid w:val="7692E5BF"/>
    <w:rsid w:val="79E6C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54C7F0C-FC23-43F8-AC68-F757072AD30A}"/>
</file>

<file path=customXml/itemProps3.xml><?xml version="1.0" encoding="utf-8"?>
<ds:datastoreItem xmlns:ds="http://schemas.openxmlformats.org/officeDocument/2006/customXml" ds:itemID="{F107F9C9-6ED3-4A5A-AEEB-21047EE8F251}"/>
</file>

<file path=customXml/itemProps4.xml><?xml version="1.0" encoding="utf-8"?>
<ds:datastoreItem xmlns:ds="http://schemas.openxmlformats.org/officeDocument/2006/customXml" ds:itemID="{21C8F802-1636-4B0B-9235-47447410E8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9</cp:revision>
  <cp:lastPrinted>2025-09-08T17:18:00Z</cp:lastPrinted>
  <dcterms:created xsi:type="dcterms:W3CDTF">2025-09-08T17:06:00Z</dcterms:created>
  <dcterms:modified xsi:type="dcterms:W3CDTF">2026-05-04T13:42:20Z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