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E77D87" w:rsidRDefault="00201C0D" w14:paraId="2E2FA649" w14:textId="16DEA8B8">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w:t>
      </w:r>
      <w:r w:rsidR="006702F2">
        <w:rPr>
          <w:rFonts w:ascii="Times New Roman" w:hAnsi="Times New Roman" w:cs="Times New Roman"/>
          <w:b/>
          <w:sz w:val="24"/>
          <w:szCs w:val="24"/>
          <w:lang w:val="es-PE" w:eastAsia="ar-SA"/>
        </w:rPr>
        <w:t>3</w:t>
      </w:r>
      <w:r w:rsidRPr="00E77D87" w:rsidR="00AA2AA2">
        <w:rPr>
          <w:rFonts w:ascii="Times New Roman" w:hAnsi="Times New Roman" w:cs="Times New Roman"/>
          <w:b/>
          <w:sz w:val="24"/>
          <w:szCs w:val="24"/>
          <w:lang w:val="es-PE" w:eastAsia="ar-SA"/>
        </w:rPr>
        <w:t>/25</w:t>
      </w:r>
    </w:p>
    <w:p w:rsidRPr="00153AEB" w:rsidR="00153AEB" w:rsidP="00153AEB" w:rsidRDefault="00153AEB" w14:paraId="354553CC" w14:textId="77777777">
      <w:pPr>
        <w:spacing w:after="200" w:line="240" w:lineRule="auto"/>
        <w:jc w:val="both"/>
        <w:rPr>
          <w:rFonts w:ascii="Times New Roman" w:hAnsi="Times New Roman" w:cs="Times New Roman"/>
          <w:b/>
          <w:bCs/>
          <w:sz w:val="24"/>
          <w:szCs w:val="24"/>
          <w:lang w:val="es-PE"/>
        </w:rPr>
      </w:pPr>
      <w:bookmarkStart w:name="_Hlk198053358" w:id="0"/>
    </w:p>
    <w:p w:rsidRPr="00153AEB" w:rsidR="00153AEB" w:rsidP="00153AEB" w:rsidRDefault="00153AEB" w14:paraId="59F30CEE" w14:textId="75C19BAB">
      <w:pPr>
        <w:spacing w:after="200" w:line="240" w:lineRule="auto"/>
        <w:jc w:val="both"/>
        <w:rPr>
          <w:rFonts w:ascii="Times New Roman" w:hAnsi="Times New Roman" w:cs="Times New Roman"/>
          <w:b/>
          <w:bCs/>
          <w:sz w:val="24"/>
          <w:szCs w:val="24"/>
          <w:lang w:val="es-PE"/>
        </w:rPr>
      </w:pPr>
      <w:r w:rsidRPr="00153AEB">
        <w:rPr>
          <w:rFonts w:ascii="Times New Roman" w:hAnsi="Times New Roman" w:cs="Times New Roman"/>
          <w:b/>
          <w:bCs/>
          <w:sz w:val="24"/>
          <w:szCs w:val="24"/>
          <w:lang w:val="es-PE"/>
        </w:rPr>
        <w:t>VISTOS:</w:t>
      </w:r>
    </w:p>
    <w:p w:rsidRPr="00153AEB" w:rsidR="00153AEB" w:rsidP="0EF487A4" w:rsidRDefault="00153AEB" w14:paraId="5C43FE92" w14:textId="53364821">
      <w:pPr>
        <w:spacing w:after="200" w:line="240" w:lineRule="auto"/>
        <w:jc w:val="both"/>
        <w:rPr>
          <w:rFonts w:ascii="Times New Roman" w:hAnsi="Times New Roman" w:cs="Times New Roman"/>
          <w:b w:val="1"/>
          <w:bCs w:val="1"/>
          <w:sz w:val="24"/>
          <w:szCs w:val="24"/>
          <w:lang w:val="es-PE"/>
        </w:rPr>
      </w:pPr>
      <w:r w:rsidRPr="0EF487A4" w:rsidR="00153AEB">
        <w:rPr>
          <w:rFonts w:ascii="Times New Roman" w:hAnsi="Times New Roman" w:cs="Times New Roman"/>
          <w:sz w:val="24"/>
          <w:szCs w:val="24"/>
          <w:lang w:val="es-PE"/>
        </w:rPr>
        <w:t xml:space="preserve">Que, </w:t>
      </w:r>
      <w:bookmarkStart w:name="_Hlk185247457" w:id="1"/>
      <w:bookmarkStart w:name="_Hlk107662905" w:id="2"/>
      <w:r w:rsidRPr="0EF487A4" w:rsidR="2AC87651">
        <w:rPr>
          <w:rFonts w:ascii="Times New Roman" w:hAnsi="Times New Roman" w:cs="Times New Roman"/>
          <w:b w:val="1"/>
          <w:bCs w:val="1"/>
          <w:sz w:val="24"/>
          <w:szCs w:val="24"/>
          <w:lang w:val="es-MX"/>
        </w:rPr>
        <w:t>.................................................................................</w:t>
      </w:r>
      <w:bookmarkEnd w:id="1"/>
      <w:bookmarkEnd w:id="2"/>
      <w:r w:rsidRPr="0EF487A4" w:rsidR="00153AEB">
        <w:rPr>
          <w:rFonts w:ascii="Times New Roman" w:hAnsi="Times New Roman" w:cs="Times New Roman"/>
          <w:b w:val="1"/>
          <w:bCs w:val="1"/>
          <w:sz w:val="24"/>
          <w:szCs w:val="24"/>
          <w:lang w:val="es-MX"/>
        </w:rPr>
        <w:t xml:space="preserve"> </w:t>
      </w:r>
      <w:r w:rsidRPr="0EF487A4" w:rsidR="00153AEB">
        <w:rPr>
          <w:rFonts w:ascii="Times New Roman" w:hAnsi="Times New Roman" w:cs="Times New Roman"/>
          <w:sz w:val="24"/>
          <w:szCs w:val="24"/>
          <w:lang w:val="es-PE"/>
        </w:rPr>
        <w:t xml:space="preserve">interpone reclamación ante esta Defensoría del Asegurado (DEFASEG), solicitando que </w:t>
      </w:r>
      <w:bookmarkStart w:name="OLE_LINK2" w:id="3"/>
      <w:r w:rsidRPr="0EF487A4" w:rsidR="1A70DD61">
        <w:rPr>
          <w:rFonts w:ascii="Times New Roman" w:hAnsi="Times New Roman" w:cs="Times New Roman"/>
          <w:b w:val="1"/>
          <w:bCs w:val="1"/>
          <w:sz w:val="24"/>
          <w:szCs w:val="24"/>
          <w:lang w:val="es-PE"/>
        </w:rPr>
        <w:t>....................</w:t>
      </w:r>
      <w:r w:rsidRPr="0EF487A4" w:rsidR="00153AEB">
        <w:rPr>
          <w:rFonts w:ascii="Times New Roman" w:hAnsi="Times New Roman" w:cs="Times New Roman"/>
          <w:sz w:val="24"/>
          <w:szCs w:val="24"/>
          <w:lang w:val="es-PE"/>
        </w:rPr>
        <w:t xml:space="preserve"> otorgue cobertura al siniestro ocurrido el 20 de diciembre de 2024, de acuerdo con los términos y condiciones del </w:t>
      </w:r>
      <w:r w:rsidRPr="0EF487A4" w:rsidR="00153AEB">
        <w:rPr>
          <w:rFonts w:ascii="Times New Roman" w:hAnsi="Times New Roman" w:cs="Times New Roman"/>
          <w:b w:val="1"/>
          <w:bCs w:val="1"/>
          <w:sz w:val="24"/>
          <w:szCs w:val="24"/>
          <w:lang w:val="es-MX"/>
        </w:rPr>
        <w:t xml:space="preserve">SEGURO </w:t>
      </w:r>
      <w:r w:rsidRPr="0EF487A4" w:rsidR="00153AEB">
        <w:rPr>
          <w:rFonts w:ascii="Times New Roman" w:hAnsi="Times New Roman" w:cs="Times New Roman"/>
          <w:b w:val="1"/>
          <w:bCs w:val="1"/>
          <w:sz w:val="24"/>
          <w:szCs w:val="24"/>
          <w:lang w:val="es-PE"/>
        </w:rPr>
        <w:t xml:space="preserve">DE AUTOMÓVILES </w:t>
      </w:r>
      <w:r w:rsidRPr="0EF487A4" w:rsidR="00153AEB">
        <w:rPr>
          <w:rFonts w:ascii="Times New Roman" w:hAnsi="Times New Roman" w:cs="Times New Roman"/>
          <w:b w:val="1"/>
          <w:bCs w:val="1"/>
          <w:sz w:val="24"/>
          <w:szCs w:val="24"/>
          <w:lang w:val="es-MX"/>
        </w:rPr>
        <w:t xml:space="preserve">– PÓLIZA No </w:t>
      </w:r>
      <w:bookmarkEnd w:id="3"/>
      <w:r w:rsidRPr="0EF487A4" w:rsidR="0748ABFD">
        <w:rPr>
          <w:rFonts w:ascii="Times New Roman" w:hAnsi="Times New Roman" w:cs="Times New Roman"/>
          <w:b w:val="1"/>
          <w:bCs w:val="1"/>
          <w:sz w:val="24"/>
          <w:szCs w:val="24"/>
          <w:lang w:val="es-PE"/>
        </w:rPr>
        <w:t>..........................</w:t>
      </w:r>
      <w:r w:rsidRPr="0EF487A4" w:rsidR="00153AEB">
        <w:rPr>
          <w:rFonts w:ascii="Times New Roman" w:hAnsi="Times New Roman" w:cs="Times New Roman"/>
          <w:sz w:val="24"/>
          <w:szCs w:val="24"/>
          <w:lang w:val="es-PE"/>
        </w:rPr>
        <w:t>;</w:t>
      </w:r>
    </w:p>
    <w:p w:rsidRPr="00153AEB" w:rsidR="00153AEB" w:rsidP="00153AEB" w:rsidRDefault="00153AEB" w14:paraId="454A9E29" w14:textId="5B28FF52">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Que, la señalada reclamación cumple con los requisitos de materia, cuantía y oportunidad establecidos en el Reglamento de la DEFASEG (</w:t>
      </w:r>
      <w:hyperlink w:history="1" r:id="rId8">
        <w:r w:rsidRPr="00153AEB">
          <w:rPr>
            <w:rStyle w:val="Hipervnculo"/>
            <w:rFonts w:ascii="Times New Roman" w:hAnsi="Times New Roman" w:cs="Times New Roman"/>
            <w:sz w:val="24"/>
            <w:szCs w:val="24"/>
            <w:lang w:val="es-PE"/>
          </w:rPr>
          <w:t>http://www.defaseg.com.pe/reglamento.html</w:t>
        </w:r>
      </w:hyperlink>
      <w:r w:rsidRPr="00153AEB">
        <w:rPr>
          <w:rFonts w:ascii="Times New Roman" w:hAnsi="Times New Roman" w:cs="Times New Roman"/>
          <w:sz w:val="24"/>
          <w:szCs w:val="24"/>
          <w:lang w:val="es-PE"/>
        </w:rPr>
        <w:t>);</w:t>
      </w:r>
    </w:p>
    <w:p w:rsidRPr="00153AEB" w:rsidR="00153AEB" w:rsidP="00153AEB" w:rsidRDefault="00153AEB" w14:paraId="20F149A3" w14:textId="5BBB900E">
      <w:pPr>
        <w:spacing w:after="200" w:line="240" w:lineRule="auto"/>
        <w:jc w:val="both"/>
        <w:rPr>
          <w:rFonts w:ascii="Times New Roman" w:hAnsi="Times New Roman" w:cs="Times New Roman"/>
          <w:sz w:val="24"/>
          <w:szCs w:val="24"/>
          <w:lang w:val="es-PE"/>
        </w:rPr>
      </w:pPr>
      <w:r w:rsidRPr="0EF487A4" w:rsidR="00153AEB">
        <w:rPr>
          <w:rFonts w:ascii="Times New Roman" w:hAnsi="Times New Roman" w:cs="Times New Roman"/>
          <w:sz w:val="24"/>
          <w:szCs w:val="24"/>
          <w:lang w:val="es-PE"/>
        </w:rPr>
        <w:t xml:space="preserve">Que, habiéndosele corrido traslado de la respectiva reclamación, </w:t>
      </w:r>
      <w:r w:rsidRPr="0EF487A4" w:rsidR="5E160B14">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presentó sus descargos y la documentación requerida;</w:t>
      </w:r>
    </w:p>
    <w:p w:rsidRPr="00153AEB" w:rsidR="00153AEB" w:rsidP="00153AEB" w:rsidRDefault="00153AEB" w14:paraId="7572BE2A" w14:textId="15A9D34D">
      <w:pPr>
        <w:spacing w:after="200" w:line="240" w:lineRule="auto"/>
        <w:jc w:val="both"/>
        <w:rPr>
          <w:rFonts w:ascii="Times New Roman" w:hAnsi="Times New Roman" w:cs="Times New Roman"/>
          <w:sz w:val="24"/>
          <w:szCs w:val="24"/>
          <w:lang w:val="es-ES"/>
        </w:rPr>
      </w:pPr>
      <w:r w:rsidRPr="00153AEB">
        <w:rPr>
          <w:rFonts w:ascii="Times New Roman" w:hAnsi="Times New Roman" w:cs="Times New Roman"/>
          <w:sz w:val="24"/>
          <w:szCs w:val="24"/>
          <w:lang w:val="es-PE"/>
        </w:rPr>
        <w:t xml:space="preserve">Que, </w:t>
      </w:r>
      <w:r w:rsidRPr="00153AEB">
        <w:rPr>
          <w:rFonts w:ascii="Times New Roman" w:hAnsi="Times New Roman" w:cs="Times New Roman"/>
          <w:sz w:val="24"/>
          <w:szCs w:val="24"/>
          <w:lang w:val="es-419"/>
        </w:rPr>
        <w:t xml:space="preserve">el 9 de junio de 2025 </w:t>
      </w:r>
      <w:r w:rsidRPr="00153AEB">
        <w:rPr>
          <w:rFonts w:ascii="Times New Roman" w:hAnsi="Times New Roman" w:cs="Times New Roman"/>
          <w:sz w:val="24"/>
          <w:szCs w:val="24"/>
          <w:lang w:val="es-PE"/>
        </w:rPr>
        <w:t>se realizó la audiencia de vista virtual, con la participación de las partes, las que sustentaron su posición respecto de la reclamación</w:t>
      </w:r>
      <w:r w:rsidRPr="00153AEB">
        <w:rPr>
          <w:rFonts w:ascii="Times New Roman" w:hAnsi="Times New Roman" w:cs="Times New Roman"/>
          <w:sz w:val="24"/>
          <w:szCs w:val="24"/>
          <w:lang w:val="es-ES"/>
        </w:rPr>
        <w:t>,</w:t>
      </w:r>
      <w:r w:rsidRPr="00153AEB">
        <w:rPr>
          <w:rFonts w:ascii="Times New Roman" w:hAnsi="Times New Roman" w:cs="Times New Roman"/>
          <w:sz w:val="24"/>
          <w:szCs w:val="24"/>
          <w:lang w:val="es-PE"/>
        </w:rPr>
        <w:t xml:space="preserve"> absolviendo las diversas preguntas formuladas por el Colegiado, conforme consta de la correspondiente acta;</w:t>
      </w:r>
    </w:p>
    <w:p w:rsidRPr="00153AEB" w:rsidR="00153AEB" w:rsidP="00153AEB" w:rsidRDefault="00153AEB" w14:paraId="4DF63BA8" w14:textId="37B2EBC2">
      <w:pPr>
        <w:spacing w:after="200" w:line="240" w:lineRule="auto"/>
        <w:jc w:val="both"/>
        <w:rPr>
          <w:rFonts w:ascii="Times New Roman" w:hAnsi="Times New Roman" w:cs="Times New Roman"/>
          <w:sz w:val="24"/>
          <w:szCs w:val="24"/>
          <w:lang w:val="es-PE"/>
        </w:rPr>
      </w:pPr>
      <w:r w:rsidRPr="0EF487A4" w:rsidR="00153AEB">
        <w:rPr>
          <w:rFonts w:ascii="Times New Roman" w:hAnsi="Times New Roman" w:cs="Times New Roman"/>
          <w:sz w:val="24"/>
          <w:szCs w:val="24"/>
          <w:lang w:val="es-PE"/>
        </w:rPr>
        <w:t xml:space="preserve">Que, la reclamación interpuesta se sustenta resumidamente en lo siguiente: (1) al comprar el seguro vehicular con la empresa </w:t>
      </w:r>
      <w:r w:rsidRPr="0EF487A4" w:rsidR="67924CCC">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(Bróker), la representante de ventas del asegurador tuvo problemas con la afiliación del débito automático hasta en tres oportunidades; (2) en cada ocasión, le confirmaba que la afiliación estaba correcta, pero luego le informaba que la cuenta era errónea o no existía, por lo que no se realizaba el débito automático; (3) indica que se brindó la información correcta; (4) debido a estos inconvenientes con el Bróker, realizó los últimos pagos el 10 de diciembre de 2024 por medio de aplicativo móvil de banco; (5) el robo de la computadora de la unidad asegurada de placa de rodaje </w:t>
      </w:r>
      <w:r w:rsidRPr="0EF487A4" w:rsidR="00153AEB">
        <w:rPr>
          <w:rFonts w:ascii="Times New Roman" w:hAnsi="Times New Roman" w:cs="Times New Roman"/>
          <w:sz w:val="24"/>
          <w:szCs w:val="24"/>
          <w:lang w:val="es-PE"/>
        </w:rPr>
        <w:t>N°</w:t>
      </w:r>
      <w:r w:rsidRPr="0EF487A4" w:rsidR="00153AEB">
        <w:rPr>
          <w:rFonts w:ascii="Times New Roman" w:hAnsi="Times New Roman" w:cs="Times New Roman"/>
          <w:sz w:val="24"/>
          <w:szCs w:val="24"/>
          <w:lang w:val="es-PE"/>
        </w:rPr>
        <w:t xml:space="preserve"> </w:t>
      </w:r>
      <w:r w:rsidRPr="0EF487A4" w:rsidR="77F25EE9">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ocurrió el 20 de diciembre de 2024 en la puerta de su domicilio, pero el seguro asumió erróneamente que el seguro fue pagado un día antes; (6) realizó la denuncia correspondiente y comunicó el siniestro a </w:t>
      </w:r>
      <w:r w:rsidRPr="0EF487A4" w:rsidR="5E160B14">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Seguros, el cual se apersonó un motorizado de la compañía a tomar datos del robo; (7) se le solicitó someterse a una prueba de polígrafo en la empresa </w:t>
      </w:r>
      <w:r w:rsidRPr="0EF487A4" w:rsidR="1A0851FF">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pero no fue atendido en la fecha programada, por lo cual se le reprogramó con otra empresa </w:t>
      </w:r>
      <w:r w:rsidRPr="0EF487A4" w:rsidR="00153AEB">
        <w:rPr>
          <w:rFonts w:ascii="Times New Roman" w:hAnsi="Times New Roman" w:cs="Times New Roman"/>
          <w:sz w:val="24"/>
          <w:szCs w:val="24"/>
          <w:lang w:val="es-PE"/>
        </w:rPr>
        <w:t>Honesty</w:t>
      </w:r>
      <w:r w:rsidRPr="0EF487A4" w:rsidR="00153AEB">
        <w:rPr>
          <w:rFonts w:ascii="Times New Roman" w:hAnsi="Times New Roman" w:cs="Times New Roman"/>
          <w:sz w:val="24"/>
          <w:szCs w:val="24"/>
          <w:lang w:val="es-PE"/>
        </w:rPr>
        <w:t xml:space="preserve"> SAC; (8) el 18 de febrero de 2025 se sometió a la prueba de polígrafo; (9)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no tomó en consideración la declaración del examinado en torno a su estado de salud, como el problema del declarante con la energía estática, lo cual ocasiona que cuando toca objetos (metálicos y no metálicos), se produzcan chispas que varían de intensidad; (10) el 50% del resultado de la evaluación depende de la </w:t>
      </w:r>
      <w:r w:rsidRPr="0EF487A4" w:rsidR="00153AEB">
        <w:rPr>
          <w:rFonts w:ascii="Times New Roman" w:hAnsi="Times New Roman" w:cs="Times New Roman"/>
          <w:sz w:val="24"/>
          <w:szCs w:val="24"/>
          <w:lang w:val="es-PE"/>
        </w:rPr>
        <w:t>electroconductancia</w:t>
      </w:r>
      <w:r w:rsidRPr="0EF487A4" w:rsidR="00153AEB">
        <w:rPr>
          <w:rFonts w:ascii="Times New Roman" w:hAnsi="Times New Roman" w:cs="Times New Roman"/>
          <w:sz w:val="24"/>
          <w:szCs w:val="24"/>
          <w:lang w:val="es-PE"/>
        </w:rPr>
        <w:t xml:space="preserve"> magnética de la piel y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ni siquiera lo ha mencionado en el informe; (11)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no tomó en cuenta los problemas en el corazón del examinado, sabiendo que el 25% del resultado de la evaluación depende del sensor llamado Banda de Cardio, que recoge información directamente del corazón del examinado; (12) se le comentó a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que el examinado seguía un tratamiento por Condromalacia Rotuliana, que hace que el reclamante no pueda estar mucho tiempo sentado y que, si lo hace, empieza a sentir malestar y movimientos no deseados, lo cual tampoco ha sido considerado, sabiendo que el sensor de movimiento puede detectar estas anomalías y tomarlas como reacciones de mentira; (13) tampoco se tomó en consideración que el reclamante tuvo atención psicológica por un cuadro de depresión hace algún tiempo atrás; (14) toda esta información fue obviada en el </w:t>
      </w:r>
      <w:r w:rsidRPr="0EF487A4" w:rsidR="00153AEB">
        <w:rPr>
          <w:rFonts w:ascii="Times New Roman" w:hAnsi="Times New Roman" w:cs="Times New Roman"/>
          <w:sz w:val="24"/>
          <w:szCs w:val="24"/>
          <w:lang w:val="es-PE"/>
        </w:rPr>
        <w:t xml:space="preserve">informe final, siendo relevante para la evaluación poligráfica y su resultado final, porque tiene que ver directamente con la idoneidad del evaluado; (15) para aplicar una prueba poligráfica, es indispensable el uso de técnicas validadas; (16) existe un número relativamente bajo de técnicas en las que se han publicado su uso y su nivel de precisión. Estas técnicas se dividen en técnicas exploratorias (evaluación de confianza) y diagnosticas (investigación de ilícitos); (17) todas las técnicas poligráficas se componen de un proceso de aplicación y un proceso de calificación; (18) la técnica que ha utilizado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es conocida como ZCT FEDERAL, que llega solamente al 88% de precisión, en cualquier caso, por lo que casi no es utilizada por la comunidad de </w:t>
      </w:r>
      <w:r w:rsidRPr="0EF487A4" w:rsidR="00153AEB">
        <w:rPr>
          <w:rFonts w:ascii="Times New Roman" w:hAnsi="Times New Roman" w:cs="Times New Roman"/>
          <w:sz w:val="24"/>
          <w:szCs w:val="24"/>
          <w:lang w:val="es-PE"/>
        </w:rPr>
        <w:t>poligrafistas</w:t>
      </w:r>
      <w:r w:rsidRPr="0EF487A4" w:rsidR="00153AEB">
        <w:rPr>
          <w:rFonts w:ascii="Times New Roman" w:hAnsi="Times New Roman" w:cs="Times New Roman"/>
          <w:sz w:val="24"/>
          <w:szCs w:val="24"/>
          <w:lang w:val="es-PE"/>
        </w:rPr>
        <w:t xml:space="preserve">, desconociendo el motivo por el cual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continúa usando este tipo de pruebas, lo cual puede ser perjudicial para el evaluado; (19) las evaluaciones poligráficas no sirven para tomar acciones, sirven de manera referencial para investigaciones siempre y cuando haya indicios suficientes que apoyen alguna hipótesis de investigación; (20) la evaluación poligráfica tiene carácter probabilístico y no determinante, ya que  tiene márgenes de error de entre 16 y 8 %; (21) la evaluación poligráfica técnicamente no detecta mentiras, solamente identifica data proxy relacionada con reacciones de mentira; (22) la evaluación poligráfica practicada por la empresa </w:t>
      </w:r>
      <w:r w:rsidRPr="0EF487A4" w:rsidR="00153AEB">
        <w:rPr>
          <w:rFonts w:ascii="Times New Roman" w:hAnsi="Times New Roman" w:cs="Times New Roman"/>
          <w:sz w:val="24"/>
          <w:szCs w:val="24"/>
          <w:lang w:val="es-PE"/>
        </w:rPr>
        <w:t>Honesty</w:t>
      </w:r>
      <w:r w:rsidRPr="0EF487A4" w:rsidR="00153AEB">
        <w:rPr>
          <w:rFonts w:ascii="Times New Roman" w:hAnsi="Times New Roman" w:cs="Times New Roman"/>
          <w:sz w:val="24"/>
          <w:szCs w:val="24"/>
          <w:lang w:val="es-PE"/>
        </w:rPr>
        <w:t xml:space="preserve"> SAC no ha cumplido con los estándares básicos internacionales para este tipo de evaluación, debido a que no se ha tomado en cuenta información relevante proporcionada por el examinado, no se ha utilizado una técnica poligráfica con alta probabilidad de acierto, se han utilizado procedimientos antiéticos y no se han presentado los resultados porcentualmente; (23) la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asignada no se encuentra debidamente capacitada, entrenada, ni actualizada; lo que explicaría su negativa a proporcionarme la totalidad del resultado de la evaluación como son las gráficas, el video completo y las evaluaciones numéricas; (24) el rechazo se sustenta en una prueba que es solamente probabilística, y cuando el atestado policial y la investigación del Ministerio Público son claros al respecto.</w:t>
      </w:r>
    </w:p>
    <w:p w:rsidRPr="00153AEB" w:rsidR="00153AEB" w:rsidP="00153AEB" w:rsidRDefault="00153AEB" w14:paraId="7A5B732B" w14:textId="45F04244">
      <w:pPr>
        <w:spacing w:after="200" w:line="240" w:lineRule="auto"/>
        <w:jc w:val="both"/>
        <w:rPr>
          <w:rFonts w:ascii="Times New Roman" w:hAnsi="Times New Roman" w:cs="Times New Roman"/>
          <w:sz w:val="24"/>
          <w:szCs w:val="24"/>
          <w:lang w:val="es-PE"/>
        </w:rPr>
      </w:pPr>
      <w:r w:rsidRPr="0EF487A4" w:rsidR="00153AEB">
        <w:rPr>
          <w:rFonts w:ascii="Times New Roman" w:hAnsi="Times New Roman" w:cs="Times New Roman"/>
          <w:sz w:val="24"/>
          <w:szCs w:val="24"/>
          <w:lang w:val="es-ES"/>
        </w:rPr>
        <w:t xml:space="preserve">Que, por su parte, ratificando el rechazo de cobertura, </w:t>
      </w:r>
      <w:r w:rsidRPr="0EF487A4" w:rsidR="5E160B14">
        <w:rPr>
          <w:rFonts w:ascii="Times New Roman" w:hAnsi="Times New Roman" w:cs="Times New Roman"/>
          <w:sz w:val="24"/>
          <w:szCs w:val="24"/>
          <w:lang w:val="es-ES"/>
        </w:rPr>
        <w:t>....................</w:t>
      </w:r>
      <w:r w:rsidRPr="0EF487A4" w:rsidR="00153AEB">
        <w:rPr>
          <w:rFonts w:ascii="Times New Roman" w:hAnsi="Times New Roman" w:cs="Times New Roman"/>
          <w:sz w:val="24"/>
          <w:szCs w:val="24"/>
          <w:lang w:val="es-PE"/>
        </w:rPr>
        <w:t xml:space="preserve"> expresa</w:t>
      </w:r>
      <w:r w:rsidRPr="0EF487A4" w:rsidR="00153AEB">
        <w:rPr>
          <w:rFonts w:ascii="Times New Roman" w:hAnsi="Times New Roman" w:cs="Times New Roman"/>
          <w:sz w:val="24"/>
          <w:szCs w:val="24"/>
          <w:lang w:val="es-ES"/>
        </w:rPr>
        <w:t xml:space="preserve"> resumidamente lo siguiente: (1) el </w:t>
      </w:r>
      <w:r w:rsidRPr="0EF487A4" w:rsidR="00153AEB">
        <w:rPr>
          <w:rFonts w:ascii="Times New Roman" w:hAnsi="Times New Roman" w:cs="Times New Roman"/>
          <w:sz w:val="24"/>
          <w:szCs w:val="24"/>
          <w:lang w:val="es-PE"/>
        </w:rPr>
        <w:t xml:space="preserve">19 de diciembre de 2024 el reclamante efectuó el pago de sus primas pendientes a fin de rehabilitar su Póliza N.º </w:t>
      </w:r>
      <w:r w:rsidRPr="0EF487A4" w:rsidR="0748ABFD">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cuyo objeto era brindar una cobertura de seguro para su vehículo de placa de rodaje N.º </w:t>
      </w:r>
      <w:r w:rsidRPr="0EF487A4" w:rsidR="763B44CE">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marca </w:t>
      </w:r>
      <w:r w:rsidRPr="0EF487A4" w:rsidR="7A3711E7">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(2) el 20 de diciembre de 2024, se produjo el siniestro consistente en el hurto de la computadora automotriz del vehículo del asegurado, mientras este se encontraba estacionado frente a su domicilio; (3) el 23 de diciembre de 2024, el asegurado presentó los documentos requeridos para evaluar la procedencia de la cobertura por el siniestro ocurrido, por lo que, el 03 de enero de 2025 se le solicitó al reclamante que pase por una prueba del polígrafo con el fin de esclarecer los hechos relacionados al siniestro; (4) el asegurado programó asistir a dicha prueba el 31 de enero de 2025 a las 06:00 p.m., por lo que al llegar al lugar estuvo esperando al </w:t>
      </w:r>
      <w:r w:rsidRPr="0EF487A4" w:rsidR="00153AEB">
        <w:rPr>
          <w:rFonts w:ascii="Times New Roman" w:hAnsi="Times New Roman" w:cs="Times New Roman"/>
          <w:sz w:val="24"/>
          <w:szCs w:val="24"/>
          <w:lang w:val="es-PE"/>
        </w:rPr>
        <w:t>poligrafista</w:t>
      </w:r>
      <w:r w:rsidRPr="0EF487A4" w:rsidR="00153AEB">
        <w:rPr>
          <w:rFonts w:ascii="Times New Roman" w:hAnsi="Times New Roman" w:cs="Times New Roman"/>
          <w:sz w:val="24"/>
          <w:szCs w:val="24"/>
          <w:lang w:val="es-PE"/>
        </w:rPr>
        <w:t xml:space="preserve">, pero tras transcurrir aproximadamente 20 minutos decidió retirarse; (5) el asegurado presentó un reclamo el 11 de febrero de 2025 solicitando la reprogramación de su evaluación, no obstante el 10 de febrero de 2025 ya se le había reprogramado una nueva evaluación del polígrafo, designando a una empresa distinta para llevar a cabo dicho procedimiento; (6) el reclamante aceptó de manera voluntaria y libre pasar por la prueba del polígrafo, confirmando su asistencia para el día 17 de febrero de 2025. Fecha, en la cual se llevó a cabo la evaluación poligráfica conforme a los procedimientos establecidos, con el fin de contribuir al esclarecimiento de los hechos relacionados con el siniestro reportado.; (7) se solicitó al asegurado la realización de la prueba del polígrafo con el objetivo de esclarecer las circunstancias en las que se produjo el hurto de la computadora automotriz de su vehículo, materia de evaluación de cobertura, ya que existieron diversas interrogantes surgidas durante el análisis de la procedencia de la cobertura: </w:t>
      </w:r>
      <w:r w:rsidRPr="0EF487A4" w:rsidR="00153AEB">
        <w:rPr>
          <w:rFonts w:ascii="Times New Roman" w:hAnsi="Times New Roman" w:cs="Times New Roman"/>
          <w:sz w:val="24"/>
          <w:szCs w:val="24"/>
          <w:lang w:val="es-PE"/>
        </w:rPr>
        <w:t xml:space="preserve">- en primer lugar, llamó la atención que el asegurado reportara la ocurrencia del siniestro un día después de haber realizado el pago para la rehabilitación de su póliza, y - resultaba relevante entender cómo sucedió la sustracción de dicha autoparte sin indicios que alertaran sobre el hecho. Así, ante estas interrogantes, se generó una sospecha razonable que motivó el requerimiento del examen poligráfico; (8) el siniestro no tiene cobertura por cuanto el asegurado no pasó de manera satisfactoria la prueba poligráfica realizada el 17 de febrero del 2025; (9) en el informe de la prueba poligráfica se concluye que del análisis de los resultados matemáticos del Sistema Computarizado de Polígrafo, así como una detallada revisión de las gráficas poligráficas, el examinador determinó que el asegurado sí presentó reacciones indicativas de engaño (DI) al responder a las preguntas relevantes, realizadas durante el examen; (10) de la disposición fiscal se observa que no se ha procedido con la formalización de investigación, lo cual, lejos de fortalecer su posición, tampoco contribuye a esclarecer los hechos denunciados ni a sustentar un eventual cambio en la evaluación realizada. </w:t>
      </w:r>
    </w:p>
    <w:p w:rsidRPr="00153AEB" w:rsidR="00153AEB" w:rsidP="00153AEB" w:rsidRDefault="00153AEB" w14:paraId="3823D80D" w14:textId="581841DB">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b/>
          <w:bCs/>
          <w:sz w:val="24"/>
          <w:szCs w:val="24"/>
          <w:lang w:val="es-PE"/>
        </w:rPr>
        <w:t>CONSIDERANDO:</w:t>
      </w:r>
    </w:p>
    <w:p w:rsidRPr="00153AEB" w:rsidR="00153AEB" w:rsidP="00153AEB" w:rsidRDefault="00153AEB" w14:paraId="52BACD41" w14:textId="6D78C45B">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b/>
          <w:sz w:val="24"/>
          <w:szCs w:val="24"/>
          <w:u w:val="single"/>
          <w:lang w:val="es-PE"/>
        </w:rPr>
        <w:t>PRIMERO</w:t>
      </w:r>
      <w:r w:rsidRPr="00153AEB">
        <w:rPr>
          <w:rFonts w:ascii="Times New Roman" w:hAnsi="Times New Roman" w:cs="Times New Roman"/>
          <w:b/>
          <w:sz w:val="24"/>
          <w:szCs w:val="24"/>
          <w:lang w:val="es-PE"/>
        </w:rPr>
        <w:t xml:space="preserve">: </w:t>
      </w:r>
      <w:r w:rsidRPr="00153AEB">
        <w:rPr>
          <w:rFonts w:ascii="Times New Roman" w:hAnsi="Times New Roman" w:cs="Times New Roman"/>
          <w:sz w:val="24"/>
          <w:szCs w:val="24"/>
          <w:lang w:val="es-PE"/>
        </w:rPr>
        <w:t>Conforme a su Reglamento, la</w:t>
      </w:r>
      <w:r w:rsidRPr="00153AEB">
        <w:rPr>
          <w:rFonts w:ascii="Times New Roman" w:hAnsi="Times New Roman" w:cs="Times New Roman"/>
          <w:b/>
          <w:bCs/>
          <w:sz w:val="24"/>
          <w:szCs w:val="24"/>
          <w:lang w:val="es-PE"/>
        </w:rPr>
        <w:t xml:space="preserve"> </w:t>
      </w:r>
      <w:r w:rsidRPr="00153AEB">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53AEB" w:rsidR="00153AEB" w:rsidP="00153AEB" w:rsidRDefault="00153AEB" w14:paraId="1DB86434" w14:textId="2BE89141">
      <w:pPr>
        <w:spacing w:after="200" w:line="240" w:lineRule="auto"/>
        <w:jc w:val="both"/>
        <w:rPr>
          <w:rFonts w:ascii="Times New Roman" w:hAnsi="Times New Roman" w:cs="Times New Roman"/>
          <w:bCs/>
          <w:sz w:val="24"/>
          <w:szCs w:val="24"/>
          <w:lang w:val="es-PE"/>
        </w:rPr>
      </w:pPr>
      <w:r w:rsidRPr="00153AEB">
        <w:rPr>
          <w:rFonts w:ascii="Times New Roman" w:hAnsi="Times New Roman" w:cs="Times New Roman"/>
          <w:b/>
          <w:bCs/>
          <w:sz w:val="24"/>
          <w:szCs w:val="24"/>
          <w:u w:val="single"/>
          <w:lang w:val="es-PE"/>
        </w:rPr>
        <w:t>SEGUNDO</w:t>
      </w:r>
      <w:r w:rsidRPr="00153AEB">
        <w:rPr>
          <w:rFonts w:ascii="Times New Roman" w:hAnsi="Times New Roman" w:cs="Times New Roman"/>
          <w:b/>
          <w:bCs/>
          <w:sz w:val="24"/>
          <w:szCs w:val="24"/>
          <w:lang w:val="es-PE"/>
        </w:rPr>
        <w:t>:</w:t>
      </w:r>
      <w:r w:rsidRPr="00153AEB">
        <w:rPr>
          <w:rFonts w:ascii="Times New Roman" w:hAnsi="Times New Roman" w:cs="Times New Roman"/>
          <w:bCs/>
          <w:sz w:val="24"/>
          <w:szCs w:val="24"/>
          <w:lang w:val="es-PE"/>
        </w:rPr>
        <w:t xml:space="preserve"> </w:t>
      </w:r>
      <w:r w:rsidRPr="00153AEB">
        <w:rPr>
          <w:rFonts w:ascii="Times New Roman" w:hAnsi="Times New Roman" w:cs="Times New Roman"/>
          <w:sz w:val="24"/>
          <w:szCs w:val="24"/>
          <w:lang w:val="es-PE"/>
        </w:rPr>
        <w:t xml:space="preserve">Asimismo, de acuerdo con </w:t>
      </w:r>
      <w:r w:rsidRPr="00153AEB">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53AEB" w:rsidR="00153AEB" w:rsidP="00153AEB" w:rsidRDefault="00153AEB" w14:paraId="11A43D43" w14:textId="648E2C74">
      <w:pPr>
        <w:spacing w:after="200" w:line="240" w:lineRule="auto"/>
        <w:jc w:val="both"/>
        <w:rPr>
          <w:rFonts w:ascii="Times New Roman" w:hAnsi="Times New Roman" w:cs="Times New Roman"/>
          <w:sz w:val="24"/>
          <w:szCs w:val="24"/>
          <w:lang w:val="es-ES"/>
        </w:rPr>
      </w:pPr>
      <w:r w:rsidRPr="00153AEB">
        <w:rPr>
          <w:rFonts w:ascii="Times New Roman" w:hAnsi="Times New Roman" w:cs="Times New Roman"/>
          <w:b/>
          <w:bCs/>
          <w:sz w:val="24"/>
          <w:szCs w:val="24"/>
          <w:u w:val="single"/>
          <w:lang w:val="es-PE"/>
        </w:rPr>
        <w:t>TERCERO</w:t>
      </w:r>
      <w:r w:rsidRPr="00153AEB">
        <w:rPr>
          <w:rFonts w:ascii="Times New Roman" w:hAnsi="Times New Roman" w:cs="Times New Roman"/>
          <w:b/>
          <w:bCs/>
          <w:sz w:val="24"/>
          <w:szCs w:val="24"/>
          <w:lang w:val="es-PE"/>
        </w:rPr>
        <w:t>:</w:t>
      </w:r>
      <w:r w:rsidRPr="00153AEB">
        <w:rPr>
          <w:rFonts w:ascii="Times New Roman" w:hAnsi="Times New Roman" w:cs="Times New Roman"/>
          <w:sz w:val="24"/>
          <w:szCs w:val="24"/>
          <w:lang w:val="es-PE"/>
        </w:rPr>
        <w:t xml:space="preserve"> Que, de acuerdo a la Ley Nro. </w:t>
      </w:r>
      <w:r w:rsidRPr="00153AEB">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153AEB">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53AEB" w:rsidR="00153AEB" w:rsidP="00153AEB" w:rsidRDefault="00153AEB" w14:paraId="6FF297AC" w14:textId="0EA5E168">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b/>
          <w:sz w:val="24"/>
          <w:szCs w:val="24"/>
          <w:u w:val="single"/>
          <w:lang w:val="es-PE"/>
        </w:rPr>
        <w:t>CUARTO</w:t>
      </w:r>
      <w:r w:rsidRPr="00153AEB">
        <w:rPr>
          <w:rFonts w:ascii="Times New Roman" w:hAnsi="Times New Roman" w:cs="Times New Roman"/>
          <w:b/>
          <w:sz w:val="24"/>
          <w:szCs w:val="24"/>
          <w:lang w:val="es-PE"/>
        </w:rPr>
        <w:t>:</w:t>
      </w:r>
      <w:r w:rsidRPr="00153AEB">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53AEB" w:rsidR="00153AEB" w:rsidP="00153AEB" w:rsidRDefault="00153AEB" w14:paraId="48B1A31C" w14:textId="77777777">
      <w:pPr>
        <w:spacing w:after="200" w:line="240" w:lineRule="auto"/>
        <w:jc w:val="both"/>
        <w:rPr>
          <w:rFonts w:ascii="Times New Roman" w:hAnsi="Times New Roman" w:cs="Times New Roman"/>
          <w:sz w:val="24"/>
          <w:szCs w:val="24"/>
          <w:lang w:val="es-ES"/>
        </w:rPr>
      </w:pPr>
      <w:r w:rsidRPr="00153AEB">
        <w:rPr>
          <w:rFonts w:ascii="Times New Roman" w:hAnsi="Times New Roman" w:cs="Times New Roman"/>
          <w:b/>
          <w:bCs/>
          <w:sz w:val="24"/>
          <w:szCs w:val="24"/>
          <w:u w:val="single"/>
          <w:lang w:val="es-PE"/>
        </w:rPr>
        <w:t>QUINTO</w:t>
      </w:r>
      <w:r w:rsidRPr="00153AEB">
        <w:rPr>
          <w:rFonts w:ascii="Times New Roman" w:hAnsi="Times New Roman" w:cs="Times New Roman"/>
          <w:b/>
          <w:bCs/>
          <w:sz w:val="24"/>
          <w:szCs w:val="24"/>
          <w:lang w:val="es-PE"/>
        </w:rPr>
        <w:t xml:space="preserve">: </w:t>
      </w:r>
      <w:r w:rsidRPr="00153AEB">
        <w:rPr>
          <w:rFonts w:ascii="Times New Roman" w:hAnsi="Times New Roman" w:cs="Times New Roman"/>
          <w:bCs/>
          <w:sz w:val="24"/>
          <w:szCs w:val="24"/>
          <w:lang w:val="es-PE"/>
        </w:rPr>
        <w:t>Que, conforme al</w:t>
      </w:r>
      <w:r w:rsidRPr="00153AEB">
        <w:rPr>
          <w:rFonts w:ascii="Times New Roman" w:hAnsi="Times New Roman" w:cs="Times New Roman"/>
          <w:b/>
          <w:bCs/>
          <w:sz w:val="24"/>
          <w:szCs w:val="24"/>
          <w:lang w:val="es-PE"/>
        </w:rPr>
        <w:t xml:space="preserve"> </w:t>
      </w:r>
      <w:r w:rsidRPr="00153AEB">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153AEB" w:rsidR="00153AEB" w:rsidP="00153AEB" w:rsidRDefault="00153AEB" w14:paraId="61CB4C4D" w14:textId="77777777">
      <w:pPr>
        <w:spacing w:after="200" w:line="240" w:lineRule="auto"/>
        <w:jc w:val="both"/>
        <w:rPr>
          <w:rFonts w:ascii="Times New Roman" w:hAnsi="Times New Roman" w:cs="Times New Roman"/>
          <w:sz w:val="24"/>
          <w:szCs w:val="24"/>
          <w:lang w:val="es-PE"/>
        </w:rPr>
      </w:pPr>
    </w:p>
    <w:p w:rsidRPr="00153AEB" w:rsidR="00153AEB" w:rsidP="00153AEB" w:rsidRDefault="00153AEB" w14:paraId="273DABAC" w14:textId="47A16AE8">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b/>
          <w:sz w:val="24"/>
          <w:szCs w:val="24"/>
          <w:u w:val="single"/>
          <w:lang w:val="es-ES"/>
        </w:rPr>
        <w:lastRenderedPageBreak/>
        <w:t>SEXTO</w:t>
      </w:r>
      <w:r w:rsidRPr="00153AEB">
        <w:rPr>
          <w:rFonts w:ascii="Times New Roman" w:hAnsi="Times New Roman" w:cs="Times New Roman"/>
          <w:b/>
          <w:sz w:val="24"/>
          <w:szCs w:val="24"/>
          <w:lang w:val="es-ES"/>
        </w:rPr>
        <w:t xml:space="preserve">: </w:t>
      </w:r>
      <w:r w:rsidRPr="00153AEB">
        <w:rPr>
          <w:rFonts w:ascii="Times New Roman" w:hAnsi="Times New Roman" w:cs="Times New Roman"/>
          <w:sz w:val="24"/>
          <w:szCs w:val="24"/>
          <w:lang w:val="es-PE"/>
        </w:rPr>
        <w:t>Sobre la base de los términos contenidos en la reclamación</w:t>
      </w:r>
      <w:r w:rsidRPr="00153AEB">
        <w:rPr>
          <w:rFonts w:ascii="Times New Roman" w:hAnsi="Times New Roman" w:cs="Times New Roman"/>
          <w:sz w:val="24"/>
          <w:szCs w:val="24"/>
          <w:lang w:val="es-419"/>
        </w:rPr>
        <w:t xml:space="preserve"> y </w:t>
      </w:r>
      <w:r w:rsidRPr="00153AEB">
        <w:rPr>
          <w:rFonts w:ascii="Times New Roman" w:hAnsi="Times New Roman" w:cs="Times New Roman"/>
          <w:sz w:val="24"/>
          <w:szCs w:val="24"/>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el reclamante.</w:t>
      </w:r>
    </w:p>
    <w:p w:rsidRPr="00153AEB" w:rsidR="00153AEB" w:rsidP="00153AEB" w:rsidRDefault="00153AEB" w14:paraId="1F048AE8" w14:textId="0D8FA82A">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b/>
          <w:sz w:val="24"/>
          <w:szCs w:val="24"/>
          <w:u w:val="single"/>
          <w:lang w:val="es-ES"/>
        </w:rPr>
        <w:t>SÉPTIMO</w:t>
      </w:r>
      <w:r w:rsidRPr="00153AEB">
        <w:rPr>
          <w:rFonts w:ascii="Times New Roman" w:hAnsi="Times New Roman" w:cs="Times New Roman"/>
          <w:b/>
          <w:sz w:val="24"/>
          <w:szCs w:val="24"/>
          <w:lang w:val="es-ES"/>
        </w:rPr>
        <w:t>:</w:t>
      </w:r>
      <w:r w:rsidRPr="00153AEB">
        <w:rPr>
          <w:rFonts w:ascii="Times New Roman" w:hAnsi="Times New Roman" w:cs="Times New Roman"/>
          <w:sz w:val="24"/>
          <w:szCs w:val="24"/>
          <w:lang w:val="es-PE"/>
        </w:rPr>
        <w:t xml:space="preserve"> Debe destacar que, según ha sido expresado en diversas resoluciones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153AEB" w:rsidR="00153AEB" w:rsidP="00153AEB" w:rsidRDefault="00153AEB" w14:paraId="31BB16B1" w14:textId="7F7B1D61">
      <w:pPr>
        <w:spacing w:after="200" w:line="240" w:lineRule="auto"/>
        <w:jc w:val="both"/>
        <w:rPr>
          <w:rFonts w:ascii="Times New Roman" w:hAnsi="Times New Roman" w:cs="Times New Roman"/>
          <w:sz w:val="24"/>
          <w:szCs w:val="24"/>
          <w:lang w:val="es-PE"/>
        </w:rPr>
      </w:pPr>
      <w:r w:rsidRPr="0EF487A4" w:rsidR="00153AEB">
        <w:rPr>
          <w:rFonts w:ascii="Times New Roman" w:hAnsi="Times New Roman" w:cs="Times New Roman"/>
          <w:sz w:val="24"/>
          <w:szCs w:val="24"/>
          <w:lang w:val="es-PE"/>
        </w:rPr>
        <w:t xml:space="preserve">De acuerdo con el artículo 77 de la Ley del Contrato de Seguro, la aseguradora debe probar la causa que la libera de su prestación indemnizatoria, en el caso de este tipo de seguro, ello implicaría que </w:t>
      </w:r>
      <w:r w:rsidRPr="0EF487A4" w:rsidR="5E160B14">
        <w:rPr>
          <w:rFonts w:ascii="Times New Roman" w:hAnsi="Times New Roman" w:cs="Times New Roman"/>
          <w:sz w:val="24"/>
          <w:szCs w:val="24"/>
          <w:lang w:val="es-PE"/>
        </w:rPr>
        <w:t>....................</w:t>
      </w:r>
      <w:r w:rsidRPr="0EF487A4" w:rsidR="00153AEB">
        <w:rPr>
          <w:rFonts w:ascii="Times New Roman" w:hAnsi="Times New Roman" w:cs="Times New Roman"/>
          <w:sz w:val="24"/>
          <w:szCs w:val="24"/>
          <w:lang w:val="es-PE"/>
        </w:rPr>
        <w:t xml:space="preserve"> debería probar que no ocurrió el hecho denunciado, lo cual es una prueba imposible, porque se prueba el hecho positivo, no el negativo.  </w:t>
      </w:r>
    </w:p>
    <w:p w:rsidRPr="00153AEB" w:rsidR="00153AEB" w:rsidP="00153AEB" w:rsidRDefault="00153AEB" w14:paraId="6574C03D" w14:textId="3CC49B71">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 xml:space="preserve">Por ello, se admite que en tales circunstancias opera una inversión de la carga probatoria, de manera que la contraparte debe probar lo que ocurrió.  Sin embargo, así las </w:t>
      </w:r>
      <w:proofErr w:type="gramStart"/>
      <w:r w:rsidRPr="00153AEB">
        <w:rPr>
          <w:rFonts w:ascii="Times New Roman" w:hAnsi="Times New Roman" w:cs="Times New Roman"/>
          <w:sz w:val="24"/>
          <w:szCs w:val="24"/>
          <w:lang w:val="es-PE"/>
        </w:rPr>
        <w:t>cosas</w:t>
      </w:r>
      <w:proofErr w:type="gramEnd"/>
      <w:r w:rsidRPr="00153AEB">
        <w:rPr>
          <w:rFonts w:ascii="Times New Roman" w:hAnsi="Times New Roman" w:cs="Times New Roman"/>
          <w:sz w:val="24"/>
          <w:szCs w:val="24"/>
          <w:lang w:val="es-PE"/>
        </w:rPr>
        <w:t xml:space="preserve"> planteadas, se vuelve al punto inicial conforme al cual el asegurado debe probar el robo, retomándose la cuestión de cómo probarlo y la suficiencia de una denuncia policial.  </w:t>
      </w:r>
    </w:p>
    <w:p w:rsidRPr="00153AEB" w:rsidR="00153AEB" w:rsidP="00153AEB" w:rsidRDefault="00153AEB" w14:paraId="55479CB3" w14:textId="6D81B6A1">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 xml:space="preserve">En virtud de ello, a criterio de esta Defensoría, una manera en que la aseguradora cumple con su carga probatoria procesal es acreditando que, en el relato de lo sucedido y que estaría contenido en la denuncia policial u otras manifestaciones, hay inexactitudes, contradicciones o inconsistencias, de manera que no se ha llegado a probar realmente la existencia del siniestro, o destacando que existen criterios objetivos para poner en duda razonable que lo supuestamente sucedido se produjo realmente.  </w:t>
      </w:r>
    </w:p>
    <w:p w:rsidRPr="00153AEB" w:rsidR="00153AEB" w:rsidP="00153AEB" w:rsidRDefault="00153AEB" w14:paraId="138ACE11" w14:textId="354A0854">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ese contexto la prueba del polígrafo se enmarca como un elemento integrante de una serie de indicios que llevan a la convicción de que no existe verosimilitud en el relato de lo sucedido por parte del asegurado, lo que fundamenta invocar una reclamación fraudulenta.</w:t>
      </w:r>
    </w:p>
    <w:p w:rsidRPr="00153AEB" w:rsidR="00153AEB" w:rsidP="00153AEB" w:rsidRDefault="00153AEB" w14:paraId="35CE0858" w14:textId="2959BE5B">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 xml:space="preserve">En ese sentido, por sí sola la prueba del polígrafo no es suficiente para sustentar la existencia de una reclamación fraudulenta.  </w:t>
      </w:r>
    </w:p>
    <w:p w:rsidRPr="00153AEB" w:rsidR="00153AEB" w:rsidP="00153AEB" w:rsidRDefault="00153AEB" w14:paraId="2078C858" w14:textId="14889282">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Si bien es cierto que a la aseguradora le asiste el derecho de verificar lo sucedido y validar el relato de hechos practicado por la asegurada, empero, esta también tiene la obligación de probar la existencia de inexactitudes, contradicciones o inconsistencias que razonable y juntamente con el resultado de la prueba del polígrafo lleven a la convicción de la existencia de una reclamación fraudulenta.</w:t>
      </w:r>
    </w:p>
    <w:p w:rsidRPr="00153AEB" w:rsidR="00153AEB" w:rsidP="00153AEB" w:rsidRDefault="00153AEB" w14:paraId="54AA963C" w14:textId="77777777">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rsidRPr="00153AEB" w:rsidR="00153AEB" w:rsidP="00153AEB" w:rsidRDefault="00153AEB" w14:paraId="2F525377" w14:textId="77777777">
      <w:pPr>
        <w:spacing w:after="200" w:line="240" w:lineRule="auto"/>
        <w:jc w:val="both"/>
        <w:rPr>
          <w:rFonts w:ascii="Times New Roman" w:hAnsi="Times New Roman" w:cs="Times New Roman"/>
          <w:sz w:val="24"/>
          <w:szCs w:val="24"/>
          <w:lang w:val="es-PE"/>
        </w:rPr>
      </w:pPr>
    </w:p>
    <w:p w:rsidRPr="00153AEB" w:rsidR="00153AEB" w:rsidP="00153AEB" w:rsidRDefault="00153AEB" w14:paraId="5C562206" w14:textId="3B61A5E8">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lastRenderedPageBreak/>
        <w:t>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p>
    <w:p w:rsidRPr="00153AEB" w:rsidR="00153AEB" w:rsidP="00153AEB" w:rsidRDefault="00153AEB" w14:paraId="6F6429E7" w14:textId="77777777">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La prueba poligráfica es una herramienta que permite poner bajo cuestionamiento la veracidad del relato, cuando existen otros elementos que generan dudas razonables sobre los hechos. Siendo que no puede concluirse que se presenta una reclamación fraudulenta únicamente con el resultado de la prueba del polígrafo.</w:t>
      </w:r>
    </w:p>
    <w:p w:rsidRPr="00153AEB" w:rsidR="00153AEB" w:rsidP="00153AEB" w:rsidRDefault="00153AEB" w14:paraId="07AD5CC6" w14:textId="512520AE">
      <w:pPr>
        <w:spacing w:after="200" w:line="240" w:lineRule="auto"/>
        <w:jc w:val="both"/>
        <w:rPr>
          <w:rFonts w:ascii="Times New Roman" w:hAnsi="Times New Roman" w:cs="Times New Roman"/>
          <w:sz w:val="24"/>
          <w:szCs w:val="24"/>
          <w:lang w:val="es-ES"/>
        </w:rPr>
      </w:pPr>
      <w:r w:rsidRPr="00153AEB">
        <w:rPr>
          <w:rFonts w:ascii="Times New Roman" w:hAnsi="Times New Roman" w:cs="Times New Roman"/>
          <w:sz w:val="24"/>
          <w:szCs w:val="24"/>
          <w:lang w:val="es-ES"/>
        </w:rPr>
        <w:t>Corresponde a la aseguradora (i) identificar y demostrar que hay contradicciones o inconsistencias en las afirmaciones expresadas por el reclamante sobre el siniestro; o bien (</w:t>
      </w:r>
      <w:proofErr w:type="spellStart"/>
      <w:r w:rsidRPr="00153AEB">
        <w:rPr>
          <w:rFonts w:ascii="Times New Roman" w:hAnsi="Times New Roman" w:cs="Times New Roman"/>
          <w:sz w:val="24"/>
          <w:szCs w:val="24"/>
          <w:lang w:val="es-ES"/>
        </w:rPr>
        <w:t>ii</w:t>
      </w:r>
      <w:proofErr w:type="spellEnd"/>
      <w:r w:rsidRPr="00153AEB">
        <w:rPr>
          <w:rFonts w:ascii="Times New Roman" w:hAnsi="Times New Roman" w:cs="Times New Roman"/>
          <w:sz w:val="24"/>
          <w:szCs w:val="24"/>
          <w:lang w:val="es-ES"/>
        </w:rPr>
        <w:t>) especificar cuál sería la exageración, la declaración o documento falso que justifica rechazar el siniestro conforme al artículo 73 de la ley del contrato de seguro.</w:t>
      </w:r>
    </w:p>
    <w:p w:rsidRPr="00153AEB" w:rsidR="00153AEB" w:rsidP="00153AEB" w:rsidRDefault="00153AEB" w14:paraId="6C679DA8" w14:textId="10422763">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el presente caso, la aseguradora ha alegado que existieron sospechas razonables de reclamación fraudulenta que debían corroborarse con el examen poligráfico, por cuanto: (i) el asegurado reportó la ocurrencia del siniestro un día después de haber realizado el pago para la rehabilitación de su póliza, y (</w:t>
      </w:r>
      <w:proofErr w:type="spellStart"/>
      <w:r w:rsidRPr="00153AEB">
        <w:rPr>
          <w:rFonts w:ascii="Times New Roman" w:hAnsi="Times New Roman" w:cs="Times New Roman"/>
          <w:sz w:val="24"/>
          <w:szCs w:val="24"/>
          <w:lang w:val="es-PE"/>
        </w:rPr>
        <w:t>ii</w:t>
      </w:r>
      <w:proofErr w:type="spellEnd"/>
      <w:r w:rsidRPr="00153AEB">
        <w:rPr>
          <w:rFonts w:ascii="Times New Roman" w:hAnsi="Times New Roman" w:cs="Times New Roman"/>
          <w:sz w:val="24"/>
          <w:szCs w:val="24"/>
          <w:lang w:val="es-PE"/>
        </w:rPr>
        <w:t xml:space="preserve">) sin indicios que alertaran sobre el hecho. </w:t>
      </w:r>
    </w:p>
    <w:p w:rsidRPr="00153AEB" w:rsidR="00153AEB" w:rsidP="00153AEB" w:rsidRDefault="00153AEB" w14:paraId="6013C27E" w14:textId="7BAF0D07">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De los actuados se ha podido determinar que las sospechas invocadas por la aseguradora carecen de sustento fáctico.</w:t>
      </w:r>
    </w:p>
    <w:p w:rsidRPr="00153AEB" w:rsidR="00153AEB" w:rsidP="00153AEB" w:rsidRDefault="00153AEB" w14:paraId="7274D3D0" w14:textId="0F027DF9">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primer lugar, no es verdad que el asegurado haya rehabilitado la póliza efectuando pagos el 19 de diciembre de 2024, esto es un día antes de la ocurrencia del siniestro.</w:t>
      </w:r>
    </w:p>
    <w:p w:rsidRPr="00153AEB" w:rsidR="00153AEB" w:rsidP="00153AEB" w:rsidRDefault="00153AEB" w14:paraId="104F9B07" w14:textId="422B1A2D">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efecto, está acreditado que los pagos fueron realizados el 10 de diciembre de 2024:</w:t>
      </w:r>
    </w:p>
    <w:p w:rsidRPr="00153AEB" w:rsidR="00153AEB" w:rsidP="006702F2" w:rsidRDefault="00153AEB" w14:paraId="58FB07C0" w14:textId="5C91E2B1">
      <w:pPr>
        <w:spacing w:after="200" w:line="240" w:lineRule="auto"/>
        <w:jc w:val="center"/>
      </w:pPr>
      <w:r w:rsidR="69E53285">
        <w:rPr/>
        <w:t>..........................................................................................................................................</w:t>
      </w:r>
    </w:p>
    <w:p w:rsidRPr="00153AEB" w:rsidR="00153AEB" w:rsidP="006702F2" w:rsidRDefault="00153AEB" w14:paraId="14050B08" w14:textId="4F6AE78B">
      <w:pPr>
        <w:spacing w:after="200" w:line="240" w:lineRule="auto"/>
        <w:jc w:val="center"/>
      </w:pPr>
      <w:r w:rsidR="69E53285">
        <w:rPr/>
        <w:t>............................................................................................................................................</w:t>
      </w:r>
    </w:p>
    <w:p w:rsidRPr="00153AEB" w:rsidR="00153AEB" w:rsidP="00153AEB" w:rsidRDefault="00153AEB" w14:paraId="2084F9FD" w14:textId="77777777">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segundo lugar, tampoco es cierto que no existan indicios de la ocurrencia de los hecho materia del siniestro, por cuanto el Ministerio Público en sus investigaciones ha apreciado que hay elementos de referencia que permiten corroborar las afirmaciones del denunciante, aunque no se haya podido identificar a los partícipes y responsables del delito, ya que identifica un relato consistente y verifica la existencia de indicios relevantes del delito:</w:t>
      </w:r>
    </w:p>
    <w:p w:rsidRPr="00153AEB" w:rsidR="00153AEB" w:rsidP="00153AEB" w:rsidRDefault="00153AEB" w14:paraId="28772EB6" w14:textId="77777777">
      <w:pPr>
        <w:spacing w:after="200" w:line="240" w:lineRule="auto"/>
        <w:jc w:val="both"/>
        <w:rPr>
          <w:rFonts w:ascii="Times New Roman" w:hAnsi="Times New Roman" w:cs="Times New Roman"/>
          <w:sz w:val="24"/>
          <w:szCs w:val="24"/>
          <w:lang w:val="es-PE"/>
        </w:rPr>
      </w:pPr>
    </w:p>
    <w:p w:rsidR="70B04EEE" w:rsidP="0EF487A4" w:rsidRDefault="70B04EEE" w14:paraId="0E8D807E" w14:textId="7A78C9CC">
      <w:pPr>
        <w:spacing w:after="200" w:line="240" w:lineRule="auto"/>
        <w:jc w:val="center"/>
      </w:pPr>
      <w:r w:rsidR="70B04EEE">
        <w:rPr/>
        <w:t>............................................................................................................................................</w:t>
      </w:r>
    </w:p>
    <w:p w:rsidRPr="00153AEB" w:rsidR="00153AEB" w:rsidP="003F476D" w:rsidRDefault="00153AEB" w14:paraId="51255C41" w14:textId="351F2D06">
      <w:pPr>
        <w:spacing w:after="200" w:line="240" w:lineRule="auto"/>
        <w:jc w:val="center"/>
      </w:pPr>
      <w:r w:rsidR="143C4FA0">
        <w:rPr/>
        <w:t>.............................................................................................................................................</w:t>
      </w:r>
    </w:p>
    <w:p w:rsidRPr="00153AEB" w:rsidR="00153AEB" w:rsidP="00A86A62" w:rsidRDefault="00153AEB" w14:paraId="3CAAC30E" w14:textId="0704D29B">
      <w:pPr>
        <w:spacing w:after="200" w:line="240" w:lineRule="auto"/>
        <w:jc w:val="center"/>
      </w:pPr>
      <w:r w:rsidR="143C4FA0">
        <w:rPr/>
        <w:t>.............................................................................................................................................</w:t>
      </w:r>
    </w:p>
    <w:p w:rsidRPr="00153AEB" w:rsidR="00153AEB" w:rsidP="00A86A62" w:rsidRDefault="00153AEB" w14:paraId="7E09B863" w14:textId="3F861F29">
      <w:pPr>
        <w:spacing w:after="200" w:line="240" w:lineRule="auto"/>
        <w:jc w:val="center"/>
      </w:pPr>
      <w:r w:rsidR="159A2760">
        <w:rPr/>
        <w:t>..............................................................................................................................................</w:t>
      </w:r>
    </w:p>
    <w:p w:rsidRPr="00153AEB" w:rsidR="00153AEB" w:rsidP="00A86A62" w:rsidRDefault="00153AEB" w14:paraId="020E468B" w14:textId="5704ABB8">
      <w:pPr>
        <w:spacing w:after="200" w:line="240" w:lineRule="auto"/>
        <w:jc w:val="center"/>
      </w:pPr>
      <w:r w:rsidR="159A2760">
        <w:rPr/>
        <w:t>............................................................................................................................................</w:t>
      </w:r>
    </w:p>
    <w:p w:rsidRPr="00153AEB" w:rsidR="00153AEB" w:rsidP="00153AEB" w:rsidRDefault="00153AEB" w14:paraId="53ABA7D8" w14:textId="032BC696">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PE"/>
        </w:rPr>
        <w:t>En ese sentido, esta Defensoría aprecia que el resultado de la prueba de polígrafo no ha sido corroborado con indicios suficientes que acrediten inexactitudes, contradicciones o inconsistencias que generen sospechas verosímiles sobre la existencia de una reclamación fraudulenta.</w:t>
      </w:r>
    </w:p>
    <w:p w:rsidRPr="00153AEB" w:rsidR="00153AEB" w:rsidP="00153AEB" w:rsidRDefault="00153AEB" w14:paraId="3574248C" w14:textId="08657F87">
      <w:pPr>
        <w:spacing w:after="200" w:line="240" w:lineRule="auto"/>
        <w:jc w:val="both"/>
        <w:rPr>
          <w:rFonts w:ascii="Times New Roman" w:hAnsi="Times New Roman" w:cs="Times New Roman"/>
          <w:sz w:val="24"/>
          <w:szCs w:val="24"/>
          <w:lang w:val="es-PE"/>
        </w:rPr>
      </w:pPr>
      <w:r w:rsidRPr="00153AEB">
        <w:rPr>
          <w:rFonts w:ascii="Times New Roman" w:hAnsi="Times New Roman" w:cs="Times New Roman"/>
          <w:sz w:val="24"/>
          <w:szCs w:val="24"/>
          <w:lang w:val="es-ES"/>
        </w:rPr>
        <w:lastRenderedPageBreak/>
        <w:t xml:space="preserve">Por lo expuesto, esta Defensoría </w:t>
      </w:r>
      <w:r w:rsidRPr="00153AEB">
        <w:rPr>
          <w:rFonts w:ascii="Times New Roman" w:hAnsi="Times New Roman" w:cs="Times New Roman"/>
          <w:sz w:val="24"/>
          <w:szCs w:val="24"/>
          <w:lang w:val="es-PE"/>
        </w:rPr>
        <w:t xml:space="preserve">aprecia que en el presente caso la aseguradora no ha aportado medios probatorios suficientes para acreditar la existencia de una reclamación fraudulenta que legitimen el rechazo de cobertura. </w:t>
      </w:r>
    </w:p>
    <w:p w:rsidRPr="00153AEB" w:rsidR="00153AEB" w:rsidP="00153AEB" w:rsidRDefault="00153AEB" w14:paraId="0A979BC7" w14:textId="4EA29318">
      <w:pPr>
        <w:spacing w:after="200" w:line="240" w:lineRule="auto"/>
        <w:jc w:val="both"/>
        <w:rPr>
          <w:rFonts w:ascii="Times New Roman" w:hAnsi="Times New Roman" w:cs="Times New Roman"/>
          <w:b/>
          <w:sz w:val="24"/>
          <w:szCs w:val="24"/>
          <w:lang w:val="es-ES"/>
        </w:rPr>
      </w:pPr>
      <w:r w:rsidRPr="00153AEB">
        <w:rPr>
          <w:rFonts w:ascii="Times New Roman" w:hAnsi="Times New Roman" w:cs="Times New Roman"/>
          <w:b/>
          <w:sz w:val="24"/>
          <w:szCs w:val="24"/>
          <w:lang w:val="es-PE"/>
        </w:rPr>
        <w:t xml:space="preserve">ATENDIENDO A LO EXPRESADO, ESTA DEFENSORÍA </w:t>
      </w:r>
      <w:r w:rsidRPr="00153AEB">
        <w:rPr>
          <w:rFonts w:ascii="Times New Roman" w:hAnsi="Times New Roman" w:cs="Times New Roman"/>
          <w:b/>
          <w:sz w:val="24"/>
          <w:szCs w:val="24"/>
          <w:lang w:val="es-ES"/>
        </w:rPr>
        <w:t>CONCLUYE SU APRECIACIÓN RAZONADA Y CONJUNTA AL AMPARO DE LO ESTABLECIDO EN SU REGLAMENTO ESTIMANDO QUE NO SE HA ACREDITADO QUE EL ASEGURADO HA ACTUADO FRAUDULENTAMENTE, POR LO QUE EXISTEN RAZONES FUNDADAS PARA AMPARAR LA PRESENTE RECLAMACIÓN, POR LO QUE R</w:t>
      </w:r>
      <w:r w:rsidRPr="00153AEB">
        <w:rPr>
          <w:rFonts w:ascii="Times New Roman" w:hAnsi="Times New Roman" w:cs="Times New Roman"/>
          <w:b/>
          <w:sz w:val="24"/>
          <w:szCs w:val="24"/>
          <w:lang w:val="es-PE"/>
        </w:rPr>
        <w:t>ESUELVE:</w:t>
      </w:r>
    </w:p>
    <w:p w:rsidRPr="00153AEB" w:rsidR="00153AEB" w:rsidP="00153AEB" w:rsidRDefault="00153AEB" w14:paraId="2D56954A" w14:textId="5455FF17">
      <w:pPr>
        <w:spacing w:after="200" w:line="240" w:lineRule="auto"/>
        <w:jc w:val="both"/>
        <w:rPr>
          <w:rFonts w:ascii="Times New Roman" w:hAnsi="Times New Roman" w:cs="Times New Roman"/>
          <w:b/>
          <w:sz w:val="24"/>
          <w:szCs w:val="24"/>
          <w:lang w:val="es-ES"/>
        </w:rPr>
      </w:pPr>
      <w:r w:rsidRPr="00153AEB">
        <w:rPr>
          <w:rFonts w:ascii="Times New Roman" w:hAnsi="Times New Roman" w:cs="Times New Roman"/>
          <w:b/>
          <w:sz w:val="24"/>
          <w:szCs w:val="24"/>
          <w:lang w:val="es-ES"/>
        </w:rPr>
        <w:t>SE RESUELVE</w:t>
      </w:r>
      <w:r w:rsidRPr="00153AEB">
        <w:rPr>
          <w:rFonts w:ascii="Times New Roman" w:hAnsi="Times New Roman" w:cs="Times New Roman"/>
          <w:b/>
          <w:sz w:val="24"/>
          <w:szCs w:val="24"/>
          <w:lang w:val="es-PE"/>
        </w:rPr>
        <w:t>:</w:t>
      </w:r>
    </w:p>
    <w:p w:rsidRPr="00153AEB" w:rsidR="00153AEB" w:rsidP="0EF487A4" w:rsidRDefault="00153AEB" w14:paraId="6DAA1385" w14:textId="1C5EE6BB">
      <w:pPr>
        <w:spacing w:after="200" w:line="240" w:lineRule="auto"/>
        <w:jc w:val="both"/>
        <w:rPr>
          <w:rFonts w:ascii="Times New Roman" w:hAnsi="Times New Roman" w:cs="Times New Roman"/>
          <w:sz w:val="24"/>
          <w:szCs w:val="24"/>
          <w:lang w:val="es-ES"/>
        </w:rPr>
      </w:pPr>
      <w:r w:rsidRPr="0EF487A4" w:rsidR="00153AEB">
        <w:rPr>
          <w:rFonts w:ascii="Times New Roman" w:hAnsi="Times New Roman" w:cs="Times New Roman"/>
          <w:b w:val="1"/>
          <w:bCs w:val="1"/>
          <w:sz w:val="24"/>
          <w:szCs w:val="24"/>
          <w:lang w:val="es-PE"/>
        </w:rPr>
        <w:t xml:space="preserve">Declarar FUNDADA </w:t>
      </w:r>
      <w:r w:rsidRPr="0EF487A4" w:rsidR="00153AEB">
        <w:rPr>
          <w:rFonts w:ascii="Times New Roman" w:hAnsi="Times New Roman" w:cs="Times New Roman"/>
          <w:sz w:val="24"/>
          <w:szCs w:val="24"/>
          <w:lang w:val="es-PE"/>
        </w:rPr>
        <w:t>la reclamación interpuesta por</w:t>
      </w:r>
      <w:r w:rsidRPr="0EF487A4" w:rsidR="00153AEB">
        <w:rPr>
          <w:rFonts w:ascii="Times New Roman" w:hAnsi="Times New Roman" w:cs="Times New Roman"/>
          <w:sz w:val="24"/>
          <w:szCs w:val="24"/>
          <w:lang w:val="es-ES"/>
        </w:rPr>
        <w:t xml:space="preserve"> </w:t>
      </w:r>
      <w:r w:rsidRPr="0EF487A4" w:rsidR="00153AEB">
        <w:rPr>
          <w:rFonts w:ascii="Times New Roman" w:hAnsi="Times New Roman" w:cs="Times New Roman"/>
          <w:sz w:val="24"/>
          <w:szCs w:val="24"/>
          <w:lang w:val="es-PE"/>
        </w:rPr>
        <w:t>interpuesta por</w:t>
      </w:r>
      <w:r w:rsidRPr="0EF487A4" w:rsidR="00153AEB">
        <w:rPr>
          <w:rFonts w:ascii="Times New Roman" w:hAnsi="Times New Roman" w:cs="Times New Roman"/>
          <w:sz w:val="24"/>
          <w:szCs w:val="24"/>
          <w:lang w:val="es-ES"/>
        </w:rPr>
        <w:t xml:space="preserve"> </w:t>
      </w:r>
      <w:r w:rsidRPr="0EF487A4" w:rsidR="2AC87651">
        <w:rPr>
          <w:rFonts w:ascii="Times New Roman" w:hAnsi="Times New Roman" w:cs="Times New Roman"/>
          <w:b w:val="1"/>
          <w:bCs w:val="1"/>
          <w:sz w:val="24"/>
          <w:szCs w:val="24"/>
          <w:lang w:val="es-MX"/>
        </w:rPr>
        <w:t>.................................................................................</w:t>
      </w:r>
      <w:r w:rsidRPr="0EF487A4" w:rsidR="00153AEB">
        <w:rPr>
          <w:rFonts w:ascii="Times New Roman" w:hAnsi="Times New Roman" w:cs="Times New Roman"/>
          <w:b w:val="1"/>
          <w:bCs w:val="1"/>
          <w:sz w:val="24"/>
          <w:szCs w:val="24"/>
          <w:lang w:val="es-MX"/>
        </w:rPr>
        <w:t xml:space="preserve"> </w:t>
      </w:r>
      <w:r w:rsidRPr="0EF487A4" w:rsidR="00153AEB">
        <w:rPr>
          <w:rFonts w:ascii="Times New Roman" w:hAnsi="Times New Roman" w:cs="Times New Roman"/>
          <w:sz w:val="24"/>
          <w:szCs w:val="24"/>
          <w:lang w:val="es-PE"/>
        </w:rPr>
        <w:t xml:space="preserve">contra </w:t>
      </w:r>
      <w:r w:rsidRPr="0EF487A4" w:rsidR="5E160B14">
        <w:rPr>
          <w:rFonts w:ascii="Times New Roman" w:hAnsi="Times New Roman" w:cs="Times New Roman"/>
          <w:b w:val="1"/>
          <w:bCs w:val="1"/>
          <w:sz w:val="24"/>
          <w:szCs w:val="24"/>
          <w:lang w:val="es-PE"/>
        </w:rPr>
        <w:t>....................</w:t>
      </w:r>
      <w:r w:rsidRPr="0EF487A4" w:rsidR="00153AEB">
        <w:rPr>
          <w:rFonts w:ascii="Times New Roman" w:hAnsi="Times New Roman" w:cs="Times New Roman"/>
          <w:sz w:val="24"/>
          <w:szCs w:val="24"/>
          <w:lang w:val="es-PE"/>
        </w:rPr>
        <w:t xml:space="preserve">, debiendo dicha aseguradora dar cobertura al siniestro ocurrido el 20 de diciembre de 2024, de acuerdo con los términos y condiciones del </w:t>
      </w:r>
      <w:r w:rsidRPr="0EF487A4" w:rsidR="00153AEB">
        <w:rPr>
          <w:rFonts w:ascii="Times New Roman" w:hAnsi="Times New Roman" w:cs="Times New Roman"/>
          <w:b w:val="1"/>
          <w:bCs w:val="1"/>
          <w:sz w:val="24"/>
          <w:szCs w:val="24"/>
          <w:lang w:val="es-MX"/>
        </w:rPr>
        <w:t xml:space="preserve">SEGURO </w:t>
      </w:r>
      <w:r w:rsidRPr="0EF487A4" w:rsidR="00153AEB">
        <w:rPr>
          <w:rFonts w:ascii="Times New Roman" w:hAnsi="Times New Roman" w:cs="Times New Roman"/>
          <w:b w:val="1"/>
          <w:bCs w:val="1"/>
          <w:sz w:val="24"/>
          <w:szCs w:val="24"/>
          <w:lang w:val="es-PE"/>
        </w:rPr>
        <w:t xml:space="preserve">DE AUTOMÓVILES </w:t>
      </w:r>
      <w:r w:rsidRPr="0EF487A4" w:rsidR="00153AEB">
        <w:rPr>
          <w:rFonts w:ascii="Times New Roman" w:hAnsi="Times New Roman" w:cs="Times New Roman"/>
          <w:b w:val="1"/>
          <w:bCs w:val="1"/>
          <w:sz w:val="24"/>
          <w:szCs w:val="24"/>
          <w:lang w:val="es-MX"/>
        </w:rPr>
        <w:t xml:space="preserve">– PÓLIZA No </w:t>
      </w:r>
      <w:r w:rsidRPr="0EF487A4" w:rsidR="0748ABFD">
        <w:rPr>
          <w:rFonts w:ascii="Times New Roman" w:hAnsi="Times New Roman" w:cs="Times New Roman"/>
          <w:b w:val="1"/>
          <w:bCs w:val="1"/>
          <w:sz w:val="24"/>
          <w:szCs w:val="24"/>
          <w:lang w:val="es-PE"/>
        </w:rPr>
        <w:t>..........................</w:t>
      </w:r>
      <w:r w:rsidRPr="0EF487A4" w:rsidR="00153AEB">
        <w:rPr>
          <w:rFonts w:ascii="Times New Roman" w:hAnsi="Times New Roman" w:cs="Times New Roman"/>
          <w:sz w:val="24"/>
          <w:szCs w:val="24"/>
          <w:lang w:val="es-ES"/>
        </w:rPr>
        <w:t>.</w:t>
      </w:r>
    </w:p>
    <w:p w:rsidRPr="00E77D87" w:rsidR="00033B9E" w:rsidP="00E77D87" w:rsidRDefault="00033B9E" w14:paraId="5ED79E9E" w14:textId="201C9820">
      <w:pPr>
        <w:spacing w:after="200" w:line="240" w:lineRule="auto"/>
        <w:jc w:val="right"/>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Lima, </w:t>
      </w:r>
      <w:r w:rsidR="00A86A62">
        <w:rPr>
          <w:rFonts w:ascii="Times New Roman" w:hAnsi="Times New Roman" w:cs="Times New Roman"/>
          <w:sz w:val="24"/>
          <w:szCs w:val="24"/>
          <w:lang w:val="es-PE"/>
        </w:rPr>
        <w:t>01</w:t>
      </w:r>
      <w:r w:rsidRPr="00E77D87">
        <w:rPr>
          <w:rFonts w:ascii="Times New Roman" w:hAnsi="Times New Roman" w:cs="Times New Roman"/>
          <w:sz w:val="24"/>
          <w:szCs w:val="24"/>
          <w:lang w:val="es-PE"/>
        </w:rPr>
        <w:t xml:space="preserve"> de </w:t>
      </w:r>
      <w:r w:rsidR="00A86A62">
        <w:rPr>
          <w:rFonts w:ascii="Times New Roman" w:hAnsi="Times New Roman" w:cs="Times New Roman"/>
          <w:sz w:val="24"/>
          <w:szCs w:val="24"/>
          <w:lang w:val="es-PE"/>
        </w:rPr>
        <w:t>septiembre</w:t>
      </w:r>
      <w:r w:rsidRPr="00E77D87">
        <w:rPr>
          <w:rFonts w:ascii="Times New Roman" w:hAnsi="Times New Roman" w:cs="Times New Roman"/>
          <w:sz w:val="24"/>
          <w:szCs w:val="24"/>
          <w:lang w:val="es-PE"/>
        </w:rPr>
        <w:t xml:space="preserve"> de 2025 </w:t>
      </w:r>
    </w:p>
    <w:p w:rsidRPr="00E77D87" w:rsidR="00033B9E" w:rsidP="00E77D8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77D87"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E77D8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E77D87" w:rsidR="00033B9E" w:rsidP="00E77D87" w:rsidRDefault="00A86A62" w14:paraId="480C5042" w14:textId="7540D813">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Antonio Rodriguez Lobatón </w:t>
      </w:r>
      <w:r w:rsidRPr="00E77D87" w:rsidR="00033B9E">
        <w:rPr>
          <w:rFonts w:ascii="Times New Roman" w:hAnsi="Times New Roman" w:cs="Times New Roman"/>
          <w:b/>
          <w:bCs/>
          <w:sz w:val="24"/>
          <w:szCs w:val="24"/>
          <w:lang w:val="es-PE"/>
        </w:rPr>
        <w:t xml:space="preserve">- </w:t>
      </w:r>
      <w:proofErr w:type="gramStart"/>
      <w:r w:rsidRPr="00E77D87" w:rsidR="00033B9E">
        <w:rPr>
          <w:rFonts w:ascii="Times New Roman" w:hAnsi="Times New Roman" w:cs="Times New Roman"/>
          <w:b/>
          <w:bCs/>
          <w:sz w:val="24"/>
          <w:szCs w:val="24"/>
          <w:lang w:val="es-PE"/>
        </w:rPr>
        <w:t>Presidente</w:t>
      </w:r>
      <w:proofErr w:type="gramEnd"/>
    </w:p>
    <w:p w:rsidRPr="00E77D87"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María Eugenia Valdez Fernández Baca - Vocal</w:t>
      </w:r>
    </w:p>
    <w:p w:rsidR="00543E68" w:rsidP="00E77D87" w:rsidRDefault="00A86A62" w14:paraId="39CA59B6" w14:textId="7EAFE50D">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Rolando Eyzaguirre </w:t>
      </w:r>
      <w:proofErr w:type="spellStart"/>
      <w:r w:rsidRPr="00E77D87">
        <w:rPr>
          <w:rFonts w:ascii="Times New Roman" w:hAnsi="Times New Roman" w:cs="Times New Roman"/>
          <w:b/>
          <w:bCs/>
          <w:sz w:val="24"/>
          <w:szCs w:val="24"/>
          <w:lang w:val="es-PE"/>
        </w:rPr>
        <w:t>Maccan</w:t>
      </w:r>
      <w:proofErr w:type="spellEnd"/>
      <w:r w:rsidRPr="00E77D87">
        <w:rPr>
          <w:rFonts w:ascii="Times New Roman" w:hAnsi="Times New Roman" w:cs="Times New Roman"/>
          <w:b/>
          <w:bCs/>
          <w:sz w:val="24"/>
          <w:szCs w:val="24"/>
          <w:lang w:val="es-PE"/>
        </w:rPr>
        <w:t xml:space="preserve"> </w:t>
      </w:r>
      <w:r w:rsidRPr="00E77D87" w:rsidR="00033B9E">
        <w:rPr>
          <w:rFonts w:ascii="Times New Roman" w:hAnsi="Times New Roman" w:cs="Times New Roman"/>
          <w:b/>
          <w:bCs/>
          <w:sz w:val="24"/>
          <w:szCs w:val="24"/>
          <w:lang w:val="es-PE"/>
        </w:rPr>
        <w:t>– Vocal</w:t>
      </w:r>
      <w:bookmarkEnd w:id="0"/>
    </w:p>
    <w:p w:rsidRPr="00E77D87" w:rsidR="00A86A62" w:rsidP="00E77D87" w:rsidRDefault="00A86A62" w14:paraId="143B4573" w14:textId="77777777">
      <w:pPr>
        <w:spacing w:after="200" w:line="240" w:lineRule="auto"/>
        <w:jc w:val="center"/>
        <w:rPr>
          <w:rFonts w:ascii="Times New Roman" w:hAnsi="Times New Roman" w:cs="Times New Roman"/>
          <w:b/>
          <w:bCs/>
          <w:sz w:val="24"/>
          <w:szCs w:val="24"/>
          <w:lang w:val="es-PE"/>
        </w:rPr>
      </w:pPr>
    </w:p>
    <w:sectPr w:rsidRPr="00E77D87" w:rsidR="00A86A62" w:rsidSect="002019FA">
      <w:headerReference w:type="default" r:id="rId16"/>
      <w:footerReference w:type="default" r:id="rId17"/>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67D" w:rsidP="00784355" w:rsidRDefault="00DF567D" w14:paraId="473C5F22" w14:textId="77777777">
      <w:pPr>
        <w:spacing w:after="0" w:line="240" w:lineRule="auto"/>
      </w:pPr>
      <w:r>
        <w:separator/>
      </w:r>
    </w:p>
  </w:endnote>
  <w:endnote w:type="continuationSeparator" w:id="0">
    <w:p w:rsidR="00DF567D" w:rsidP="00784355" w:rsidRDefault="00DF567D" w14:paraId="7EC08B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67D" w:rsidP="00784355" w:rsidRDefault="00DF567D" w14:paraId="2FDDF45D" w14:textId="77777777">
      <w:pPr>
        <w:spacing w:after="0" w:line="240" w:lineRule="auto"/>
      </w:pPr>
      <w:r>
        <w:separator/>
      </w:r>
    </w:p>
  </w:footnote>
  <w:footnote w:type="continuationSeparator" w:id="0">
    <w:p w:rsidR="00DF567D" w:rsidP="00784355" w:rsidRDefault="00DF567D" w14:paraId="696F63B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3AEB"/>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476D"/>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66A1"/>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2F2"/>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6A62"/>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567D"/>
    <w:rsid w:val="00DF6291"/>
    <w:rsid w:val="00DF6E69"/>
    <w:rsid w:val="00DF779F"/>
    <w:rsid w:val="00E0140B"/>
    <w:rsid w:val="00E01785"/>
    <w:rsid w:val="00E01BEC"/>
    <w:rsid w:val="00E03F92"/>
    <w:rsid w:val="00E06847"/>
    <w:rsid w:val="00E06EE2"/>
    <w:rsid w:val="00E107CA"/>
    <w:rsid w:val="00E1216B"/>
    <w:rsid w:val="00E1477F"/>
    <w:rsid w:val="00E16C63"/>
    <w:rsid w:val="00E22E8D"/>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6BD8"/>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01F383A2"/>
    <w:rsid w:val="0390CAA3"/>
    <w:rsid w:val="044879A1"/>
    <w:rsid w:val="0748ABFD"/>
    <w:rsid w:val="0EF487A4"/>
    <w:rsid w:val="0F125578"/>
    <w:rsid w:val="0F891636"/>
    <w:rsid w:val="109ED836"/>
    <w:rsid w:val="129FB725"/>
    <w:rsid w:val="143C4FA0"/>
    <w:rsid w:val="159A2760"/>
    <w:rsid w:val="1A0851FF"/>
    <w:rsid w:val="1A70DD61"/>
    <w:rsid w:val="2AC87651"/>
    <w:rsid w:val="3B568363"/>
    <w:rsid w:val="3B67058B"/>
    <w:rsid w:val="5200C04C"/>
    <w:rsid w:val="52D63A38"/>
    <w:rsid w:val="55655434"/>
    <w:rsid w:val="5CCE919D"/>
    <w:rsid w:val="5E160B14"/>
    <w:rsid w:val="67924CCC"/>
    <w:rsid w:val="69E53285"/>
    <w:rsid w:val="6AD98FE8"/>
    <w:rsid w:val="6F633899"/>
    <w:rsid w:val="70B04EEE"/>
    <w:rsid w:val="74DAEC91"/>
    <w:rsid w:val="763B44CE"/>
    <w:rsid w:val="77F25EE9"/>
    <w:rsid w:val="7A371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13F2E40-B371-4934-9644-A7F9B0010CF1}"/>
</file>

<file path=customXml/itemProps3.xml><?xml version="1.0" encoding="utf-8"?>
<ds:datastoreItem xmlns:ds="http://schemas.openxmlformats.org/officeDocument/2006/customXml" ds:itemID="{A584E98E-1333-4C25-A892-858A0587E5EB}"/>
</file>

<file path=customXml/itemProps4.xml><?xml version="1.0" encoding="utf-8"?>
<ds:datastoreItem xmlns:ds="http://schemas.openxmlformats.org/officeDocument/2006/customXml" ds:itemID="{A3A3725D-823D-4638-9DAA-524EA27803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15</cp:revision>
  <cp:lastPrinted>2025-09-08T17:40:00Z</cp:lastPrinted>
  <dcterms:created xsi:type="dcterms:W3CDTF">2025-09-08T17:06:00Z</dcterms:created>
  <dcterms:modified xsi:type="dcterms:W3CDTF">2026-05-04T16:40:44Z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