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912ECB" w:rsidR="00D12B6B" w:rsidP="00E77D87" w:rsidRDefault="00D12B6B" w14:paraId="450BB199" w14:textId="77777777">
      <w:pPr>
        <w:spacing w:after="0" w:line="240" w:lineRule="auto"/>
        <w:jc w:val="center"/>
        <w:rPr>
          <w:rFonts w:ascii="Times New Roman" w:hAnsi="Times New Roman" w:cs="Times New Roman"/>
          <w:b/>
          <w:sz w:val="23"/>
          <w:szCs w:val="23"/>
          <w:lang w:val="es-PE" w:eastAsia="ar-SA"/>
        </w:rPr>
      </w:pPr>
    </w:p>
    <w:p w:rsidRPr="001D33BA" w:rsidR="00D12B6B" w:rsidP="00E77D87" w:rsidRDefault="00201C0D" w14:paraId="2E2FA649" w14:textId="5F3AC950">
      <w:pPr>
        <w:spacing w:after="0" w:line="240" w:lineRule="auto"/>
        <w:jc w:val="center"/>
        <w:rPr>
          <w:rFonts w:ascii="Times New Roman" w:hAnsi="Times New Roman" w:cs="Times New Roman"/>
          <w:b/>
          <w:sz w:val="24"/>
          <w:szCs w:val="24"/>
          <w:lang w:val="es-PE" w:eastAsia="ar-SA"/>
        </w:rPr>
      </w:pPr>
      <w:r w:rsidRPr="001D33BA">
        <w:rPr>
          <w:rFonts w:ascii="Times New Roman" w:hAnsi="Times New Roman" w:cs="Times New Roman"/>
          <w:b/>
          <w:sz w:val="24"/>
          <w:szCs w:val="24"/>
          <w:lang w:val="es-PE" w:eastAsia="ar-SA"/>
        </w:rPr>
        <w:t xml:space="preserve">RESOLUCIÓN </w:t>
      </w:r>
      <w:r w:rsidRPr="001D33BA" w:rsidR="00D12B6B">
        <w:rPr>
          <w:rFonts w:ascii="Times New Roman" w:hAnsi="Times New Roman" w:cs="Times New Roman"/>
          <w:b/>
          <w:sz w:val="24"/>
          <w:szCs w:val="24"/>
          <w:lang w:val="es-PE" w:eastAsia="ar-SA"/>
        </w:rPr>
        <w:t>N</w:t>
      </w:r>
      <w:r w:rsidRPr="001D33BA" w:rsidR="00E77D87">
        <w:rPr>
          <w:rFonts w:ascii="Times New Roman" w:hAnsi="Times New Roman" w:cs="Times New Roman"/>
          <w:b/>
          <w:sz w:val="24"/>
          <w:szCs w:val="24"/>
          <w:lang w:val="es-PE" w:eastAsia="ar-SA"/>
        </w:rPr>
        <w:t>°13</w:t>
      </w:r>
      <w:r w:rsidR="00D70B4C">
        <w:rPr>
          <w:rFonts w:ascii="Times New Roman" w:hAnsi="Times New Roman" w:cs="Times New Roman"/>
          <w:b/>
          <w:sz w:val="24"/>
          <w:szCs w:val="24"/>
          <w:lang w:val="es-PE" w:eastAsia="ar-SA"/>
        </w:rPr>
        <w:t>7</w:t>
      </w:r>
      <w:r w:rsidRPr="001D33BA" w:rsidR="00AA2AA2">
        <w:rPr>
          <w:rFonts w:ascii="Times New Roman" w:hAnsi="Times New Roman" w:cs="Times New Roman"/>
          <w:b/>
          <w:sz w:val="24"/>
          <w:szCs w:val="24"/>
          <w:lang w:val="es-PE" w:eastAsia="ar-SA"/>
        </w:rPr>
        <w:t>/25</w:t>
      </w:r>
    </w:p>
    <w:p w:rsidRPr="00262181" w:rsidR="00262181" w:rsidP="00262181" w:rsidRDefault="00262181" w14:paraId="5B83A676" w14:textId="77777777">
      <w:pPr>
        <w:spacing w:after="200" w:line="240" w:lineRule="auto"/>
        <w:jc w:val="both"/>
        <w:rPr>
          <w:rFonts w:ascii="Times New Roman" w:hAnsi="Times New Roman" w:cs="Times New Roman"/>
          <w:b/>
          <w:bCs/>
          <w:sz w:val="24"/>
          <w:szCs w:val="24"/>
          <w:lang w:val="es-PE"/>
        </w:rPr>
      </w:pPr>
      <w:bookmarkStart w:name="_Hlk198053358" w:id="0"/>
      <w:r w:rsidRPr="00262181">
        <w:rPr>
          <w:rFonts w:ascii="Times New Roman" w:hAnsi="Times New Roman" w:cs="Times New Roman"/>
          <w:b/>
          <w:bCs/>
          <w:sz w:val="24"/>
          <w:szCs w:val="24"/>
          <w:lang w:val="es-PE"/>
        </w:rPr>
        <w:t>Vistos:</w:t>
      </w:r>
    </w:p>
    <w:p w:rsidRPr="00262181" w:rsidR="00262181" w:rsidP="00262181" w:rsidRDefault="00262181" w14:paraId="6565D7E3" w14:textId="28986D83">
      <w:pPr>
        <w:spacing w:after="200" w:line="240" w:lineRule="auto"/>
        <w:jc w:val="both"/>
        <w:rPr>
          <w:rFonts w:ascii="Times New Roman" w:hAnsi="Times New Roman" w:cs="Times New Roman"/>
          <w:sz w:val="24"/>
          <w:szCs w:val="24"/>
          <w:lang w:val="es-PE"/>
        </w:rPr>
      </w:pPr>
      <w:r w:rsidRPr="5F3806AB" w:rsidR="00262181">
        <w:rPr>
          <w:rFonts w:ascii="Times New Roman" w:hAnsi="Times New Roman" w:cs="Times New Roman"/>
          <w:sz w:val="24"/>
          <w:szCs w:val="24"/>
          <w:lang w:val="es-PE"/>
        </w:rPr>
        <w:t xml:space="preserve">Que, con fecha 24 de marzo de 2025 don </w:t>
      </w:r>
      <w:r w:rsidRPr="5F3806AB" w:rsidR="174519A6">
        <w:rPr>
          <w:rFonts w:ascii="Times New Roman" w:hAnsi="Times New Roman" w:cs="Times New Roman"/>
          <w:sz w:val="24"/>
          <w:szCs w:val="24"/>
          <w:lang w:val="es-PE"/>
        </w:rPr>
        <w:t>.............................................................................</w:t>
      </w:r>
      <w:r w:rsidRPr="5F3806AB" w:rsidR="00262181">
        <w:rPr>
          <w:rFonts w:ascii="Times New Roman" w:hAnsi="Times New Roman" w:cs="Times New Roman"/>
          <w:sz w:val="24"/>
          <w:szCs w:val="24"/>
          <w:lang w:val="es-PE"/>
        </w:rPr>
        <w:t>,</w:t>
      </w:r>
      <w:r w:rsidRPr="5F3806AB" w:rsidR="00262181">
        <w:rPr>
          <w:rFonts w:ascii="Times New Roman" w:hAnsi="Times New Roman" w:cs="Times New Roman"/>
          <w:sz w:val="24"/>
          <w:szCs w:val="24"/>
          <w:lang w:val="es-PE"/>
        </w:rPr>
        <w:t xml:space="preserve"> </w:t>
      </w:r>
      <w:r w:rsidRPr="5F3806AB" w:rsidR="00262181">
        <w:rPr>
          <w:rFonts w:ascii="Times New Roman" w:hAnsi="Times New Roman" w:cs="Times New Roman"/>
          <w:sz w:val="24"/>
          <w:szCs w:val="24"/>
          <w:lang w:val="es-ES"/>
        </w:rPr>
        <w:t>interpone</w:t>
      </w:r>
      <w:r w:rsidRPr="5F3806AB" w:rsidR="00262181">
        <w:rPr>
          <w:rFonts w:ascii="Times New Roman" w:hAnsi="Times New Roman" w:cs="Times New Roman"/>
          <w:sz w:val="24"/>
          <w:szCs w:val="24"/>
          <w:lang w:val="es-PE"/>
        </w:rPr>
        <w:t xml:space="preserve"> reclamación ante esta Defensoría del Asegurado (DEFASEG), solicitando que </w:t>
      </w:r>
      <w:bookmarkStart w:name="OLE_LINK2" w:id="1"/>
      <w:r w:rsidRPr="5F3806AB" w:rsidR="569B5966">
        <w:rPr>
          <w:rFonts w:ascii="Times New Roman" w:hAnsi="Times New Roman" w:cs="Times New Roman"/>
          <w:sz w:val="24"/>
          <w:szCs w:val="24"/>
          <w:lang w:val="es-PE"/>
        </w:rPr>
        <w:t>...................................................................</w:t>
      </w:r>
      <w:r w:rsidRPr="5F3806AB" w:rsidR="00262181">
        <w:rPr>
          <w:rFonts w:ascii="Times New Roman" w:hAnsi="Times New Roman" w:cs="Times New Roman"/>
          <w:sz w:val="24"/>
          <w:szCs w:val="24"/>
          <w:lang w:val="es-PE"/>
        </w:rPr>
        <w:t xml:space="preserve"> cumpla con liquidar la cobertura de invalidez de la póliza de Seguro de Desgravamen Hipotecario adquirida a través del Banco BBVA conforme a derecho, de acuerdo a lo cual considera corresponde que le reembolse la suma de las cuotas pagadas desde que se configura la invalidez hasta la fecha en que se reconoce la cobertura de seguro; </w:t>
      </w:r>
      <w:bookmarkEnd w:id="1"/>
    </w:p>
    <w:p w:rsidRPr="00262181" w:rsidR="00262181" w:rsidP="00262181" w:rsidRDefault="00262181" w14:paraId="2847DA0A" w14:textId="77777777">
      <w:pPr>
        <w:spacing w:after="200" w:line="240" w:lineRule="auto"/>
        <w:jc w:val="both"/>
        <w:rPr>
          <w:rFonts w:ascii="Times New Roman" w:hAnsi="Times New Roman" w:cs="Times New Roman"/>
          <w:sz w:val="24"/>
          <w:szCs w:val="24"/>
          <w:lang w:val="es-PE"/>
        </w:rPr>
      </w:pPr>
      <w:r w:rsidRPr="00262181">
        <w:rPr>
          <w:rFonts w:ascii="Times New Roman" w:hAnsi="Times New Roman" w:cs="Times New Roman"/>
          <w:sz w:val="24"/>
          <w:szCs w:val="24"/>
          <w:lang w:val="es-PE"/>
        </w:rPr>
        <w:t>Que, la señalada reclamación cumple con los requisitos de materia, y oportunidad establecidos en el Reglamento de la DEFASEG (</w:t>
      </w:r>
      <w:hyperlink w:history="1" r:id="rId8">
        <w:r w:rsidRPr="00262181">
          <w:rPr>
            <w:rStyle w:val="Hipervnculo"/>
            <w:rFonts w:ascii="Times New Roman" w:hAnsi="Times New Roman" w:cs="Times New Roman"/>
            <w:sz w:val="24"/>
            <w:szCs w:val="24"/>
            <w:lang w:val="es-PE"/>
          </w:rPr>
          <w:t>http://www.defaseg.com.pe/reglamento.html</w:t>
        </w:r>
      </w:hyperlink>
      <w:r w:rsidRPr="00262181">
        <w:rPr>
          <w:rFonts w:ascii="Times New Roman" w:hAnsi="Times New Roman" w:cs="Times New Roman"/>
          <w:sz w:val="24"/>
          <w:szCs w:val="24"/>
          <w:lang w:val="es-PE"/>
        </w:rPr>
        <w:t>); siendo que la aseguradora cuestiona que se cumpla con el requisito de cuantía, lo cual se analizará en la presente resolución.</w:t>
      </w:r>
    </w:p>
    <w:p w:rsidRPr="00262181" w:rsidR="00262181" w:rsidP="00262181" w:rsidRDefault="00262181" w14:paraId="627A378B" w14:textId="77777777">
      <w:pPr>
        <w:spacing w:after="200" w:line="240" w:lineRule="auto"/>
        <w:jc w:val="both"/>
        <w:rPr>
          <w:rFonts w:ascii="Times New Roman" w:hAnsi="Times New Roman" w:cs="Times New Roman"/>
          <w:sz w:val="24"/>
          <w:szCs w:val="24"/>
          <w:lang w:val="es-PE"/>
        </w:rPr>
      </w:pPr>
      <w:r w:rsidRPr="00262181">
        <w:rPr>
          <w:rFonts w:ascii="Times New Roman" w:hAnsi="Times New Roman" w:cs="Times New Roman"/>
          <w:sz w:val="24"/>
          <w:szCs w:val="24"/>
          <w:lang w:val="es-PE"/>
        </w:rPr>
        <w:t xml:space="preserve">Que, habiéndosele corrido traslado de la respectiva reclamación con fecha 27 de marzo de 2025, la aseguradora solicitó un plazo adicional para presentar sus descargos, los cuales finalmente presenta el 16 de abril de 2025; </w:t>
      </w:r>
    </w:p>
    <w:p w:rsidRPr="00262181" w:rsidR="00262181" w:rsidP="00262181" w:rsidRDefault="00262181" w14:paraId="0C219543" w14:textId="77777777">
      <w:pPr>
        <w:spacing w:after="200" w:line="240" w:lineRule="auto"/>
        <w:jc w:val="both"/>
        <w:rPr>
          <w:rFonts w:ascii="Times New Roman" w:hAnsi="Times New Roman" w:cs="Times New Roman"/>
          <w:sz w:val="24"/>
          <w:szCs w:val="24"/>
          <w:lang w:val="es-ES"/>
        </w:rPr>
      </w:pPr>
      <w:r w:rsidRPr="00262181">
        <w:rPr>
          <w:rFonts w:ascii="Times New Roman" w:hAnsi="Times New Roman" w:cs="Times New Roman"/>
          <w:sz w:val="24"/>
          <w:szCs w:val="24"/>
          <w:lang w:val="es-PE"/>
        </w:rPr>
        <w:t>Que, con fecha</w:t>
      </w:r>
      <w:r w:rsidRPr="00262181">
        <w:rPr>
          <w:rFonts w:ascii="Times New Roman" w:hAnsi="Times New Roman" w:cs="Times New Roman"/>
          <w:sz w:val="24"/>
          <w:szCs w:val="24"/>
          <w:lang w:val="es-419"/>
        </w:rPr>
        <w:t xml:space="preserve"> 11 de agosto de 2025 </w:t>
      </w:r>
      <w:r w:rsidRPr="00262181">
        <w:rPr>
          <w:rFonts w:ascii="Times New Roman" w:hAnsi="Times New Roman" w:cs="Times New Roman"/>
          <w:sz w:val="24"/>
          <w:szCs w:val="24"/>
          <w:lang w:val="es-PE"/>
        </w:rPr>
        <w:t>se realizó la audiencia de vista virtual con la participación de ambas partes en la plataforma electrónica habilitada para dicho efecto, oportunidad en la cual cada parte sustentó su posición, absolviendo las preguntas formuladas por esta colegiado, conforme consta de la correspondiente acta;</w:t>
      </w:r>
    </w:p>
    <w:p w:rsidRPr="00262181" w:rsidR="00262181" w:rsidP="00262181" w:rsidRDefault="00262181" w14:paraId="4F8E0194" w14:textId="548EFDFA">
      <w:pPr>
        <w:spacing w:after="200" w:line="240" w:lineRule="auto"/>
        <w:jc w:val="both"/>
        <w:rPr>
          <w:rFonts w:ascii="Times New Roman" w:hAnsi="Times New Roman" w:cs="Times New Roman"/>
          <w:sz w:val="24"/>
          <w:szCs w:val="24"/>
          <w:lang w:val="es-PE"/>
        </w:rPr>
      </w:pPr>
      <w:r w:rsidRPr="5F3806AB" w:rsidR="00262181">
        <w:rPr>
          <w:rFonts w:ascii="Times New Roman" w:hAnsi="Times New Roman" w:cs="Times New Roman"/>
          <w:sz w:val="24"/>
          <w:szCs w:val="24"/>
          <w:lang w:val="es-PE"/>
        </w:rPr>
        <w:t>Que, la reclamación se fundamenta resumidamente en lo siguiente:</w:t>
      </w:r>
      <w:r w:rsidRPr="5F3806AB" w:rsidR="00262181">
        <w:rPr>
          <w:rFonts w:ascii="Times New Roman" w:hAnsi="Times New Roman" w:cs="Times New Roman"/>
          <w:sz w:val="24"/>
          <w:szCs w:val="24"/>
          <w:lang w:val="es-ES"/>
        </w:rPr>
        <w:t xml:space="preserve"> </w:t>
      </w:r>
      <w:r w:rsidRPr="5F3806AB" w:rsidR="00262181">
        <w:rPr>
          <w:rFonts w:ascii="Times New Roman" w:hAnsi="Times New Roman" w:cs="Times New Roman"/>
          <w:sz w:val="24"/>
          <w:szCs w:val="24"/>
          <w:lang w:val="es-PE"/>
        </w:rPr>
        <w:t xml:space="preserve">: a) el 13.11.2017 adquirió una propiedad, las cuotas del crédito donde se incluyen las cuotas del seguro las ha pagado de manera puntual hasta el incidente de salud que le ocurrió el 27.02.2022; b) el 27.02.2022 sufre un derrame cerebral por lo que es trasladado de emergencia al Hospital Almenara donde es operado de emergencia; se le diagnostica hemorragia intracraneal y hasta hoy viene realizando terapia para intentar tener mejor calidad de vida; c) con fecha 08.01.2024 se le emite el resultado final de su condición de salud con el resultado de invalidez total a través del Dictamen COMAFP; en base a ese dictamen </w:t>
      </w:r>
      <w:r w:rsidRPr="5F3806AB" w:rsidR="2023034F">
        <w:rPr>
          <w:rFonts w:ascii="Times New Roman" w:hAnsi="Times New Roman" w:cs="Times New Roman"/>
          <w:sz w:val="24"/>
          <w:szCs w:val="24"/>
          <w:lang w:val="es-PE"/>
        </w:rPr>
        <w:t>.................</w:t>
      </w:r>
      <w:r w:rsidRPr="5F3806AB" w:rsidR="00262181">
        <w:rPr>
          <w:rFonts w:ascii="Times New Roman" w:hAnsi="Times New Roman" w:cs="Times New Roman"/>
          <w:sz w:val="24"/>
          <w:szCs w:val="24"/>
          <w:lang w:val="es-PE"/>
        </w:rPr>
        <w:t xml:space="preserve"> de manera errónea asume dicha fecha en vez de la fecha del derrame cerebral; d) en contrapartida Pacífico </w:t>
      </w:r>
      <w:r w:rsidRPr="5F3806AB" w:rsidR="55D259B3">
        <w:rPr>
          <w:rFonts w:ascii="Times New Roman" w:hAnsi="Times New Roman" w:cs="Times New Roman"/>
          <w:sz w:val="24"/>
          <w:szCs w:val="24"/>
          <w:lang w:val="es-PE"/>
        </w:rPr>
        <w:t>.....................</w:t>
      </w:r>
      <w:r w:rsidRPr="5F3806AB" w:rsidR="00262181">
        <w:rPr>
          <w:rFonts w:ascii="Times New Roman" w:hAnsi="Times New Roman" w:cs="Times New Roman"/>
          <w:sz w:val="24"/>
          <w:szCs w:val="24"/>
          <w:lang w:val="es-PE"/>
        </w:rPr>
        <w:t xml:space="preserve"> ha aplicado la póliza de desgravamen que adquirió con el BCP en mayo de 2020, considerando la fecha del saldo deudor a la fecha del siniestro esto es, la fecha de configuración de la invalidez señalada en el Dictamen COMAFP que señala como fecha de ocurrencia 27.02.2022; lo que se aplicó a cancelar la totalidad de la deuda con el BCP, y le reembolsaron la diferencia pagada en fechas posteriores al siniestro de derrame cerebral; e) </w:t>
      </w:r>
      <w:r w:rsidRPr="5F3806AB" w:rsidR="2023034F">
        <w:rPr>
          <w:rFonts w:ascii="Times New Roman" w:hAnsi="Times New Roman" w:cs="Times New Roman"/>
          <w:sz w:val="24"/>
          <w:szCs w:val="24"/>
          <w:lang w:val="es-PE"/>
        </w:rPr>
        <w:t>.................</w:t>
      </w:r>
      <w:r w:rsidRPr="5F3806AB" w:rsidR="00262181">
        <w:rPr>
          <w:rFonts w:ascii="Times New Roman" w:hAnsi="Times New Roman" w:cs="Times New Roman"/>
          <w:sz w:val="24"/>
          <w:szCs w:val="24"/>
          <w:lang w:val="es-PE"/>
        </w:rPr>
        <w:t xml:space="preserve"> ha incumplido con la póliza y aplica el pago desde la fecha del diagnóstico posterior, el cual se dio incluso luego de recibir terapia en base al derrame y cirugía; ello solo le significa pérdida de tiempo frente a lo que es su derecho, generándole además el estrés de tener que pasar por el reclamo y sustentar algo que se ha cumplido en otro caso sin inconveniente alguno; f) por su situación no debería estar expuesto al estrés ni a las presiones de este reclamo, que es su derecho, por lo que requiere se ampare su reclamo.</w:t>
      </w:r>
    </w:p>
    <w:p w:rsidRPr="00262181" w:rsidR="00262181" w:rsidP="00262181" w:rsidRDefault="00262181" w14:paraId="38064A41" w14:textId="1D7388D7">
      <w:pPr>
        <w:spacing w:after="200" w:line="240" w:lineRule="auto"/>
        <w:jc w:val="both"/>
        <w:rPr>
          <w:rFonts w:ascii="Times New Roman" w:hAnsi="Times New Roman" w:cs="Times New Roman"/>
          <w:sz w:val="24"/>
          <w:szCs w:val="24"/>
          <w:lang w:val="es-PE"/>
        </w:rPr>
      </w:pPr>
      <w:r w:rsidRPr="5F3806AB" w:rsidR="00262181">
        <w:rPr>
          <w:rFonts w:ascii="Times New Roman" w:hAnsi="Times New Roman" w:cs="Times New Roman"/>
          <w:sz w:val="24"/>
          <w:szCs w:val="24"/>
          <w:lang w:val="es-PE"/>
        </w:rPr>
        <w:t xml:space="preserve">Que, por su parte, ratificando el rechazo de cobertura y solicitando que la reclamación sea desestimada, la compañía de </w:t>
      </w:r>
      <w:r w:rsidRPr="5F3806AB" w:rsidR="55D259B3">
        <w:rPr>
          <w:rFonts w:ascii="Times New Roman" w:hAnsi="Times New Roman" w:cs="Times New Roman"/>
          <w:sz w:val="24"/>
          <w:szCs w:val="24"/>
          <w:lang w:val="es-PE"/>
        </w:rPr>
        <w:t>.....................</w:t>
      </w:r>
      <w:r w:rsidRPr="5F3806AB" w:rsidR="00262181">
        <w:rPr>
          <w:rFonts w:ascii="Times New Roman" w:hAnsi="Times New Roman" w:cs="Times New Roman"/>
          <w:sz w:val="24"/>
          <w:szCs w:val="24"/>
          <w:lang w:val="es-PE"/>
        </w:rPr>
        <w:t xml:space="preserve"> expresa resumidamente lo siguiente: a) el reclamante fue incorporado en calidad de asegurado al contrato de Seguro Protección de Desgravamen </w:t>
      </w:r>
      <w:r w:rsidRPr="5F3806AB" w:rsidR="00262181">
        <w:rPr>
          <w:rFonts w:ascii="Times New Roman" w:hAnsi="Times New Roman" w:cs="Times New Roman"/>
          <w:sz w:val="24"/>
          <w:szCs w:val="24"/>
          <w:lang w:val="es-PE"/>
        </w:rPr>
        <w:t>Conticasa</w:t>
      </w:r>
      <w:r w:rsidRPr="5F3806AB" w:rsidR="00262181">
        <w:rPr>
          <w:rFonts w:ascii="Times New Roman" w:hAnsi="Times New Roman" w:cs="Times New Roman"/>
          <w:sz w:val="24"/>
          <w:szCs w:val="24"/>
          <w:lang w:val="es-PE"/>
        </w:rPr>
        <w:t xml:space="preserve"> celebrado entre el Banco BBVA y </w:t>
      </w:r>
      <w:r w:rsidRPr="5F3806AB" w:rsidR="2023034F">
        <w:rPr>
          <w:rFonts w:ascii="Times New Roman" w:hAnsi="Times New Roman" w:cs="Times New Roman"/>
          <w:sz w:val="24"/>
          <w:szCs w:val="24"/>
          <w:lang w:val="es-PE"/>
        </w:rPr>
        <w:t>.................</w:t>
      </w:r>
      <w:r w:rsidRPr="5F3806AB" w:rsidR="00262181">
        <w:rPr>
          <w:rFonts w:ascii="Times New Roman" w:hAnsi="Times New Roman" w:cs="Times New Roman"/>
          <w:sz w:val="24"/>
          <w:szCs w:val="24"/>
          <w:lang w:val="es-PE"/>
        </w:rPr>
        <w:t xml:space="preserve">, el pasado 16.11.2017; b) con fecha </w:t>
      </w:r>
      <w:r w:rsidRPr="5F3806AB" w:rsidR="00262181">
        <w:rPr>
          <w:rFonts w:ascii="Times New Roman" w:hAnsi="Times New Roman" w:cs="Times New Roman"/>
          <w:sz w:val="24"/>
          <w:szCs w:val="24"/>
          <w:lang w:val="es-PE"/>
        </w:rPr>
        <w:t xml:space="preserve">27.02.22 el reclamante sufrió un derrame cerebral, razón por la cual fue internado y le realizaron una cirugía de emergencia; c) en atención a dicho suceso en fecha 08.01.2024 la COMAFP emitió el Dictamen donde se prescribió una invalidez total y permanente al 70%; d) con fecha 15.01.2024 el reclamante solicitó el otorgamiento de la cobertura presentado la documentación correspondiente al dictamen; e) mediante liquidación de fecha 26.02.2024 </w:t>
      </w:r>
      <w:r w:rsidRPr="5F3806AB" w:rsidR="2023034F">
        <w:rPr>
          <w:rFonts w:ascii="Times New Roman" w:hAnsi="Times New Roman" w:cs="Times New Roman"/>
          <w:sz w:val="24"/>
          <w:szCs w:val="24"/>
          <w:lang w:val="es-PE"/>
        </w:rPr>
        <w:t>.................</w:t>
      </w:r>
      <w:r w:rsidRPr="5F3806AB" w:rsidR="00262181">
        <w:rPr>
          <w:rFonts w:ascii="Times New Roman" w:hAnsi="Times New Roman" w:cs="Times New Roman"/>
          <w:sz w:val="24"/>
          <w:szCs w:val="24"/>
          <w:lang w:val="es-PE"/>
        </w:rPr>
        <w:t xml:space="preserve"> cumple con el abono de la cobertura solicitada considerando para ello el saldo insoluto de la deuda; no estando el reclamante conforme con la liquidación; f) el reclamante señala que no se ha cumplido con el otorgamiento de la cobertura de seguro considerando las fechas pertinentes; g) DEFASEG no ha tenido en cuante los requisitos de cuantía, en este caso el saldo insoluto de la deuda es de S/835,483.78, y la DEFASEG solo es competente para resolver aquellas controversias que no superen los US$50,000; h) asimismo debe declararse la improcedencia por sustracción de la materia por extinción del derecho objeto de controversia ya que han cumplido con el otorgamiento de la cobertura  de seguro el 26.02.2024, siendo que el reclamante ha visto satisfecha su pretensión; por lo que solicitan al colegiado se abstenga de emitir pronunciamiento sobre el fondo y se archive el reclamo; i) con relación al fondo de la controversia, no ha quedado acreditado que se haya incumplido con el otorgamiento de la cobertura; si bien el incidente referido al derrame ocurrió en el año 2022, lo cierto es que el dictamen se dio de manera posterior lo cual significa que </w:t>
      </w:r>
      <w:r w:rsidRPr="5F3806AB" w:rsidR="2023034F">
        <w:rPr>
          <w:rFonts w:ascii="Times New Roman" w:hAnsi="Times New Roman" w:cs="Times New Roman"/>
          <w:sz w:val="24"/>
          <w:szCs w:val="24"/>
          <w:lang w:val="es-PE"/>
        </w:rPr>
        <w:t>.................</w:t>
      </w:r>
      <w:r w:rsidRPr="5F3806AB" w:rsidR="00262181">
        <w:rPr>
          <w:rFonts w:ascii="Times New Roman" w:hAnsi="Times New Roman" w:cs="Times New Roman"/>
          <w:sz w:val="24"/>
          <w:szCs w:val="24"/>
          <w:lang w:val="es-PE"/>
        </w:rPr>
        <w:t xml:space="preserve"> actuó según la delimitación del órgano competente, en este caso la COMAFP, por lo que solicitan que el reclamo sea declarado improcedente y/o infundado.</w:t>
      </w:r>
    </w:p>
    <w:p w:rsidRPr="00262181" w:rsidR="00262181" w:rsidP="00262181" w:rsidRDefault="00262181" w14:paraId="23F8ECB2" w14:textId="77777777">
      <w:pPr>
        <w:spacing w:after="200" w:line="240" w:lineRule="auto"/>
        <w:jc w:val="both"/>
        <w:rPr>
          <w:rFonts w:ascii="Times New Roman" w:hAnsi="Times New Roman" w:cs="Times New Roman"/>
          <w:sz w:val="24"/>
          <w:szCs w:val="24"/>
          <w:lang w:val="es-PE"/>
        </w:rPr>
      </w:pPr>
      <w:r w:rsidRPr="00262181">
        <w:rPr>
          <w:rFonts w:ascii="Times New Roman" w:hAnsi="Times New Roman" w:cs="Times New Roman"/>
          <w:sz w:val="24"/>
          <w:szCs w:val="24"/>
          <w:lang w:val="es-PE"/>
        </w:rPr>
        <w:t>Que, en lo que respecta al monto reclamado y a la competencia por cuantía de la DEFASEG, el reclamante señala que su reclamo es por menos de US$50,000; siendo que reclama el reembolso desde la fecha de siniestro de los pagos realizados por el crédito asegurado, y no por el total del pago de la póliza de seguro.</w:t>
      </w:r>
    </w:p>
    <w:p w:rsidRPr="00262181" w:rsidR="00262181" w:rsidP="00262181" w:rsidRDefault="00262181" w14:paraId="6A83D4C8" w14:textId="5D66D749">
      <w:pPr>
        <w:spacing w:after="200" w:line="240" w:lineRule="auto"/>
        <w:jc w:val="both"/>
        <w:rPr>
          <w:rFonts w:ascii="Times New Roman" w:hAnsi="Times New Roman" w:cs="Times New Roman"/>
          <w:sz w:val="24"/>
          <w:szCs w:val="24"/>
          <w:lang w:val="es-PE"/>
        </w:rPr>
      </w:pPr>
      <w:r w:rsidRPr="5F3806AB" w:rsidR="00262181">
        <w:rPr>
          <w:rFonts w:ascii="Times New Roman" w:hAnsi="Times New Roman" w:cs="Times New Roman"/>
          <w:sz w:val="24"/>
          <w:szCs w:val="24"/>
          <w:lang w:val="es-PE"/>
        </w:rPr>
        <w:t xml:space="preserve">Que, con fecha 18 de agosto la aseguradora presentó un escrito adicional reiterando sus argumentos sobre la incompetencia por cuantía de la DEFASEG; así como adjuntando el estado de cuenta de la deuda al 23 de enero de 2024; y señalando adicionalmente lo siguiente: a) que el reclamante menciona que existirían dos </w:t>
      </w:r>
      <w:r w:rsidRPr="5F3806AB" w:rsidR="55D259B3">
        <w:rPr>
          <w:rFonts w:ascii="Times New Roman" w:hAnsi="Times New Roman" w:cs="Times New Roman"/>
          <w:sz w:val="24"/>
          <w:szCs w:val="24"/>
          <w:lang w:val="es-PE"/>
        </w:rPr>
        <w:t>.....................</w:t>
      </w:r>
      <w:r w:rsidRPr="5F3806AB" w:rsidR="00262181">
        <w:rPr>
          <w:rFonts w:ascii="Times New Roman" w:hAnsi="Times New Roman" w:cs="Times New Roman"/>
          <w:sz w:val="24"/>
          <w:szCs w:val="24"/>
          <w:lang w:val="es-PE"/>
        </w:rPr>
        <w:t xml:space="preserve"> de desgravamen, pero que solo uno de ellos corresponde a </w:t>
      </w:r>
      <w:r w:rsidRPr="5F3806AB" w:rsidR="2023034F">
        <w:rPr>
          <w:rFonts w:ascii="Times New Roman" w:hAnsi="Times New Roman" w:cs="Times New Roman"/>
          <w:sz w:val="24"/>
          <w:szCs w:val="24"/>
          <w:lang w:val="es-PE"/>
        </w:rPr>
        <w:t>.................</w:t>
      </w:r>
      <w:r w:rsidRPr="5F3806AB" w:rsidR="00262181">
        <w:rPr>
          <w:rFonts w:ascii="Times New Roman" w:hAnsi="Times New Roman" w:cs="Times New Roman"/>
          <w:sz w:val="24"/>
          <w:szCs w:val="24"/>
          <w:lang w:val="es-PE"/>
        </w:rPr>
        <w:t xml:space="preserve">; b) que la suma del seguro que corresponde a </w:t>
      </w:r>
      <w:r w:rsidRPr="5F3806AB" w:rsidR="2023034F">
        <w:rPr>
          <w:rFonts w:ascii="Times New Roman" w:hAnsi="Times New Roman" w:cs="Times New Roman"/>
          <w:sz w:val="24"/>
          <w:szCs w:val="24"/>
          <w:lang w:val="es-PE"/>
        </w:rPr>
        <w:t>.................</w:t>
      </w:r>
      <w:r w:rsidRPr="5F3806AB" w:rsidR="00262181">
        <w:rPr>
          <w:rFonts w:ascii="Times New Roman" w:hAnsi="Times New Roman" w:cs="Times New Roman"/>
          <w:sz w:val="24"/>
          <w:szCs w:val="24"/>
          <w:lang w:val="es-PE"/>
        </w:rPr>
        <w:t xml:space="preserve"> ya ha sido abonada por lo que corresponde declarar la improcedencia por sustracción de la materia en tanto se ha cumplido con el otorgamiento de cobertura el 26 de febrero de 2024; c) que el adjuntan el dictamen COMAFP para que se verifique la fecha y el diagnóstico correspondiente.</w:t>
      </w:r>
    </w:p>
    <w:p w:rsidRPr="00262181" w:rsidR="00262181" w:rsidP="00262181" w:rsidRDefault="00262181" w14:paraId="7818BE33" w14:textId="10A739CF">
      <w:pPr>
        <w:spacing w:after="200" w:line="240" w:lineRule="auto"/>
        <w:jc w:val="both"/>
        <w:rPr>
          <w:rFonts w:ascii="Times New Roman" w:hAnsi="Times New Roman" w:cs="Times New Roman"/>
          <w:sz w:val="24"/>
          <w:szCs w:val="24"/>
          <w:lang w:val="es-PE"/>
        </w:rPr>
      </w:pPr>
      <w:r w:rsidRPr="5F3806AB" w:rsidR="00262181">
        <w:rPr>
          <w:rFonts w:ascii="Times New Roman" w:hAnsi="Times New Roman" w:cs="Times New Roman"/>
          <w:sz w:val="24"/>
          <w:szCs w:val="24"/>
          <w:lang w:val="es-PE"/>
        </w:rPr>
        <w:t xml:space="preserve">Que, con fecha 21 de agosto de 2025 el reclamante presentó una comunicación adicional señalando que el monto que el reclama no excede de US$50,000 y señalando que sí existen dos créditos en el BBVA asegurados a través de </w:t>
      </w:r>
      <w:r w:rsidRPr="5F3806AB" w:rsidR="2023034F">
        <w:rPr>
          <w:rFonts w:ascii="Times New Roman" w:hAnsi="Times New Roman" w:cs="Times New Roman"/>
          <w:sz w:val="24"/>
          <w:szCs w:val="24"/>
          <w:lang w:val="es-PE"/>
        </w:rPr>
        <w:t>.................</w:t>
      </w:r>
      <w:r w:rsidRPr="5F3806AB" w:rsidR="00262181">
        <w:rPr>
          <w:rFonts w:ascii="Times New Roman" w:hAnsi="Times New Roman" w:cs="Times New Roman"/>
          <w:sz w:val="24"/>
          <w:szCs w:val="24"/>
          <w:lang w:val="es-PE"/>
        </w:rPr>
        <w:t xml:space="preserve">; evidenciando que no se ha presentado la póliza grupal, y reiterando sus argumentos.  </w:t>
      </w:r>
    </w:p>
    <w:p w:rsidRPr="00262181" w:rsidR="00262181" w:rsidP="00262181" w:rsidRDefault="00262181" w14:paraId="247FF851" w14:textId="77777777">
      <w:pPr>
        <w:spacing w:after="200" w:line="240" w:lineRule="auto"/>
        <w:jc w:val="both"/>
        <w:rPr>
          <w:rFonts w:ascii="Times New Roman" w:hAnsi="Times New Roman" w:cs="Times New Roman"/>
          <w:sz w:val="24"/>
          <w:szCs w:val="24"/>
          <w:lang w:val="es-PE"/>
        </w:rPr>
      </w:pPr>
      <w:r w:rsidRPr="00262181">
        <w:rPr>
          <w:rFonts w:ascii="Times New Roman" w:hAnsi="Times New Roman" w:cs="Times New Roman"/>
          <w:b/>
          <w:bCs/>
          <w:sz w:val="24"/>
          <w:szCs w:val="24"/>
          <w:lang w:val="es-PE"/>
        </w:rPr>
        <w:t>Considerando:</w:t>
      </w:r>
    </w:p>
    <w:p w:rsidRPr="00262181" w:rsidR="00262181" w:rsidP="00262181" w:rsidRDefault="00262181" w14:paraId="4E99196F" w14:textId="65C1833F">
      <w:pPr>
        <w:spacing w:after="200" w:line="240" w:lineRule="auto"/>
        <w:jc w:val="both"/>
        <w:rPr>
          <w:rFonts w:ascii="Times New Roman" w:hAnsi="Times New Roman" w:cs="Times New Roman"/>
          <w:sz w:val="24"/>
          <w:szCs w:val="24"/>
          <w:lang w:val="es-PE"/>
        </w:rPr>
      </w:pPr>
      <w:r w:rsidRPr="5F3806AB" w:rsidR="00262181">
        <w:rPr>
          <w:rFonts w:ascii="Times New Roman" w:hAnsi="Times New Roman" w:cs="Times New Roman"/>
          <w:b w:val="1"/>
          <w:bCs w:val="1"/>
          <w:sz w:val="24"/>
          <w:szCs w:val="24"/>
          <w:u w:val="single"/>
          <w:lang w:val="es-PE"/>
        </w:rPr>
        <w:t>Primero</w:t>
      </w:r>
      <w:r w:rsidRPr="5F3806AB" w:rsidR="00262181">
        <w:rPr>
          <w:rFonts w:ascii="Times New Roman" w:hAnsi="Times New Roman" w:cs="Times New Roman"/>
          <w:b w:val="1"/>
          <w:bCs w:val="1"/>
          <w:sz w:val="24"/>
          <w:szCs w:val="24"/>
          <w:lang w:val="es-PE"/>
        </w:rPr>
        <w:t xml:space="preserve">: </w:t>
      </w:r>
      <w:r w:rsidRPr="5F3806AB" w:rsidR="00262181">
        <w:rPr>
          <w:rFonts w:ascii="Times New Roman" w:hAnsi="Times New Roman" w:cs="Times New Roman"/>
          <w:sz w:val="24"/>
          <w:szCs w:val="24"/>
          <w:lang w:val="es-PE"/>
        </w:rPr>
        <w:t>Conforme a su Reglamento, la</w:t>
      </w:r>
      <w:r w:rsidRPr="5F3806AB" w:rsidR="00262181">
        <w:rPr>
          <w:rFonts w:ascii="Times New Roman" w:hAnsi="Times New Roman" w:cs="Times New Roman"/>
          <w:b w:val="1"/>
          <w:bCs w:val="1"/>
          <w:sz w:val="24"/>
          <w:szCs w:val="24"/>
          <w:lang w:val="es-PE"/>
        </w:rPr>
        <w:t xml:space="preserve"> </w:t>
      </w:r>
      <w:r w:rsidRPr="5F3806AB" w:rsidR="00262181">
        <w:rPr>
          <w:rFonts w:ascii="Times New Roman" w:hAnsi="Times New Roman" w:cs="Times New Roman"/>
          <w:sz w:val="24"/>
          <w:szCs w:val="24"/>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w:t>
      </w:r>
      <w:r w:rsidRPr="5F3806AB" w:rsidR="55D259B3">
        <w:rPr>
          <w:rFonts w:ascii="Times New Roman" w:hAnsi="Times New Roman" w:cs="Times New Roman"/>
          <w:sz w:val="24"/>
          <w:szCs w:val="24"/>
          <w:lang w:val="es-PE"/>
        </w:rPr>
        <w:t>.....................</w:t>
      </w:r>
      <w:r w:rsidRPr="5F3806AB" w:rsidR="00262181">
        <w:rPr>
          <w:rFonts w:ascii="Times New Roman" w:hAnsi="Times New Roman" w:cs="Times New Roman"/>
          <w:sz w:val="24"/>
          <w:szCs w:val="24"/>
          <w:lang w:val="es-PE"/>
        </w:rPr>
        <w:t xml:space="preserve">” a los asegurados propiamente dichos, a los contratantes del respectivo seguro y/o a los beneficiarios nombrados en las pólizas. </w:t>
      </w:r>
    </w:p>
    <w:p w:rsidRPr="00262181" w:rsidR="00262181" w:rsidP="00262181" w:rsidRDefault="00262181" w14:paraId="62718CF7" w14:textId="77777777">
      <w:pPr>
        <w:spacing w:after="200" w:line="240" w:lineRule="auto"/>
        <w:jc w:val="both"/>
        <w:rPr>
          <w:rFonts w:ascii="Times New Roman" w:hAnsi="Times New Roman" w:cs="Times New Roman"/>
          <w:sz w:val="24"/>
          <w:szCs w:val="24"/>
          <w:lang w:val="es-PE"/>
        </w:rPr>
      </w:pPr>
    </w:p>
    <w:p w:rsidRPr="00262181" w:rsidR="00262181" w:rsidP="00262181" w:rsidRDefault="00262181" w14:paraId="3939D12C" w14:textId="77777777">
      <w:pPr>
        <w:spacing w:after="200" w:line="240" w:lineRule="auto"/>
        <w:jc w:val="both"/>
        <w:rPr>
          <w:rFonts w:ascii="Times New Roman" w:hAnsi="Times New Roman" w:cs="Times New Roman"/>
          <w:bCs/>
          <w:sz w:val="24"/>
          <w:szCs w:val="24"/>
          <w:lang w:val="es-PE"/>
        </w:rPr>
      </w:pPr>
      <w:r w:rsidRPr="00262181">
        <w:rPr>
          <w:rFonts w:ascii="Times New Roman" w:hAnsi="Times New Roman" w:cs="Times New Roman"/>
          <w:b/>
          <w:bCs/>
          <w:sz w:val="24"/>
          <w:szCs w:val="24"/>
          <w:u w:val="single"/>
          <w:lang w:val="es-PE"/>
        </w:rPr>
        <w:t>Segundo</w:t>
      </w:r>
      <w:r w:rsidRPr="00262181">
        <w:rPr>
          <w:rFonts w:ascii="Times New Roman" w:hAnsi="Times New Roman" w:cs="Times New Roman"/>
          <w:b/>
          <w:bCs/>
          <w:sz w:val="24"/>
          <w:szCs w:val="24"/>
          <w:lang w:val="es-PE"/>
        </w:rPr>
        <w:t>:</w:t>
      </w:r>
      <w:r w:rsidRPr="00262181">
        <w:rPr>
          <w:rFonts w:ascii="Times New Roman" w:hAnsi="Times New Roman" w:cs="Times New Roman"/>
          <w:bCs/>
          <w:sz w:val="24"/>
          <w:szCs w:val="24"/>
          <w:lang w:val="es-PE"/>
        </w:rPr>
        <w:t xml:space="preserve"> </w:t>
      </w:r>
      <w:r w:rsidRPr="00262181">
        <w:rPr>
          <w:rFonts w:ascii="Times New Roman" w:hAnsi="Times New Roman" w:cs="Times New Roman"/>
          <w:sz w:val="24"/>
          <w:szCs w:val="24"/>
          <w:lang w:val="es-PE"/>
        </w:rPr>
        <w:t xml:space="preserve">Asimismo, de acuerdo a </w:t>
      </w:r>
      <w:r w:rsidRPr="00262181">
        <w:rPr>
          <w:rFonts w:ascii="Times New Roman" w:hAnsi="Times New Roman" w:cs="Times New Roman"/>
          <w:bCs/>
          <w:sz w:val="24"/>
          <w:szCs w:val="24"/>
          <w:lang w:val="es-PE"/>
        </w:rPr>
        <w:t xml:space="preserve">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w:t>
      </w:r>
    </w:p>
    <w:p w:rsidRPr="00262181" w:rsidR="00262181" w:rsidP="00262181" w:rsidRDefault="00262181" w14:paraId="60BA5610" w14:textId="77777777">
      <w:pPr>
        <w:spacing w:after="200" w:line="240" w:lineRule="auto"/>
        <w:jc w:val="both"/>
        <w:rPr>
          <w:rFonts w:ascii="Times New Roman" w:hAnsi="Times New Roman" w:cs="Times New Roman"/>
          <w:bCs/>
          <w:sz w:val="24"/>
          <w:szCs w:val="24"/>
          <w:lang w:val="es-PE"/>
        </w:rPr>
      </w:pPr>
      <w:r w:rsidRPr="00262181">
        <w:rPr>
          <w:rFonts w:ascii="Times New Roman" w:hAnsi="Times New Roman" w:cs="Times New Roman"/>
          <w:bCs/>
          <w:sz w:val="24"/>
          <w:szCs w:val="24"/>
          <w:lang w:val="es-PE"/>
        </w:rPr>
        <w:t>En consecuencia, todas aquellas reclamaciones por materias distintas al otorgamiento de cobertura y pago de indemnizaciones, como pueden las pretensiones indemnizatorias por daños y perjuicios, por reembolso de gastos, o relativas a idoneidad de servicios, son ajenas a la competencia funcional de esta Defensoría.</w:t>
      </w:r>
    </w:p>
    <w:p w:rsidRPr="00262181" w:rsidR="00262181" w:rsidP="00262181" w:rsidRDefault="00262181" w14:paraId="65478E20" w14:textId="448CA705">
      <w:pPr>
        <w:spacing w:after="200" w:line="240" w:lineRule="auto"/>
        <w:jc w:val="both"/>
        <w:rPr>
          <w:rFonts w:ascii="Times New Roman" w:hAnsi="Times New Roman" w:cs="Times New Roman"/>
          <w:sz w:val="24"/>
          <w:szCs w:val="24"/>
          <w:lang w:val="es-ES"/>
        </w:rPr>
      </w:pPr>
      <w:r w:rsidRPr="5F3806AB" w:rsidR="00262181">
        <w:rPr>
          <w:rFonts w:ascii="Times New Roman" w:hAnsi="Times New Roman" w:cs="Times New Roman"/>
          <w:b w:val="1"/>
          <w:bCs w:val="1"/>
          <w:sz w:val="24"/>
          <w:szCs w:val="24"/>
          <w:u w:val="single"/>
          <w:lang w:val="es-PE"/>
        </w:rPr>
        <w:t>Tercero</w:t>
      </w:r>
      <w:r w:rsidRPr="5F3806AB" w:rsidR="00262181">
        <w:rPr>
          <w:rFonts w:ascii="Times New Roman" w:hAnsi="Times New Roman" w:cs="Times New Roman"/>
          <w:b w:val="1"/>
          <w:bCs w:val="1"/>
          <w:sz w:val="24"/>
          <w:szCs w:val="24"/>
          <w:lang w:val="es-PE"/>
        </w:rPr>
        <w:t>:</w:t>
      </w:r>
      <w:r w:rsidRPr="5F3806AB" w:rsidR="00262181">
        <w:rPr>
          <w:rFonts w:ascii="Times New Roman" w:hAnsi="Times New Roman" w:cs="Times New Roman"/>
          <w:sz w:val="24"/>
          <w:szCs w:val="24"/>
          <w:lang w:val="es-PE"/>
        </w:rPr>
        <w:t xml:space="preserve"> Que, de acuerdo a la Ley Nro. </w:t>
      </w:r>
      <w:r w:rsidRPr="5F3806AB" w:rsidR="00262181">
        <w:rPr>
          <w:rFonts w:ascii="Times New Roman" w:hAnsi="Times New Roman" w:cs="Times New Roman"/>
          <w:sz w:val="24"/>
          <w:szCs w:val="24"/>
          <w:lang w:val="es-ES"/>
        </w:rPr>
        <w:t xml:space="preserve">29946 – Ley del Contrato de Seguro, norma legal vigente con ocasión de la celebración del contrato al cual se contrae el presente caso, </w:t>
      </w:r>
      <w:r w:rsidRPr="5F3806AB" w:rsidR="00262181">
        <w:rPr>
          <w:rFonts w:ascii="Times New Roman" w:hAnsi="Times New Roman" w:cs="Times New Roman"/>
          <w:sz w:val="24"/>
          <w:szCs w:val="24"/>
          <w:lang w:val="es-PE"/>
        </w:rPr>
        <w:t xml:space="preserve">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w:t>
      </w:r>
      <w:r w:rsidRPr="5F3806AB" w:rsidR="55D259B3">
        <w:rPr>
          <w:rFonts w:ascii="Times New Roman" w:hAnsi="Times New Roman" w:cs="Times New Roman"/>
          <w:sz w:val="24"/>
          <w:szCs w:val="24"/>
          <w:lang w:val="es-PE"/>
        </w:rPr>
        <w:t>.....................</w:t>
      </w:r>
      <w:r w:rsidRPr="5F3806AB" w:rsidR="00262181">
        <w:rPr>
          <w:rFonts w:ascii="Times New Roman" w:hAnsi="Times New Roman" w:cs="Times New Roman"/>
          <w:sz w:val="24"/>
          <w:szCs w:val="24"/>
          <w:lang w:val="es-PE"/>
        </w:rPr>
        <w:t xml:space="preserve"> o de protección al consumidor.</w:t>
      </w:r>
    </w:p>
    <w:p w:rsidRPr="00262181" w:rsidR="00262181" w:rsidP="00262181" w:rsidRDefault="00262181" w14:paraId="5C9F3828" w14:textId="77777777">
      <w:pPr>
        <w:spacing w:after="200" w:line="240" w:lineRule="auto"/>
        <w:jc w:val="both"/>
        <w:rPr>
          <w:rFonts w:ascii="Times New Roman" w:hAnsi="Times New Roman" w:cs="Times New Roman"/>
          <w:sz w:val="24"/>
          <w:szCs w:val="24"/>
          <w:lang w:val="es-PE"/>
        </w:rPr>
      </w:pPr>
      <w:r w:rsidRPr="00262181">
        <w:rPr>
          <w:rFonts w:ascii="Times New Roman" w:hAnsi="Times New Roman" w:cs="Times New Roman"/>
          <w:b/>
          <w:sz w:val="24"/>
          <w:szCs w:val="24"/>
          <w:u w:val="single"/>
          <w:lang w:val="es-PE"/>
        </w:rPr>
        <w:t>Cuarto</w:t>
      </w:r>
      <w:r w:rsidRPr="00262181">
        <w:rPr>
          <w:rFonts w:ascii="Times New Roman" w:hAnsi="Times New Roman" w:cs="Times New Roman"/>
          <w:b/>
          <w:sz w:val="24"/>
          <w:szCs w:val="24"/>
          <w:lang w:val="es-PE"/>
        </w:rPr>
        <w:t>:</w:t>
      </w:r>
      <w:r w:rsidRPr="00262181">
        <w:rPr>
          <w:rFonts w:ascii="Times New Roman" w:hAnsi="Times New Roman" w:cs="Times New Roman"/>
          <w:sz w:val="24"/>
          <w:szCs w:val="24"/>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262181" w:rsidR="00262181" w:rsidP="00262181" w:rsidRDefault="00262181" w14:paraId="4BFC6B8F" w14:textId="77777777">
      <w:pPr>
        <w:spacing w:after="200" w:line="240" w:lineRule="auto"/>
        <w:jc w:val="both"/>
        <w:rPr>
          <w:rFonts w:ascii="Times New Roman" w:hAnsi="Times New Roman" w:cs="Times New Roman"/>
          <w:sz w:val="24"/>
          <w:szCs w:val="24"/>
          <w:lang w:val="es-ES"/>
        </w:rPr>
      </w:pPr>
      <w:r w:rsidRPr="00262181">
        <w:rPr>
          <w:rFonts w:ascii="Times New Roman" w:hAnsi="Times New Roman" w:cs="Times New Roman"/>
          <w:b/>
          <w:bCs/>
          <w:sz w:val="24"/>
          <w:szCs w:val="24"/>
          <w:u w:val="single"/>
          <w:lang w:val="es-PE"/>
        </w:rPr>
        <w:t>Quinto</w:t>
      </w:r>
      <w:r w:rsidRPr="00262181">
        <w:rPr>
          <w:rFonts w:ascii="Times New Roman" w:hAnsi="Times New Roman" w:cs="Times New Roman"/>
          <w:b/>
          <w:bCs/>
          <w:sz w:val="24"/>
          <w:szCs w:val="24"/>
          <w:lang w:val="es-PE"/>
        </w:rPr>
        <w:t xml:space="preserve">: </w:t>
      </w:r>
      <w:r w:rsidRPr="00262181">
        <w:rPr>
          <w:rFonts w:ascii="Times New Roman" w:hAnsi="Times New Roman" w:cs="Times New Roman"/>
          <w:bCs/>
          <w:sz w:val="24"/>
          <w:szCs w:val="24"/>
          <w:lang w:val="es-PE"/>
        </w:rPr>
        <w:t>Que, conforme al</w:t>
      </w:r>
      <w:r w:rsidRPr="00262181">
        <w:rPr>
          <w:rFonts w:ascii="Times New Roman" w:hAnsi="Times New Roman" w:cs="Times New Roman"/>
          <w:b/>
          <w:bCs/>
          <w:sz w:val="24"/>
          <w:szCs w:val="24"/>
          <w:lang w:val="es-PE"/>
        </w:rPr>
        <w:t xml:space="preserve"> </w:t>
      </w:r>
      <w:r w:rsidRPr="00262181">
        <w:rPr>
          <w:rFonts w:ascii="Times New Roman" w:hAnsi="Times New Roman" w:cs="Times New Roman"/>
          <w:sz w:val="24"/>
          <w:szCs w:val="24"/>
          <w:lang w:val="es-PE"/>
        </w:rPr>
        <w:t>artículo 196 del Código Procesal Civil, la carga de la prueba corresponde a quien afirma hechos que configuran su pretensión, o a quien los contradice alegando nuevos hechos, salvo disposición legal diferente.</w:t>
      </w:r>
    </w:p>
    <w:p w:rsidR="00464B83" w:rsidP="00262181" w:rsidRDefault="00262181" w14:paraId="0ECCD06D" w14:textId="77777777">
      <w:pPr>
        <w:spacing w:after="200" w:line="240" w:lineRule="auto"/>
        <w:jc w:val="both"/>
        <w:rPr>
          <w:rFonts w:ascii="Times New Roman" w:hAnsi="Times New Roman" w:cs="Times New Roman"/>
          <w:sz w:val="24"/>
          <w:szCs w:val="24"/>
          <w:lang w:val="es-PE"/>
        </w:rPr>
      </w:pPr>
      <w:r w:rsidRPr="00262181">
        <w:rPr>
          <w:rFonts w:ascii="Times New Roman" w:hAnsi="Times New Roman" w:cs="Times New Roman"/>
          <w:b/>
          <w:bCs/>
          <w:sz w:val="24"/>
          <w:szCs w:val="24"/>
          <w:u w:val="single"/>
          <w:lang w:val="es-PE"/>
        </w:rPr>
        <w:t>Sexto</w:t>
      </w:r>
      <w:r w:rsidRPr="00262181">
        <w:rPr>
          <w:rFonts w:ascii="Times New Roman" w:hAnsi="Times New Roman" w:cs="Times New Roman"/>
          <w:b/>
          <w:bCs/>
          <w:sz w:val="24"/>
          <w:szCs w:val="24"/>
          <w:lang w:val="es-PE"/>
        </w:rPr>
        <w:t xml:space="preserve">: </w:t>
      </w:r>
      <w:r w:rsidRPr="00262181">
        <w:rPr>
          <w:rFonts w:ascii="Times New Roman" w:hAnsi="Times New Roman" w:cs="Times New Roman"/>
          <w:sz w:val="24"/>
          <w:szCs w:val="24"/>
          <w:lang w:val="es-PE"/>
        </w:rPr>
        <w:t>Sobre la base de los términos contenidos en la reclamación y en su absolución, así como</w:t>
      </w:r>
      <w:r w:rsidRPr="00262181">
        <w:rPr>
          <w:rFonts w:ascii="Times New Roman" w:hAnsi="Times New Roman" w:cs="Times New Roman"/>
          <w:sz w:val="24"/>
          <w:szCs w:val="24"/>
          <w:lang w:val="es-419"/>
        </w:rPr>
        <w:t xml:space="preserve"> </w:t>
      </w:r>
      <w:r w:rsidRPr="00262181">
        <w:rPr>
          <w:rFonts w:ascii="Times New Roman" w:hAnsi="Times New Roman" w:cs="Times New Roman"/>
          <w:sz w:val="24"/>
          <w:szCs w:val="24"/>
          <w:lang w:val="es-PE"/>
        </w:rPr>
        <w:t>a lo tratado en la audiencia de vista, la cuestión controvertida radica en determinar en primer lugar, si esta Defensoría es competente por cuantía para conocer el fondo del asunto; y, de concluirse que sí fuera competente, determinar si la liquidación de siniestro ha sido realizada conforme a los términos y condiciones de la póliza.</w:t>
      </w:r>
    </w:p>
    <w:p w:rsidRPr="00262181" w:rsidR="00262181" w:rsidP="00262181" w:rsidRDefault="00262181" w14:paraId="2ED8237C" w14:textId="6B872FFA">
      <w:pPr>
        <w:spacing w:after="200" w:line="240" w:lineRule="auto"/>
        <w:jc w:val="both"/>
        <w:rPr>
          <w:rFonts w:ascii="Times New Roman" w:hAnsi="Times New Roman" w:cs="Times New Roman"/>
          <w:sz w:val="24"/>
          <w:szCs w:val="24"/>
          <w:lang w:val="es-PE"/>
        </w:rPr>
      </w:pPr>
      <w:r w:rsidRPr="5F3806AB" w:rsidR="00262181">
        <w:rPr>
          <w:rFonts w:ascii="Times New Roman" w:hAnsi="Times New Roman" w:cs="Times New Roman"/>
          <w:sz w:val="24"/>
          <w:szCs w:val="24"/>
          <w:lang w:val="es-PE"/>
        </w:rPr>
        <w:t xml:space="preserve">Es preciso indicar que no estamos ante un rechazo de siniestro, sino ante una controversia respecto del monto liquidado por la aseguradora, respecto del seguro de desgravamen hipotecario adquirido con el BBVA. Por lo tanto, no es correcto afirmar como sostiene la aseguradora que el reclamante ha visto satisfecha su pretensión, por cuanto la controversia justamente versa sobre la fecha que debe considerarse para determinar el saldo deudor, siendo que la aseguradora considera que es la fecha del Dictamen del COMAFP y el asegurado considera que es la fecha de configuración de la invalidez señalada en el Dictamen, diferencia que es menor a los US$50,000, siendo que el reclamante no reclama dicha diferencia, sino el reembolso de lo pagado al banco desde la fecha de configuración de la invalidez y hasta la fecha que </w:t>
      </w:r>
      <w:r w:rsidRPr="5F3806AB" w:rsidR="2023034F">
        <w:rPr>
          <w:rFonts w:ascii="Times New Roman" w:hAnsi="Times New Roman" w:cs="Times New Roman"/>
          <w:sz w:val="24"/>
          <w:szCs w:val="24"/>
          <w:lang w:val="es-PE"/>
        </w:rPr>
        <w:t>.................</w:t>
      </w:r>
      <w:r w:rsidRPr="5F3806AB" w:rsidR="00262181">
        <w:rPr>
          <w:rFonts w:ascii="Times New Roman" w:hAnsi="Times New Roman" w:cs="Times New Roman"/>
          <w:sz w:val="24"/>
          <w:szCs w:val="24"/>
          <w:lang w:val="es-PE"/>
        </w:rPr>
        <w:t xml:space="preserve"> liquidó el monto que consideró correspondía abonar por el seguro de desgravamen (diferencia que es inferior a US$50,000).</w:t>
      </w:r>
    </w:p>
    <w:p w:rsidRPr="00262181" w:rsidR="00262181" w:rsidP="00262181" w:rsidRDefault="00262181" w14:paraId="11F4BB21" w14:textId="2C407430">
      <w:pPr>
        <w:spacing w:after="200" w:line="240" w:lineRule="auto"/>
        <w:jc w:val="both"/>
        <w:rPr>
          <w:rFonts w:ascii="Times New Roman" w:hAnsi="Times New Roman" w:cs="Times New Roman"/>
          <w:sz w:val="24"/>
          <w:szCs w:val="24"/>
          <w:lang w:val="es-PE"/>
        </w:rPr>
      </w:pPr>
      <w:r w:rsidRPr="5F3806AB" w:rsidR="00262181">
        <w:rPr>
          <w:rFonts w:ascii="Times New Roman" w:hAnsi="Times New Roman" w:cs="Times New Roman"/>
          <w:sz w:val="24"/>
          <w:szCs w:val="24"/>
          <w:lang w:val="es-PE"/>
        </w:rPr>
        <w:t xml:space="preserve">De otro lado, cabe señalar que el reclamante menciona que cuenta con dos créditos con el BBVA, los cuales estarían asegurados con </w:t>
      </w:r>
      <w:r w:rsidRPr="5F3806AB" w:rsidR="2023034F">
        <w:rPr>
          <w:rFonts w:ascii="Times New Roman" w:hAnsi="Times New Roman" w:cs="Times New Roman"/>
          <w:sz w:val="24"/>
          <w:szCs w:val="24"/>
          <w:lang w:val="es-PE"/>
        </w:rPr>
        <w:t>.................</w:t>
      </w:r>
      <w:r w:rsidRPr="5F3806AB" w:rsidR="00262181">
        <w:rPr>
          <w:rFonts w:ascii="Times New Roman" w:hAnsi="Times New Roman" w:cs="Times New Roman"/>
          <w:sz w:val="24"/>
          <w:szCs w:val="24"/>
          <w:lang w:val="es-PE"/>
        </w:rPr>
        <w:t xml:space="preserve">. Siendo que el reclamo solo hizo referencia al crédito hipotecario, y la liquidación presentada solo consigna la liquidación de dicho crédito, el presente proceso versa únicamente sobre el crédito hipotecario; sin perjuicio de lo cual, el </w:t>
      </w:r>
      <w:r w:rsidRPr="5F3806AB" w:rsidR="00262181">
        <w:rPr>
          <w:rFonts w:ascii="Times New Roman" w:hAnsi="Times New Roman" w:cs="Times New Roman"/>
          <w:sz w:val="24"/>
          <w:szCs w:val="24"/>
          <w:lang w:val="es-PE"/>
        </w:rPr>
        <w:t xml:space="preserve">reclamante puede iniciar otro proceso por el otro crédito adjuntando la documentación requerida por esta Defensoría para poder admitir un reclamo. </w:t>
      </w:r>
    </w:p>
    <w:p w:rsidRPr="00262181" w:rsidR="00262181" w:rsidP="00262181" w:rsidRDefault="00262181" w14:paraId="5C385F85" w14:textId="77777777">
      <w:pPr>
        <w:spacing w:after="200" w:line="240" w:lineRule="auto"/>
        <w:jc w:val="both"/>
        <w:rPr>
          <w:rFonts w:ascii="Times New Roman" w:hAnsi="Times New Roman" w:cs="Times New Roman"/>
          <w:b/>
          <w:bCs/>
          <w:i/>
          <w:iCs/>
          <w:sz w:val="24"/>
          <w:szCs w:val="24"/>
          <w:lang w:val="es-PE"/>
        </w:rPr>
      </w:pPr>
      <w:r w:rsidRPr="00262181">
        <w:rPr>
          <w:rFonts w:ascii="Times New Roman" w:hAnsi="Times New Roman" w:cs="Times New Roman"/>
          <w:b/>
          <w:bCs/>
          <w:i/>
          <w:iCs/>
          <w:sz w:val="24"/>
          <w:szCs w:val="24"/>
          <w:lang w:val="es-PE"/>
        </w:rPr>
        <w:t>6.1 Sobre la competencia por cuantía:</w:t>
      </w:r>
    </w:p>
    <w:p w:rsidRPr="00262181" w:rsidR="00262181" w:rsidP="00262181" w:rsidRDefault="00262181" w14:paraId="7C6B4140" w14:textId="4FD5DB99">
      <w:pPr>
        <w:spacing w:after="200" w:line="240" w:lineRule="auto"/>
        <w:jc w:val="both"/>
        <w:rPr>
          <w:rFonts w:ascii="Times New Roman" w:hAnsi="Times New Roman" w:cs="Times New Roman"/>
          <w:sz w:val="24"/>
          <w:szCs w:val="24"/>
          <w:lang w:val="es-PE"/>
        </w:rPr>
      </w:pPr>
      <w:r w:rsidRPr="00262181">
        <w:rPr>
          <w:rFonts w:ascii="Times New Roman" w:hAnsi="Times New Roman" w:cs="Times New Roman"/>
          <w:sz w:val="24"/>
          <w:szCs w:val="24"/>
          <w:lang w:val="es-PE"/>
        </w:rPr>
        <w:t>De acuerdo al reglamento de la DEFASEG:</w:t>
      </w:r>
    </w:p>
    <w:p w:rsidRPr="00262181" w:rsidR="00262181" w:rsidP="5F3806AB" w:rsidRDefault="00262181" w14:paraId="39B32B16" w14:textId="023607D0">
      <w:pPr>
        <w:spacing w:after="200" w:line="240" w:lineRule="auto"/>
        <w:jc w:val="both"/>
        <w:rPr>
          <w:rFonts w:ascii="Times New Roman" w:hAnsi="Times New Roman" w:cs="Times New Roman"/>
          <w:i w:val="1"/>
          <w:iCs w:val="1"/>
          <w:sz w:val="24"/>
          <w:szCs w:val="24"/>
          <w:lang w:val="es-PE"/>
        </w:rPr>
      </w:pPr>
      <w:r w:rsidRPr="5F3806AB" w:rsidR="00262181">
        <w:rPr>
          <w:rFonts w:ascii="Times New Roman" w:hAnsi="Times New Roman" w:cs="Times New Roman"/>
          <w:i w:val="1"/>
          <w:iCs w:val="1"/>
          <w:sz w:val="24"/>
          <w:szCs w:val="24"/>
          <w:lang w:val="es-PE"/>
        </w:rPr>
        <w:t xml:space="preserve">“La Defensoría </w:t>
      </w:r>
      <w:r w:rsidRPr="5F3806AB" w:rsidR="00262181">
        <w:rPr>
          <w:rFonts w:ascii="Times New Roman" w:hAnsi="Times New Roman" w:cs="Times New Roman"/>
          <w:b w:val="1"/>
          <w:bCs w:val="1"/>
          <w:i w:val="1"/>
          <w:iCs w:val="1"/>
          <w:sz w:val="24"/>
          <w:szCs w:val="24"/>
          <w:u w:val="single"/>
          <w:lang w:val="es-PE"/>
        </w:rPr>
        <w:t xml:space="preserve">conoce los reclamos que plantean los usuarios de </w:t>
      </w:r>
      <w:r w:rsidRPr="5F3806AB" w:rsidR="55D259B3">
        <w:rPr>
          <w:rFonts w:ascii="Times New Roman" w:hAnsi="Times New Roman" w:cs="Times New Roman"/>
          <w:b w:val="1"/>
          <w:bCs w:val="1"/>
          <w:i w:val="1"/>
          <w:iCs w:val="1"/>
          <w:sz w:val="24"/>
          <w:szCs w:val="24"/>
          <w:u w:val="single"/>
          <w:lang w:val="es-PE"/>
        </w:rPr>
        <w:t>.....................</w:t>
      </w:r>
      <w:r w:rsidRPr="5F3806AB" w:rsidR="00262181">
        <w:rPr>
          <w:rFonts w:ascii="Times New Roman" w:hAnsi="Times New Roman" w:cs="Times New Roman"/>
          <w:b w:val="1"/>
          <w:bCs w:val="1"/>
          <w:i w:val="1"/>
          <w:iCs w:val="1"/>
          <w:sz w:val="24"/>
          <w:szCs w:val="24"/>
          <w:u w:val="single"/>
          <w:lang w:val="es-PE"/>
        </w:rPr>
        <w:t>, ello siempre y cuando</w:t>
      </w:r>
      <w:r w:rsidRPr="5F3806AB" w:rsidR="00262181">
        <w:rPr>
          <w:rFonts w:ascii="Times New Roman" w:hAnsi="Times New Roman" w:cs="Times New Roman"/>
          <w:i w:val="1"/>
          <w:iCs w:val="1"/>
          <w:sz w:val="24"/>
          <w:szCs w:val="24"/>
          <w:lang w:val="es-PE"/>
        </w:rPr>
        <w:t xml:space="preserve"> cumplan con los siguientes requisitos de admisibilidad de manera concurrente:</w:t>
      </w:r>
    </w:p>
    <w:p w:rsidRPr="00262181" w:rsidR="00262181" w:rsidP="5F3806AB" w:rsidRDefault="00262181" w14:paraId="2988C821" w14:textId="5EA4C0EC">
      <w:pPr>
        <w:numPr>
          <w:ilvl w:val="0"/>
          <w:numId w:val="38"/>
        </w:numPr>
        <w:spacing w:after="200" w:line="240" w:lineRule="auto"/>
        <w:jc w:val="both"/>
        <w:rPr>
          <w:rFonts w:ascii="Times New Roman" w:hAnsi="Times New Roman" w:cs="Times New Roman"/>
          <w:i w:val="1"/>
          <w:iCs w:val="1"/>
          <w:sz w:val="24"/>
          <w:szCs w:val="24"/>
          <w:lang w:val="es-PE"/>
        </w:rPr>
      </w:pPr>
      <w:r w:rsidRPr="5F3806AB" w:rsidR="00262181">
        <w:rPr>
          <w:rFonts w:ascii="Times New Roman" w:hAnsi="Times New Roman" w:cs="Times New Roman"/>
          <w:i w:val="1"/>
          <w:iCs w:val="1"/>
          <w:sz w:val="24"/>
          <w:szCs w:val="24"/>
          <w:lang w:val="es-PE"/>
        </w:rPr>
        <w:t xml:space="preserve">El reclamo debe estar referido a un rechazo </w:t>
      </w:r>
      <w:r w:rsidRPr="5F3806AB" w:rsidR="00262181">
        <w:rPr>
          <w:rFonts w:ascii="Times New Roman" w:hAnsi="Times New Roman" w:cs="Times New Roman"/>
          <w:b w:val="1"/>
          <w:bCs w:val="1"/>
          <w:i w:val="1"/>
          <w:iCs w:val="1"/>
          <w:sz w:val="24"/>
          <w:szCs w:val="24"/>
          <w:u w:val="single"/>
          <w:lang w:val="es-PE"/>
        </w:rPr>
        <w:t>o liquidación de siniestro</w:t>
      </w:r>
      <w:r w:rsidRPr="5F3806AB" w:rsidR="00262181">
        <w:rPr>
          <w:rFonts w:ascii="Times New Roman" w:hAnsi="Times New Roman" w:cs="Times New Roman"/>
          <w:i w:val="1"/>
          <w:iCs w:val="1"/>
          <w:sz w:val="24"/>
          <w:szCs w:val="24"/>
          <w:lang w:val="es-PE"/>
        </w:rPr>
        <w:t xml:space="preserve"> por parte de una empresa de </w:t>
      </w:r>
      <w:r w:rsidRPr="5F3806AB" w:rsidR="55D259B3">
        <w:rPr>
          <w:rFonts w:ascii="Times New Roman" w:hAnsi="Times New Roman" w:cs="Times New Roman"/>
          <w:i w:val="1"/>
          <w:iCs w:val="1"/>
          <w:sz w:val="24"/>
          <w:szCs w:val="24"/>
          <w:lang w:val="es-PE"/>
        </w:rPr>
        <w:t>.....................</w:t>
      </w:r>
      <w:r w:rsidRPr="5F3806AB" w:rsidR="00262181">
        <w:rPr>
          <w:rFonts w:ascii="Times New Roman" w:hAnsi="Times New Roman" w:cs="Times New Roman"/>
          <w:i w:val="1"/>
          <w:iCs w:val="1"/>
          <w:sz w:val="24"/>
          <w:szCs w:val="24"/>
          <w:lang w:val="es-PE"/>
        </w:rPr>
        <w:t xml:space="preserve">, excepto aquellos referidos a siniestros dentro del ámbito del seguro complementario de trabajo de riesgo y de los </w:t>
      </w:r>
      <w:r w:rsidRPr="5F3806AB" w:rsidR="55D259B3">
        <w:rPr>
          <w:rFonts w:ascii="Times New Roman" w:hAnsi="Times New Roman" w:cs="Times New Roman"/>
          <w:i w:val="1"/>
          <w:iCs w:val="1"/>
          <w:sz w:val="24"/>
          <w:szCs w:val="24"/>
          <w:lang w:val="es-PE"/>
        </w:rPr>
        <w:t>.....................</w:t>
      </w:r>
      <w:r w:rsidRPr="5F3806AB" w:rsidR="00262181">
        <w:rPr>
          <w:rFonts w:ascii="Times New Roman" w:hAnsi="Times New Roman" w:cs="Times New Roman"/>
          <w:i w:val="1"/>
          <w:iCs w:val="1"/>
          <w:sz w:val="24"/>
          <w:szCs w:val="24"/>
          <w:lang w:val="es-PE"/>
        </w:rPr>
        <w:t xml:space="preserve"> de invalidez, sobrevivencia y gastos de sepelio del Sistema Nacional de Pensiones (SNP), así como de los del Sistema Privado de Pensiones (SPP), que incluye rentas de jubilación, los cuales se encuentran excluidos de la competencia de la Defensoría.</w:t>
      </w:r>
      <w:r>
        <w:br/>
      </w:r>
      <w:r w:rsidRPr="5F3806AB" w:rsidR="00262181">
        <w:rPr>
          <w:rFonts w:ascii="Times New Roman" w:hAnsi="Times New Roman" w:cs="Times New Roman"/>
          <w:i w:val="1"/>
          <w:iCs w:val="1"/>
          <w:sz w:val="24"/>
          <w:szCs w:val="24"/>
          <w:lang w:val="es-PE"/>
        </w:rPr>
        <w:t xml:space="preserve">Cualquier reclamo que no se encuentre comprendido en el párrafo anterior, </w:t>
      </w:r>
      <w:r w:rsidRPr="5F3806AB" w:rsidR="00262181">
        <w:rPr>
          <w:rFonts w:ascii="Times New Roman" w:hAnsi="Times New Roman" w:cs="Times New Roman"/>
          <w:i w:val="1"/>
          <w:iCs w:val="1"/>
          <w:sz w:val="24"/>
          <w:szCs w:val="24"/>
          <w:lang w:val="es-PE"/>
        </w:rPr>
        <w:t>como</w:t>
      </w:r>
      <w:r w:rsidRPr="5F3806AB" w:rsidR="00262181">
        <w:rPr>
          <w:rFonts w:ascii="Times New Roman" w:hAnsi="Times New Roman" w:cs="Times New Roman"/>
          <w:i w:val="1"/>
          <w:iCs w:val="1"/>
          <w:sz w:val="24"/>
          <w:szCs w:val="24"/>
          <w:lang w:val="es-PE"/>
        </w:rPr>
        <w:t xml:space="preserve"> por ejemplo: pretensiones indemnizatorias por daños y perjuicios, por reembolso de gastos, o idoneidad de servicios, entre otros, son ajenos a la competencia funcional de esta Defensoría.</w:t>
      </w:r>
    </w:p>
    <w:p w:rsidRPr="00262181" w:rsidR="00262181" w:rsidP="5F3806AB" w:rsidRDefault="00262181" w14:paraId="7F726B5B" w14:textId="67386FC5">
      <w:pPr>
        <w:numPr>
          <w:ilvl w:val="0"/>
          <w:numId w:val="38"/>
        </w:numPr>
        <w:spacing w:after="200" w:line="240" w:lineRule="auto"/>
        <w:jc w:val="both"/>
        <w:rPr>
          <w:rFonts w:ascii="Times New Roman" w:hAnsi="Times New Roman" w:cs="Times New Roman"/>
          <w:i w:val="1"/>
          <w:iCs w:val="1"/>
          <w:sz w:val="24"/>
          <w:szCs w:val="24"/>
          <w:lang w:val="es-PE"/>
        </w:rPr>
      </w:pPr>
      <w:r w:rsidRPr="5F3806AB" w:rsidR="00262181">
        <w:rPr>
          <w:rFonts w:ascii="Times New Roman" w:hAnsi="Times New Roman" w:cs="Times New Roman"/>
          <w:i w:val="1"/>
          <w:iCs w:val="1"/>
          <w:sz w:val="24"/>
          <w:szCs w:val="24"/>
          <w:lang w:val="es-PE"/>
        </w:rPr>
        <w:t xml:space="preserve">El reclamo debe ser interpuesto dentro del plazo perentorio de dos (2) años, computados a partir del día siguiente de recibida la primera notificación en que es denegada o rechazada la pretensión por la empresa de </w:t>
      </w:r>
      <w:r w:rsidRPr="5F3806AB" w:rsidR="55D259B3">
        <w:rPr>
          <w:rFonts w:ascii="Times New Roman" w:hAnsi="Times New Roman" w:cs="Times New Roman"/>
          <w:i w:val="1"/>
          <w:iCs w:val="1"/>
          <w:sz w:val="24"/>
          <w:szCs w:val="24"/>
          <w:lang w:val="es-PE"/>
        </w:rPr>
        <w:t>.....................</w:t>
      </w:r>
      <w:r w:rsidRPr="5F3806AB" w:rsidR="00262181">
        <w:rPr>
          <w:rFonts w:ascii="Times New Roman" w:hAnsi="Times New Roman" w:cs="Times New Roman"/>
          <w:i w:val="1"/>
          <w:iCs w:val="1"/>
          <w:sz w:val="24"/>
          <w:szCs w:val="24"/>
          <w:lang w:val="es-PE"/>
        </w:rPr>
        <w:t>.</w:t>
      </w:r>
    </w:p>
    <w:p w:rsidRPr="00262181" w:rsidR="00262181" w:rsidP="5F3806AB" w:rsidRDefault="00262181" w14:paraId="638D8C4D" w14:textId="7A3E6C32">
      <w:pPr>
        <w:numPr>
          <w:ilvl w:val="0"/>
          <w:numId w:val="38"/>
        </w:numPr>
        <w:spacing w:after="200" w:line="240" w:lineRule="auto"/>
        <w:jc w:val="both"/>
        <w:rPr>
          <w:rFonts w:ascii="Times New Roman" w:hAnsi="Times New Roman" w:cs="Times New Roman"/>
          <w:b w:val="1"/>
          <w:bCs w:val="1"/>
          <w:i w:val="1"/>
          <w:iCs w:val="1"/>
          <w:sz w:val="24"/>
          <w:szCs w:val="24"/>
          <w:lang w:val="es-PE"/>
        </w:rPr>
      </w:pPr>
      <w:r w:rsidRPr="5F3806AB" w:rsidR="00262181">
        <w:rPr>
          <w:rFonts w:ascii="Times New Roman" w:hAnsi="Times New Roman" w:cs="Times New Roman"/>
          <w:b w:val="1"/>
          <w:bCs w:val="1"/>
          <w:i w:val="1"/>
          <w:iCs w:val="1"/>
          <w:sz w:val="24"/>
          <w:szCs w:val="24"/>
          <w:lang w:val="es-PE"/>
        </w:rPr>
        <w:t xml:space="preserve">El total de la indemnización solicitada a la empresa de </w:t>
      </w:r>
      <w:r w:rsidRPr="5F3806AB" w:rsidR="55D259B3">
        <w:rPr>
          <w:rFonts w:ascii="Times New Roman" w:hAnsi="Times New Roman" w:cs="Times New Roman"/>
          <w:b w:val="1"/>
          <w:bCs w:val="1"/>
          <w:i w:val="1"/>
          <w:iCs w:val="1"/>
          <w:sz w:val="24"/>
          <w:szCs w:val="24"/>
          <w:lang w:val="es-PE"/>
        </w:rPr>
        <w:t>.....................</w:t>
      </w:r>
      <w:r w:rsidRPr="5F3806AB" w:rsidR="00262181">
        <w:rPr>
          <w:rFonts w:ascii="Times New Roman" w:hAnsi="Times New Roman" w:cs="Times New Roman"/>
          <w:b w:val="1"/>
          <w:bCs w:val="1"/>
          <w:i w:val="1"/>
          <w:iCs w:val="1"/>
          <w:sz w:val="24"/>
          <w:szCs w:val="24"/>
          <w:lang w:val="es-PE"/>
        </w:rPr>
        <w:t xml:space="preserve"> no debe exceder los US$ 50,000.</w:t>
      </w:r>
    </w:p>
    <w:p w:rsidRPr="00262181" w:rsidR="00262181" w:rsidP="00262181" w:rsidRDefault="00262181" w14:paraId="484C44C2" w14:textId="77777777">
      <w:pPr>
        <w:spacing w:after="200" w:line="240" w:lineRule="auto"/>
        <w:jc w:val="both"/>
        <w:rPr>
          <w:rFonts w:ascii="Times New Roman" w:hAnsi="Times New Roman" w:cs="Times New Roman"/>
          <w:i/>
          <w:iCs/>
          <w:sz w:val="24"/>
          <w:szCs w:val="24"/>
          <w:lang w:val="es-PE"/>
        </w:rPr>
      </w:pPr>
      <w:r w:rsidRPr="00262181">
        <w:rPr>
          <w:rFonts w:ascii="Times New Roman" w:hAnsi="Times New Roman" w:cs="Times New Roman"/>
          <w:i/>
          <w:iCs/>
          <w:sz w:val="24"/>
          <w:szCs w:val="24"/>
          <w:lang w:val="es-PE"/>
        </w:rPr>
        <w:t>(…)”</w:t>
      </w:r>
    </w:p>
    <w:p w:rsidRPr="00262181" w:rsidR="00262181" w:rsidP="00262181" w:rsidRDefault="00262181" w14:paraId="7F2683F7" w14:textId="0E95F770">
      <w:pPr>
        <w:spacing w:after="200" w:line="240" w:lineRule="auto"/>
        <w:jc w:val="both"/>
        <w:rPr>
          <w:rFonts w:ascii="Times New Roman" w:hAnsi="Times New Roman" w:cs="Times New Roman"/>
          <w:sz w:val="24"/>
          <w:szCs w:val="24"/>
          <w:lang w:val="es-PE"/>
        </w:rPr>
      </w:pPr>
      <w:r w:rsidRPr="00262181">
        <w:rPr>
          <w:rFonts w:ascii="Times New Roman" w:hAnsi="Times New Roman" w:cs="Times New Roman"/>
          <w:sz w:val="24"/>
          <w:szCs w:val="24"/>
          <w:lang w:val="es-PE"/>
        </w:rPr>
        <w:t>Como fue señalado previamente, en este caso estamos ante un reclamo sobre liquidación de siniestro, donde el total de la indemnización “reclamada” -en este caso adicional a lo reconocido por la aseguradora, y no controvertido- es inferior a US$50,000. No obstante, la suma asegurada involucrada en el sinestro (siniestro cuya cobertura no es controvertida) es mayor a US$50,000-</w:t>
      </w:r>
    </w:p>
    <w:p w:rsidRPr="00262181" w:rsidR="00262181" w:rsidP="00262181" w:rsidRDefault="00262181" w14:paraId="6BB89E03" w14:textId="77777777">
      <w:pPr>
        <w:spacing w:after="200" w:line="240" w:lineRule="auto"/>
        <w:jc w:val="both"/>
        <w:rPr>
          <w:rFonts w:ascii="Times New Roman" w:hAnsi="Times New Roman" w:cs="Times New Roman"/>
          <w:sz w:val="24"/>
          <w:szCs w:val="24"/>
          <w:lang w:val="es-PE"/>
        </w:rPr>
      </w:pPr>
      <w:r w:rsidRPr="00262181">
        <w:rPr>
          <w:rFonts w:ascii="Times New Roman" w:hAnsi="Times New Roman" w:cs="Times New Roman"/>
          <w:sz w:val="24"/>
          <w:szCs w:val="24"/>
          <w:lang w:val="es-PE"/>
        </w:rPr>
        <w:t>La aseguradora sostiene que como el total de la indemnización que corresponde al siniestro es mayor a US$50,000; la DEFASEG no es competente para resolver el reclamo. En otras palabras, señala que no se debe tomar en cuenta el monto reclamado en esta instancia, sino el total de la indemnización “inicialmente” solicitada antes de toda controversia (suma asegurada total), el cual fue superior a los US$50,000. Mientras que el reclamante sostiene que solo se debe tener en cuenta el monto reclamado ante la DEFASEG.</w:t>
      </w:r>
    </w:p>
    <w:p w:rsidRPr="00262181" w:rsidR="00262181" w:rsidP="00262181" w:rsidRDefault="00262181" w14:paraId="2E14A1AF" w14:textId="77777777">
      <w:pPr>
        <w:spacing w:after="200" w:line="240" w:lineRule="auto"/>
        <w:jc w:val="both"/>
        <w:rPr>
          <w:rFonts w:ascii="Times New Roman" w:hAnsi="Times New Roman" w:cs="Times New Roman"/>
          <w:sz w:val="24"/>
          <w:szCs w:val="24"/>
          <w:lang w:val="es-PE"/>
        </w:rPr>
      </w:pPr>
      <w:r w:rsidRPr="00262181">
        <w:rPr>
          <w:rFonts w:ascii="Times New Roman" w:hAnsi="Times New Roman" w:cs="Times New Roman"/>
          <w:sz w:val="24"/>
          <w:szCs w:val="24"/>
          <w:lang w:val="es-PE"/>
        </w:rPr>
        <w:t>En este caso estamos ante un préstamo asegurado que fue concedido por S/995,178.70, siendo que la cobertura de seguro resultó aceptada por la aseguradora (no existe controversia respecto a que estamos ante un siniestro cubierto); y, en consecuencia, la compañía procedió a pagar el saldo deudor ascendente a S/835,483.78. Es luego de ello, que el asegurado considera que hubo una indebida liquidación pues se consideró el saldo a una fecha posterior y no a la fecha de configuración de la invalidez, como sostiene hizo otra aseguradora.</w:t>
      </w:r>
    </w:p>
    <w:p w:rsidRPr="00262181" w:rsidR="00262181" w:rsidP="00262181" w:rsidRDefault="00262181" w14:paraId="688B8E8A" w14:textId="77777777">
      <w:pPr>
        <w:spacing w:after="200" w:line="240" w:lineRule="auto"/>
        <w:jc w:val="both"/>
        <w:rPr>
          <w:rFonts w:ascii="Times New Roman" w:hAnsi="Times New Roman" w:cs="Times New Roman"/>
          <w:sz w:val="24"/>
          <w:szCs w:val="24"/>
          <w:lang w:val="es-PE"/>
        </w:rPr>
      </w:pPr>
    </w:p>
    <w:p w:rsidRPr="00262181" w:rsidR="00262181" w:rsidP="00262181" w:rsidRDefault="00262181" w14:paraId="4CE8276A" w14:textId="03D3748A">
      <w:pPr>
        <w:spacing w:after="200" w:line="240" w:lineRule="auto"/>
        <w:jc w:val="both"/>
        <w:rPr>
          <w:rFonts w:ascii="Times New Roman" w:hAnsi="Times New Roman" w:cs="Times New Roman"/>
          <w:sz w:val="24"/>
          <w:szCs w:val="24"/>
          <w:lang w:val="es-PE"/>
        </w:rPr>
      </w:pPr>
      <w:r w:rsidRPr="5F3806AB" w:rsidR="00262181">
        <w:rPr>
          <w:rFonts w:ascii="Times New Roman" w:hAnsi="Times New Roman" w:cs="Times New Roman"/>
          <w:sz w:val="24"/>
          <w:szCs w:val="24"/>
          <w:lang w:val="es-PE"/>
        </w:rPr>
        <w:t xml:space="preserve">Es preciso señalar que este colegiado no puede pronunciarse sobre lo que hubiera hecho otra compañía de </w:t>
      </w:r>
      <w:r w:rsidRPr="5F3806AB" w:rsidR="55D259B3">
        <w:rPr>
          <w:rFonts w:ascii="Times New Roman" w:hAnsi="Times New Roman" w:cs="Times New Roman"/>
          <w:sz w:val="24"/>
          <w:szCs w:val="24"/>
          <w:lang w:val="es-PE"/>
        </w:rPr>
        <w:t>.....................</w:t>
      </w:r>
      <w:r w:rsidRPr="5F3806AB" w:rsidR="00262181">
        <w:rPr>
          <w:rFonts w:ascii="Times New Roman" w:hAnsi="Times New Roman" w:cs="Times New Roman"/>
          <w:sz w:val="24"/>
          <w:szCs w:val="24"/>
          <w:lang w:val="es-PE"/>
        </w:rPr>
        <w:t>, pues cada póliza es independiente y distinta, y puede contener estipulaciones que determinan que el saldo deudor se calcule a una fecha distinta. Por lo que el seguro con la otra compañía no será tomado en cuenta para el análisis de este caso.</w:t>
      </w:r>
    </w:p>
    <w:p w:rsidRPr="00262181" w:rsidR="00262181" w:rsidP="00262181" w:rsidRDefault="00262181" w14:paraId="16A4089B" w14:textId="77777777">
      <w:pPr>
        <w:spacing w:after="200" w:line="240" w:lineRule="auto"/>
        <w:jc w:val="both"/>
        <w:rPr>
          <w:rFonts w:ascii="Times New Roman" w:hAnsi="Times New Roman" w:cs="Times New Roman"/>
          <w:sz w:val="24"/>
          <w:szCs w:val="24"/>
          <w:lang w:val="es-PE"/>
        </w:rPr>
      </w:pPr>
      <w:r w:rsidRPr="00262181">
        <w:rPr>
          <w:rFonts w:ascii="Times New Roman" w:hAnsi="Times New Roman" w:cs="Times New Roman"/>
          <w:sz w:val="24"/>
          <w:szCs w:val="24"/>
          <w:lang w:val="es-PE"/>
        </w:rPr>
        <w:t xml:space="preserve">Ahora bien, para analizar si se cumple el requisito de admisibilidad por cuantía, el numeral 3 del acápite “Competencia”, del Reglamento de la DEFASEG, no debe leerse aisladamente, sino que debe leerse junto con el encabezado que hace referencia a que la Defensoría conoce los </w:t>
      </w:r>
      <w:r w:rsidRPr="00262181">
        <w:rPr>
          <w:rFonts w:ascii="Times New Roman" w:hAnsi="Times New Roman" w:cs="Times New Roman"/>
          <w:i/>
          <w:iCs/>
          <w:sz w:val="24"/>
          <w:szCs w:val="24"/>
          <w:lang w:val="es-PE"/>
        </w:rPr>
        <w:t>“reclamos”.</w:t>
      </w:r>
      <w:r w:rsidRPr="00262181">
        <w:rPr>
          <w:rFonts w:ascii="Times New Roman" w:hAnsi="Times New Roman" w:cs="Times New Roman"/>
          <w:sz w:val="24"/>
          <w:szCs w:val="24"/>
          <w:lang w:val="es-PE"/>
        </w:rPr>
        <w:t xml:space="preserve"> Es decir, no analizamos lo no controvertido, ni lo reconocido, sino solo lo reclamado. Si hubiera existido un rechazo de cobertura y se estuviera reclamando la cobertura total, es claro que estaríamos fuera de la competencia de la DEFASEG, pero en este caso, no hubo rechazo de siniestro, y lo “reclamado” es la liquidación de siniestro, siendo que el reclamante solicita (reclama) una diferencia que, en total, no excede de los US$50,000.</w:t>
      </w:r>
    </w:p>
    <w:p w:rsidRPr="00262181" w:rsidR="00262181" w:rsidP="00262181" w:rsidRDefault="00262181" w14:paraId="24AE01FB" w14:textId="77777777">
      <w:pPr>
        <w:spacing w:after="200" w:line="240" w:lineRule="auto"/>
        <w:jc w:val="both"/>
        <w:rPr>
          <w:rFonts w:ascii="Times New Roman" w:hAnsi="Times New Roman" w:cs="Times New Roman"/>
          <w:sz w:val="24"/>
          <w:szCs w:val="24"/>
          <w:lang w:val="es-PE"/>
        </w:rPr>
      </w:pPr>
      <w:r w:rsidRPr="00262181">
        <w:rPr>
          <w:rFonts w:ascii="Times New Roman" w:hAnsi="Times New Roman" w:cs="Times New Roman"/>
          <w:sz w:val="24"/>
          <w:szCs w:val="24"/>
          <w:lang w:val="es-PE"/>
        </w:rPr>
        <w:t>Distinto, hubiera sido el caso si el reglamento hubiera precisado que, tratándose de liquidaciones de siniestro, para efectos de analizar la cuantía se tomará en cuenta tanto el monto reconocido o ya pagado por la aseguradora (no controvertido) como el monto adicionalmente reclamado por el asegurado o usuario del seguro.</w:t>
      </w:r>
    </w:p>
    <w:p w:rsidRPr="00262181" w:rsidR="00262181" w:rsidP="00262181" w:rsidRDefault="00262181" w14:paraId="53B3AD4E" w14:textId="2963E268">
      <w:pPr>
        <w:spacing w:after="200" w:line="240" w:lineRule="auto"/>
        <w:jc w:val="both"/>
        <w:rPr>
          <w:rFonts w:ascii="Times New Roman" w:hAnsi="Times New Roman" w:cs="Times New Roman"/>
          <w:sz w:val="24"/>
          <w:szCs w:val="24"/>
          <w:lang w:val="es-PE"/>
        </w:rPr>
      </w:pPr>
      <w:r w:rsidRPr="5F3806AB" w:rsidR="00262181">
        <w:rPr>
          <w:rFonts w:ascii="Times New Roman" w:hAnsi="Times New Roman" w:cs="Times New Roman"/>
          <w:sz w:val="24"/>
          <w:szCs w:val="24"/>
          <w:lang w:val="es-PE"/>
        </w:rPr>
        <w:t xml:space="preserve">La compañía de </w:t>
      </w:r>
      <w:r w:rsidRPr="5F3806AB" w:rsidR="55D259B3">
        <w:rPr>
          <w:rFonts w:ascii="Times New Roman" w:hAnsi="Times New Roman" w:cs="Times New Roman"/>
          <w:sz w:val="24"/>
          <w:szCs w:val="24"/>
          <w:lang w:val="es-PE"/>
        </w:rPr>
        <w:t>.....................</w:t>
      </w:r>
      <w:r w:rsidRPr="5F3806AB" w:rsidR="00262181">
        <w:rPr>
          <w:rFonts w:ascii="Times New Roman" w:hAnsi="Times New Roman" w:cs="Times New Roman"/>
          <w:sz w:val="24"/>
          <w:szCs w:val="24"/>
          <w:lang w:val="es-PE"/>
        </w:rPr>
        <w:t xml:space="preserve"> ha presentado los movimientos de cuenta del crédito hipotecario asegurado, donde se aprecia que, al 31.01.2022, el saldo deudor ascendía a S/ 891,634.31; luego del pago de la cuota del préstamo realizada el 31 de enero de 2022 por S/7,582.52 (S/5,303.99 de intereses y S/2,278.53 de amortización del principal). Asimismo, se aprecia que el saldo deudor al 30.10.2023, luego del pago de la cuota del préstamo el mismo 30.10.2023 ascendía a S/835,483.78, monto pagado por la aseguradora: </w:t>
      </w:r>
    </w:p>
    <w:p w:rsidRPr="00262181" w:rsidR="00262181" w:rsidP="00262181" w:rsidRDefault="00262181" w14:paraId="3D8CF355" w14:textId="14C48E00">
      <w:pPr>
        <w:spacing w:after="200" w:line="240" w:lineRule="auto"/>
        <w:jc w:val="both"/>
        <w:rPr>
          <w:rFonts w:ascii="Times New Roman" w:hAnsi="Times New Roman" w:cs="Times New Roman"/>
          <w:sz w:val="24"/>
          <w:szCs w:val="24"/>
          <w:lang w:val="es-PE"/>
        </w:rPr>
      </w:pPr>
      <w:r w:rsidRPr="5F3806AB" w:rsidR="00262181">
        <w:rPr>
          <w:rFonts w:ascii="Times New Roman" w:hAnsi="Times New Roman" w:cs="Times New Roman"/>
          <w:sz w:val="24"/>
          <w:szCs w:val="24"/>
          <w:lang w:val="es-PE"/>
        </w:rPr>
        <w:t xml:space="preserve">     </w:t>
      </w:r>
      <w:r w:rsidRPr="5F3806AB" w:rsidR="1BF3F411">
        <w:rPr>
          <w:rFonts w:ascii="Times New Roman" w:hAnsi="Times New Roman" w:cs="Times New Roman"/>
          <w:sz w:val="24"/>
          <w:szCs w:val="24"/>
          <w:lang w:val="es-PE"/>
        </w:rPr>
        <w:t>............................................................................................................................................</w:t>
      </w:r>
    </w:p>
    <w:p w:rsidRPr="00262181" w:rsidR="00262181" w:rsidP="00262181" w:rsidRDefault="00262181" w14:paraId="1D70E8EB" w14:textId="247BCED1">
      <w:pPr>
        <w:spacing w:after="200" w:line="240" w:lineRule="auto"/>
        <w:jc w:val="both"/>
      </w:pPr>
      <w:r w:rsidR="1BF3F411">
        <w:rPr/>
        <w:t>.............................................................................................................................................................</w:t>
      </w:r>
    </w:p>
    <w:p w:rsidRPr="00262181" w:rsidR="00262181" w:rsidP="00262181" w:rsidRDefault="00262181" w14:paraId="0FA44907" w14:textId="77777777">
      <w:pPr>
        <w:spacing w:after="200" w:line="240" w:lineRule="auto"/>
        <w:jc w:val="both"/>
        <w:rPr>
          <w:rFonts w:ascii="Times New Roman" w:hAnsi="Times New Roman" w:cs="Times New Roman"/>
          <w:sz w:val="24"/>
          <w:szCs w:val="24"/>
          <w:lang w:val="es-PE"/>
        </w:rPr>
      </w:pPr>
      <w:r w:rsidRPr="00262181">
        <w:rPr>
          <w:rFonts w:ascii="Times New Roman" w:hAnsi="Times New Roman" w:cs="Times New Roman"/>
          <w:sz w:val="24"/>
          <w:szCs w:val="24"/>
          <w:lang w:val="es-PE"/>
        </w:rPr>
        <w:t xml:space="preserve">De acuerdo a ello, la diferencia entre el saldo deudor pagado por la aseguradora (S/835,483.78) y el saldo deudor al último día del mes previo a la fecha de ocurrencia de la invalidez (diferencia de S/56,150.53) es menor a US$50,000; fecha que el asegurado considera debe ser tomada en cuenta para efectos de liquidar el reclamo.  </w:t>
      </w:r>
    </w:p>
    <w:p w:rsidRPr="00262181" w:rsidR="00262181" w:rsidP="00262181" w:rsidRDefault="00262181" w14:paraId="059C1DE5" w14:textId="77777777">
      <w:pPr>
        <w:spacing w:after="200" w:line="240" w:lineRule="auto"/>
        <w:jc w:val="both"/>
        <w:rPr>
          <w:rFonts w:ascii="Times New Roman" w:hAnsi="Times New Roman" w:cs="Times New Roman"/>
          <w:sz w:val="24"/>
          <w:szCs w:val="24"/>
          <w:lang w:val="es-PE"/>
        </w:rPr>
      </w:pPr>
      <w:r w:rsidRPr="00262181">
        <w:rPr>
          <w:rFonts w:ascii="Times New Roman" w:hAnsi="Times New Roman" w:cs="Times New Roman"/>
          <w:sz w:val="24"/>
          <w:szCs w:val="24"/>
          <w:lang w:val="es-PE"/>
        </w:rPr>
        <w:t xml:space="preserve">Aun cuando el monto reclamado por el asegurado no constituye la diferencia entre saldos deudores, sino el reembolso de las cuotas pagadas luego de la ocurrencia de la invalidez y has ta la fecha de pago del siniestro, teniendo en cuenta que este tampoco excede los US$50,000; bajo ambas consideraciones el monto se encuentra dentro de la competencia por cuantía. </w:t>
      </w:r>
    </w:p>
    <w:p w:rsidRPr="00262181" w:rsidR="00262181" w:rsidP="00262181" w:rsidRDefault="00262181" w14:paraId="51337DDB" w14:textId="77777777">
      <w:pPr>
        <w:spacing w:after="200" w:line="240" w:lineRule="auto"/>
        <w:jc w:val="both"/>
        <w:rPr>
          <w:rFonts w:ascii="Times New Roman" w:hAnsi="Times New Roman" w:cs="Times New Roman"/>
          <w:sz w:val="24"/>
          <w:szCs w:val="24"/>
          <w:lang w:val="es-PE"/>
        </w:rPr>
      </w:pPr>
      <w:r w:rsidRPr="00262181">
        <w:rPr>
          <w:rFonts w:ascii="Times New Roman" w:hAnsi="Times New Roman" w:cs="Times New Roman"/>
          <w:sz w:val="24"/>
          <w:szCs w:val="24"/>
          <w:lang w:val="es-PE"/>
        </w:rPr>
        <w:t xml:space="preserve"> </w:t>
      </w:r>
    </w:p>
    <w:p w:rsidRPr="00262181" w:rsidR="00262181" w:rsidP="00262181" w:rsidRDefault="00262181" w14:paraId="3F702615" w14:textId="77777777">
      <w:pPr>
        <w:spacing w:after="200" w:line="240" w:lineRule="auto"/>
        <w:jc w:val="both"/>
        <w:rPr>
          <w:rFonts w:ascii="Times New Roman" w:hAnsi="Times New Roman" w:cs="Times New Roman"/>
          <w:sz w:val="24"/>
          <w:szCs w:val="24"/>
          <w:lang w:val="es-PE"/>
        </w:rPr>
      </w:pPr>
      <w:r w:rsidRPr="00262181">
        <w:rPr>
          <w:rFonts w:ascii="Times New Roman" w:hAnsi="Times New Roman" w:cs="Times New Roman"/>
          <w:sz w:val="24"/>
          <w:szCs w:val="24"/>
          <w:lang w:val="es-PE"/>
        </w:rPr>
        <w:t>Teniendo esto en cuenta, este colegiado considera que sí resulta competente para pronunciarse sobre el caso que nos ocupa.</w:t>
      </w:r>
    </w:p>
    <w:p w:rsidRPr="00262181" w:rsidR="00262181" w:rsidP="00262181" w:rsidRDefault="00262181" w14:paraId="45B94172" w14:textId="53713AA8">
      <w:pPr>
        <w:spacing w:after="200" w:line="240" w:lineRule="auto"/>
        <w:jc w:val="both"/>
        <w:rPr>
          <w:rFonts w:ascii="Times New Roman" w:hAnsi="Times New Roman" w:cs="Times New Roman"/>
          <w:sz w:val="24"/>
          <w:szCs w:val="24"/>
          <w:lang w:val="es-PE"/>
        </w:rPr>
      </w:pPr>
      <w:r w:rsidRPr="00262181">
        <w:rPr>
          <w:rFonts w:ascii="Times New Roman" w:hAnsi="Times New Roman" w:cs="Times New Roman"/>
          <w:sz w:val="24"/>
          <w:szCs w:val="24"/>
          <w:lang w:val="es-PE"/>
        </w:rPr>
        <w:t>Como mencionamos anteriormente, no resulta un punto controvertido que la suma asegurada debida es el saldo deudor del asegurado. Lo controvertido es a qué fecha debe considerarse dicho saldo deudor, en el caso de una invalidez, aspecto que analizaremos en el numeral siguiente:</w:t>
      </w:r>
    </w:p>
    <w:p w:rsidRPr="00262181" w:rsidR="00262181" w:rsidP="00262181" w:rsidRDefault="00262181" w14:paraId="68B36D5A" w14:textId="0B6091AA">
      <w:pPr>
        <w:spacing w:after="200" w:line="240" w:lineRule="auto"/>
        <w:jc w:val="both"/>
        <w:rPr>
          <w:rFonts w:ascii="Times New Roman" w:hAnsi="Times New Roman" w:cs="Times New Roman"/>
          <w:b/>
          <w:bCs/>
          <w:i/>
          <w:iCs/>
          <w:sz w:val="24"/>
          <w:szCs w:val="24"/>
          <w:lang w:val="es-PE"/>
        </w:rPr>
      </w:pPr>
      <w:r w:rsidRPr="00262181">
        <w:rPr>
          <w:rFonts w:ascii="Times New Roman" w:hAnsi="Times New Roman" w:cs="Times New Roman"/>
          <w:b/>
          <w:bCs/>
          <w:i/>
          <w:iCs/>
          <w:sz w:val="24"/>
          <w:szCs w:val="24"/>
          <w:lang w:val="es-PE"/>
        </w:rPr>
        <w:t>6.2. Sobre la fecha considerada para determinar el saldo deudor:</w:t>
      </w:r>
    </w:p>
    <w:p w:rsidRPr="00262181" w:rsidR="00262181" w:rsidP="00262181" w:rsidRDefault="00262181" w14:paraId="5FE67D5D" w14:textId="47C0E74F">
      <w:pPr>
        <w:spacing w:after="200" w:line="240" w:lineRule="auto"/>
        <w:jc w:val="both"/>
        <w:rPr>
          <w:rFonts w:ascii="Times New Roman" w:hAnsi="Times New Roman" w:cs="Times New Roman"/>
          <w:sz w:val="24"/>
          <w:szCs w:val="24"/>
          <w:lang w:val="es-PE"/>
        </w:rPr>
      </w:pPr>
      <w:r w:rsidRPr="5F3806AB" w:rsidR="00262181">
        <w:rPr>
          <w:rFonts w:ascii="Times New Roman" w:hAnsi="Times New Roman" w:cs="Times New Roman"/>
          <w:sz w:val="24"/>
          <w:szCs w:val="24"/>
          <w:lang w:val="es-PE"/>
        </w:rPr>
        <w:t xml:space="preserve">Obra en el expediente dos certificados de </w:t>
      </w:r>
      <w:r w:rsidRPr="5F3806AB" w:rsidR="55D259B3">
        <w:rPr>
          <w:rFonts w:ascii="Times New Roman" w:hAnsi="Times New Roman" w:cs="Times New Roman"/>
          <w:sz w:val="24"/>
          <w:szCs w:val="24"/>
          <w:lang w:val="es-PE"/>
        </w:rPr>
        <w:t>.....................</w:t>
      </w:r>
      <w:r w:rsidRPr="5F3806AB" w:rsidR="00262181">
        <w:rPr>
          <w:rFonts w:ascii="Times New Roman" w:hAnsi="Times New Roman" w:cs="Times New Roman"/>
          <w:sz w:val="24"/>
          <w:szCs w:val="24"/>
          <w:lang w:val="es-PE"/>
        </w:rPr>
        <w:t xml:space="preserve">, uno presentado por el asegurado y otro presentado por la compañía de </w:t>
      </w:r>
      <w:r w:rsidRPr="5F3806AB" w:rsidR="55D259B3">
        <w:rPr>
          <w:rFonts w:ascii="Times New Roman" w:hAnsi="Times New Roman" w:cs="Times New Roman"/>
          <w:sz w:val="24"/>
          <w:szCs w:val="24"/>
          <w:lang w:val="es-PE"/>
        </w:rPr>
        <w:t>.....................</w:t>
      </w:r>
      <w:r w:rsidRPr="5F3806AB" w:rsidR="00262181">
        <w:rPr>
          <w:rFonts w:ascii="Times New Roman" w:hAnsi="Times New Roman" w:cs="Times New Roman"/>
          <w:sz w:val="24"/>
          <w:szCs w:val="24"/>
          <w:lang w:val="es-PE"/>
        </w:rPr>
        <w:t xml:space="preserve">, los cuales tienen un contenido distinto. Ninguno se encuentra suscrito por el asegurado. </w:t>
      </w:r>
    </w:p>
    <w:p w:rsidRPr="00262181" w:rsidR="00262181" w:rsidP="00262181" w:rsidRDefault="00262181" w14:paraId="2C0FFB16" w14:textId="6CB4B590">
      <w:pPr>
        <w:spacing w:after="200" w:line="240" w:lineRule="auto"/>
        <w:jc w:val="both"/>
        <w:rPr>
          <w:rFonts w:ascii="Times New Roman" w:hAnsi="Times New Roman" w:cs="Times New Roman"/>
          <w:sz w:val="24"/>
          <w:szCs w:val="24"/>
          <w:lang w:val="es-PE"/>
        </w:rPr>
      </w:pPr>
      <w:r w:rsidRPr="00262181">
        <w:rPr>
          <w:rFonts w:ascii="Times New Roman" w:hAnsi="Times New Roman" w:cs="Times New Roman"/>
          <w:sz w:val="24"/>
          <w:szCs w:val="24"/>
          <w:lang w:val="es-PE"/>
        </w:rPr>
        <w:t>Si bien ambos certificados tienen la misma fecha de inicio de vigencia y el mismo número de certificado, la denominación de cada una es distinta (Desgravamen Premier y Desgravamen Conticasa), siendo que el número de la Póliza Grupal también es distinto, al igual que es distinto el código SBS, conforme se aprecia a continuación:</w:t>
      </w:r>
    </w:p>
    <w:p w:rsidRPr="00262181" w:rsidR="00262181" w:rsidP="00464B83" w:rsidRDefault="00262181" w14:paraId="7C2036DB" w14:textId="12EB0CE7">
      <w:pPr>
        <w:spacing w:after="200" w:line="240" w:lineRule="auto"/>
        <w:jc w:val="center"/>
      </w:pPr>
      <w:r w:rsidR="4FF2CD2A">
        <w:rPr/>
        <w:t>...............................................................................................................................................</w:t>
      </w:r>
    </w:p>
    <w:p w:rsidRPr="00262181" w:rsidR="00262181" w:rsidP="00464B83" w:rsidRDefault="00262181" w14:paraId="7AE574C7" w14:textId="41EF0D7F">
      <w:pPr>
        <w:spacing w:after="200" w:line="240" w:lineRule="auto"/>
        <w:jc w:val="center"/>
      </w:pPr>
      <w:r w:rsidR="4FF2CD2A">
        <w:rPr/>
        <w:t>.................................................................................................................................................</w:t>
      </w:r>
    </w:p>
    <w:p w:rsidRPr="00262181" w:rsidR="00262181" w:rsidP="00262181" w:rsidRDefault="00262181" w14:paraId="4FBDF4FF" w14:textId="77777777">
      <w:pPr>
        <w:spacing w:after="200" w:line="240" w:lineRule="auto"/>
        <w:jc w:val="both"/>
        <w:rPr>
          <w:rFonts w:ascii="Times New Roman" w:hAnsi="Times New Roman" w:cs="Times New Roman"/>
          <w:sz w:val="24"/>
          <w:szCs w:val="24"/>
          <w:lang w:val="es-PE"/>
        </w:rPr>
      </w:pPr>
    </w:p>
    <w:p w:rsidRPr="00262181" w:rsidR="00262181" w:rsidP="00262181" w:rsidRDefault="00262181" w14:paraId="456CBA78" w14:textId="77777777">
      <w:pPr>
        <w:spacing w:after="200" w:line="240" w:lineRule="auto"/>
        <w:jc w:val="both"/>
        <w:rPr>
          <w:rFonts w:ascii="Times New Roman" w:hAnsi="Times New Roman" w:cs="Times New Roman"/>
          <w:sz w:val="24"/>
          <w:szCs w:val="24"/>
          <w:lang w:val="es-PE"/>
        </w:rPr>
      </w:pPr>
      <w:r w:rsidRPr="00262181">
        <w:rPr>
          <w:rFonts w:ascii="Times New Roman" w:hAnsi="Times New Roman" w:cs="Times New Roman"/>
          <w:sz w:val="24"/>
          <w:szCs w:val="24"/>
          <w:lang w:val="es-PE"/>
        </w:rPr>
        <w:t>Al respecto, se solicitó a la aseguradora aclarar dicha inconsistencia, pues en ambos se identifica el mismo número de crédito hipotecario, siendo que ha vencido el plazo otorgado sin que haya cumplido lo requerido.</w:t>
      </w:r>
    </w:p>
    <w:p w:rsidRPr="00262181" w:rsidR="00262181" w:rsidP="00262181" w:rsidRDefault="00262181" w14:paraId="1EB32248" w14:textId="31D7C7F3">
      <w:pPr>
        <w:spacing w:after="200" w:line="240" w:lineRule="auto"/>
        <w:jc w:val="both"/>
        <w:rPr>
          <w:rFonts w:ascii="Times New Roman" w:hAnsi="Times New Roman" w:cs="Times New Roman"/>
          <w:sz w:val="24"/>
          <w:szCs w:val="24"/>
          <w:lang w:val="es-PE"/>
        </w:rPr>
      </w:pPr>
      <w:r w:rsidRPr="00262181">
        <w:rPr>
          <w:rFonts w:ascii="Times New Roman" w:hAnsi="Times New Roman" w:cs="Times New Roman"/>
          <w:sz w:val="24"/>
          <w:szCs w:val="24"/>
          <w:lang w:val="es-PE"/>
        </w:rPr>
        <w:t>Lo relevante sobre estos documentos, es que el presentado por el asegurado se refiere a que el saldo deudor se determina a la fecha de invalidez, es decir, cuando esta se configura u ocurre, haciendo hincapié en el acápite referido a los documentos que deben presentarse, a que el Dictamen debe precisar la fecha de ocurrencia de la invalidez, conforme se aprecia a continuación (el resaltado es nuestro):</w:t>
      </w:r>
    </w:p>
    <w:p w:rsidRPr="00262181" w:rsidR="00262181" w:rsidP="00262181" w:rsidRDefault="00262181" w14:paraId="3B3E24B8" w14:textId="1CFB488B">
      <w:pPr>
        <w:spacing w:after="200" w:line="240" w:lineRule="auto"/>
        <w:jc w:val="both"/>
      </w:pPr>
      <w:r w:rsidR="31CAF109">
        <w:rPr/>
        <w:t>.........................................................................................................................................................</w:t>
      </w:r>
    </w:p>
    <w:p w:rsidRPr="00262181" w:rsidR="00262181" w:rsidP="00262181" w:rsidRDefault="00262181" w14:paraId="398747E2" w14:textId="2BDAE173">
      <w:pPr>
        <w:spacing w:after="200" w:line="240" w:lineRule="auto"/>
        <w:jc w:val="both"/>
        <w:rPr>
          <w:rFonts w:ascii="Times New Roman" w:hAnsi="Times New Roman" w:cs="Times New Roman"/>
          <w:sz w:val="24"/>
          <w:szCs w:val="24"/>
          <w:lang w:val="es-PE"/>
        </w:rPr>
      </w:pPr>
      <w:r w:rsidRPr="5F3806AB" w:rsidR="00262181">
        <w:rPr>
          <w:rFonts w:ascii="Times New Roman" w:hAnsi="Times New Roman" w:cs="Times New Roman"/>
          <w:sz w:val="24"/>
          <w:szCs w:val="24"/>
          <w:lang w:val="es-PE"/>
        </w:rPr>
        <w:t xml:space="preserve">Por el contrario, el presentado por la compañía de </w:t>
      </w:r>
      <w:r w:rsidRPr="5F3806AB" w:rsidR="55D259B3">
        <w:rPr>
          <w:rFonts w:ascii="Times New Roman" w:hAnsi="Times New Roman" w:cs="Times New Roman"/>
          <w:sz w:val="24"/>
          <w:szCs w:val="24"/>
          <w:lang w:val="es-PE"/>
        </w:rPr>
        <w:t>.....................</w:t>
      </w:r>
      <w:r w:rsidRPr="5F3806AB" w:rsidR="00262181">
        <w:rPr>
          <w:rFonts w:ascii="Times New Roman" w:hAnsi="Times New Roman" w:cs="Times New Roman"/>
          <w:sz w:val="24"/>
          <w:szCs w:val="24"/>
          <w:lang w:val="es-PE"/>
        </w:rPr>
        <w:t>, sin firma del asegurado, indica lo siguiente (el resaltado es nuestro):</w:t>
      </w:r>
    </w:p>
    <w:p w:rsidRPr="00262181" w:rsidR="00262181" w:rsidP="00464B83" w:rsidRDefault="00262181" w14:paraId="6F149C4A" w14:textId="7ABFCF7C">
      <w:pPr>
        <w:spacing w:after="200" w:line="240" w:lineRule="auto"/>
        <w:jc w:val="center"/>
      </w:pPr>
      <w:r w:rsidR="1133363F">
        <w:rPr/>
        <w:t>................................................................................................................................................</w:t>
      </w:r>
    </w:p>
    <w:p w:rsidRPr="00262181" w:rsidR="00262181" w:rsidP="00262181" w:rsidRDefault="00262181" w14:paraId="04BCA62B" w14:textId="495E3B8D">
      <w:pPr>
        <w:spacing w:after="200" w:line="240" w:lineRule="auto"/>
        <w:jc w:val="both"/>
      </w:pPr>
      <w:r w:rsidR="1133363F">
        <w:rPr/>
        <w:t>.........................................................................................................................................................</w:t>
      </w:r>
    </w:p>
    <w:p w:rsidRPr="00262181" w:rsidR="00262181" w:rsidP="00262181" w:rsidRDefault="00262181" w14:paraId="1F522D39" w14:textId="77777777">
      <w:pPr>
        <w:spacing w:after="200" w:line="240" w:lineRule="auto"/>
        <w:jc w:val="both"/>
        <w:rPr>
          <w:rFonts w:ascii="Times New Roman" w:hAnsi="Times New Roman" w:cs="Times New Roman"/>
          <w:sz w:val="24"/>
          <w:szCs w:val="24"/>
          <w:lang w:val="es-PE"/>
        </w:rPr>
      </w:pPr>
      <w:r w:rsidRPr="00262181">
        <w:rPr>
          <w:rFonts w:ascii="Times New Roman" w:hAnsi="Times New Roman" w:cs="Times New Roman"/>
          <w:sz w:val="24"/>
          <w:szCs w:val="24"/>
          <w:lang w:val="es-PE"/>
        </w:rPr>
        <w:t>Como puede apreciarse, a diferencia del certificado presentado por el asegurado, que destaca la importancia de la fecha de ocurrencia de la invalidez, el presentado por la aseguradora, se remite a la fecha del Dictamen de la invalidez. En otras palabras, si bien por un lado indica que se pagará a la fecha de la invalidez, y esta sería la determinada como tal por la autoridad competente; en otro acápite indica que se considerará como fecha de configuración del siniestro “</w:t>
      </w:r>
      <w:r w:rsidRPr="00262181">
        <w:rPr>
          <w:rFonts w:ascii="Times New Roman" w:hAnsi="Times New Roman" w:cs="Times New Roman"/>
          <w:i/>
          <w:iCs/>
          <w:sz w:val="24"/>
          <w:szCs w:val="24"/>
          <w:lang w:val="es-PE"/>
        </w:rPr>
        <w:t>a la fecha del Dictamen de Invalidez”,</w:t>
      </w:r>
      <w:r w:rsidRPr="00262181">
        <w:rPr>
          <w:rFonts w:ascii="Times New Roman" w:hAnsi="Times New Roman" w:cs="Times New Roman"/>
          <w:sz w:val="24"/>
          <w:szCs w:val="24"/>
          <w:lang w:val="es-PE"/>
        </w:rPr>
        <w:t xml:space="preserve"> pero no queda claro si es: (i) a la fecha de emisión del dictamen, (ii) a la fecha de inicio de vigencia del dictamen o (iii) a la fecha indicada como fecha de ocurrencia en el dictamen.</w:t>
      </w:r>
    </w:p>
    <w:p w:rsidRPr="00262181" w:rsidR="00262181" w:rsidP="00262181" w:rsidRDefault="00262181" w14:paraId="2E9DB6A7" w14:textId="77777777">
      <w:pPr>
        <w:spacing w:after="200" w:line="240" w:lineRule="auto"/>
        <w:jc w:val="both"/>
        <w:rPr>
          <w:rFonts w:ascii="Times New Roman" w:hAnsi="Times New Roman" w:cs="Times New Roman"/>
          <w:sz w:val="24"/>
          <w:szCs w:val="24"/>
          <w:lang w:val="es-PE"/>
        </w:rPr>
      </w:pPr>
    </w:p>
    <w:p w:rsidRPr="00262181" w:rsidR="00262181" w:rsidP="00262181" w:rsidRDefault="00262181" w14:paraId="6AC4ADDA" w14:textId="27E17639">
      <w:pPr>
        <w:spacing w:after="200" w:line="240" w:lineRule="auto"/>
        <w:jc w:val="both"/>
        <w:rPr>
          <w:rFonts w:ascii="Times New Roman" w:hAnsi="Times New Roman" w:cs="Times New Roman"/>
          <w:sz w:val="24"/>
          <w:szCs w:val="24"/>
          <w:lang w:val="es-PE"/>
        </w:rPr>
      </w:pPr>
      <w:r w:rsidRPr="00262181">
        <w:rPr>
          <w:rFonts w:ascii="Times New Roman" w:hAnsi="Times New Roman" w:cs="Times New Roman"/>
          <w:sz w:val="24"/>
          <w:szCs w:val="24"/>
          <w:lang w:val="es-PE"/>
        </w:rPr>
        <w:t xml:space="preserve">En efecto, el Dictamen de Invalidez tiene tres fechas distintas: la fecha de emisión (08.01.2024 que figura en el encabezado), la fecha de inicio de vigencia (30.10.2023) y la fecha de ocurrencia de la invalidez (27.02.2022, que es cuando se produce la hemorragia intracraneal con la secuela permanente que motiva el dictamen), conforme se apreciará a continuación: </w:t>
      </w:r>
    </w:p>
    <w:p w:rsidRPr="00262181" w:rsidR="00262181" w:rsidP="5F3806AB" w:rsidRDefault="00262181" w14:paraId="5C14DBFE" w14:textId="7F544F04">
      <w:pPr>
        <w:spacing w:after="200" w:line="240" w:lineRule="auto"/>
        <w:jc w:val="center"/>
      </w:pPr>
      <w:r w:rsidR="200F727D">
        <w:rPr/>
        <w:t>....................................................................................................................................</w:t>
      </w:r>
    </w:p>
    <w:p w:rsidRPr="00262181" w:rsidR="00262181" w:rsidP="00464B83" w:rsidRDefault="00262181" w14:paraId="2315F6CE" w14:textId="74DE29E8">
      <w:pPr>
        <w:spacing w:after="200" w:line="240" w:lineRule="auto"/>
        <w:jc w:val="center"/>
      </w:pPr>
      <w:r w:rsidR="200F727D">
        <w:rPr/>
        <w:t>..................................................................................................................................</w:t>
      </w:r>
    </w:p>
    <w:p w:rsidRPr="00262181" w:rsidR="00262181" w:rsidP="00464B83" w:rsidRDefault="00262181" w14:paraId="1CA9F08A" w14:textId="2BD13410">
      <w:pPr>
        <w:spacing w:after="200" w:line="240" w:lineRule="auto"/>
        <w:jc w:val="center"/>
      </w:pPr>
      <w:r w:rsidR="200F727D">
        <w:rPr/>
        <w:t>...............................................................................................................................</w:t>
      </w:r>
    </w:p>
    <w:p w:rsidRPr="00262181" w:rsidR="00262181" w:rsidP="00262181" w:rsidRDefault="00262181" w14:paraId="3E7D9E59" w14:textId="77777777">
      <w:pPr>
        <w:spacing w:after="200" w:line="240" w:lineRule="auto"/>
        <w:jc w:val="both"/>
        <w:rPr>
          <w:rFonts w:ascii="Times New Roman" w:hAnsi="Times New Roman" w:cs="Times New Roman"/>
          <w:sz w:val="24"/>
          <w:szCs w:val="24"/>
          <w:lang w:val="es-PE"/>
        </w:rPr>
      </w:pPr>
    </w:p>
    <w:p w:rsidRPr="00262181" w:rsidR="00262181" w:rsidP="00262181" w:rsidRDefault="00262181" w14:paraId="7430895B" w14:textId="77777777">
      <w:pPr>
        <w:spacing w:after="200" w:line="240" w:lineRule="auto"/>
        <w:jc w:val="both"/>
        <w:rPr>
          <w:rFonts w:ascii="Times New Roman" w:hAnsi="Times New Roman" w:cs="Times New Roman"/>
          <w:sz w:val="24"/>
          <w:szCs w:val="24"/>
          <w:lang w:val="es-PE"/>
        </w:rPr>
      </w:pPr>
    </w:p>
    <w:p w:rsidRPr="00262181" w:rsidR="00262181" w:rsidP="00262181" w:rsidRDefault="00262181" w14:paraId="05125DC6" w14:textId="5A19A98F">
      <w:pPr>
        <w:spacing w:after="200" w:line="240" w:lineRule="auto"/>
        <w:jc w:val="both"/>
        <w:rPr>
          <w:rFonts w:ascii="Times New Roman" w:hAnsi="Times New Roman" w:cs="Times New Roman"/>
          <w:sz w:val="24"/>
          <w:szCs w:val="24"/>
          <w:lang w:val="es-PE"/>
        </w:rPr>
      </w:pPr>
      <w:r w:rsidRPr="00262181" w:rsidR="2023034F">
        <w:rPr>
          <w:rFonts w:ascii="Times New Roman" w:hAnsi="Times New Roman" w:cs="Times New Roman"/>
          <w:sz w:val="24"/>
          <w:szCs w:val="24"/>
          <w:lang w:val="es-PE"/>
        </w:rPr>
        <w:t xml:space="preserve">.................</w:t>
      </w:r>
      <w:r w:rsidRPr="00262181" w:rsidR="00262181">
        <w:rPr>
          <w:rFonts w:ascii="Times New Roman" w:hAnsi="Times New Roman" w:cs="Times New Roman"/>
          <w:sz w:val="24"/>
          <w:szCs w:val="24"/>
          <w:lang w:val="es-PE"/>
        </w:rPr>
        <w:t xml:space="preserve"> aplicó para efectos de la liquidación del seguro, la fecha de inicio de vigencia, no la fecha de emisión del dictamen, menos aún la fecha de ocurrencia que es cuando se reconoce la invalidez como tal. Como este es un documento emitido en el marco del Sistema Privado de Pensiones, es importante indicar que las normas del Sistema Privado de Pensiones (SPP) distinguen entre fecha de “ocurrencia de la invalidez” y la fecha de “inicio de vigencia del dictamen”. La fecha de ocurrencia de la invalidez determina que se está ante tal condición de invalidez superior al 50% (pudiendo incluso encontrarnos ante un menoscabo del 100%), y </w:t>
      </w:r>
      <w:r w:rsidRPr="00262181" w:rsidR="00262181">
        <w:rPr>
          <w:rFonts w:ascii="Times New Roman" w:hAnsi="Times New Roman" w:cs="Times New Roman"/>
          <w:sz w:val="24"/>
          <w:szCs w:val="24"/>
          <w:lang w:val="es-PE"/>
        </w:rPr>
        <w:t>concretamente en el porcentaje asignado por el dictamen; y es la fecha que se considera para efectos de: (i) determinar el acceso a la cobertura de seguro, (</w:t>
      </w:r>
      <w:r w:rsidRPr="00262181" w:rsidR="00262181">
        <w:rPr>
          <w:rFonts w:ascii="Times New Roman" w:hAnsi="Times New Roman" w:cs="Times New Roman"/>
          <w:sz w:val="24"/>
          <w:szCs w:val="24"/>
          <w:lang w:val="es-PE"/>
        </w:rPr>
        <w:t>ii</w:t>
      </w:r>
      <w:r w:rsidRPr="00262181" w:rsidR="00262181">
        <w:rPr>
          <w:rFonts w:ascii="Times New Roman" w:hAnsi="Times New Roman" w:cs="Times New Roman"/>
          <w:sz w:val="24"/>
          <w:szCs w:val="24"/>
          <w:lang w:val="es-PE"/>
        </w:rPr>
        <w:t>) la condición de beneficiarios, (</w:t>
      </w:r>
      <w:r w:rsidRPr="00262181" w:rsidR="00262181">
        <w:rPr>
          <w:rFonts w:ascii="Times New Roman" w:hAnsi="Times New Roman" w:cs="Times New Roman"/>
          <w:sz w:val="24"/>
          <w:szCs w:val="24"/>
          <w:lang w:val="es-PE"/>
        </w:rPr>
        <w:t>iii</w:t>
      </w:r>
      <w:r w:rsidRPr="00262181" w:rsidR="00262181">
        <w:rPr>
          <w:rFonts w:ascii="Times New Roman" w:hAnsi="Times New Roman" w:cs="Times New Roman"/>
          <w:sz w:val="24"/>
          <w:szCs w:val="24"/>
          <w:lang w:val="es-PE"/>
        </w:rPr>
        <w:t>) las remuneraciones previas al mes de ocurrencia del siniestro que se consideran para calcular el importe de la pensión de invalidez que pudiera reconocerse</w:t>
      </w:r>
      <w:r w:rsidRPr="00262181">
        <w:rPr>
          <w:rFonts w:ascii="Times New Roman" w:hAnsi="Times New Roman" w:cs="Times New Roman"/>
          <w:sz w:val="24"/>
          <w:szCs w:val="24"/>
          <w:vertAlign w:val="superscript"/>
        </w:rPr>
        <w:footnoteReference w:id="1"/>
      </w:r>
      <w:r w:rsidRPr="00262181" w:rsidR="00262181">
        <w:rPr>
          <w:rFonts w:ascii="Times New Roman" w:hAnsi="Times New Roman" w:cs="Times New Roman"/>
          <w:sz w:val="24"/>
          <w:szCs w:val="24"/>
          <w:lang w:val="es-PE"/>
        </w:rPr>
        <w:t>, entre otros aspectos que pudieran corresponder al SPP; mientras que la fecha de inicio de vigencia, sirve para determinar el inicio de pago de la pensión de invalidez definitiva</w:t>
      </w:r>
      <w:r w:rsidRPr="00262181">
        <w:rPr>
          <w:rFonts w:ascii="Times New Roman" w:hAnsi="Times New Roman" w:cs="Times New Roman"/>
          <w:sz w:val="24"/>
          <w:szCs w:val="24"/>
          <w:vertAlign w:val="superscript"/>
        </w:rPr>
        <w:footnoteReference w:id="2"/>
      </w:r>
      <w:r w:rsidRPr="00262181" w:rsidR="00262181">
        <w:rPr>
          <w:rFonts w:ascii="Times New Roman" w:hAnsi="Times New Roman" w:cs="Times New Roman"/>
          <w:sz w:val="24"/>
          <w:szCs w:val="24"/>
          <w:lang w:val="es-PE"/>
        </w:rPr>
        <w:t xml:space="preserve">, lo que a su vez depende de otras consideraciones previstas en las normas del Sistema Privado de Pensiones. </w:t>
      </w:r>
    </w:p>
    <w:p w:rsidRPr="00262181" w:rsidR="00262181" w:rsidP="00262181" w:rsidRDefault="00262181" w14:paraId="2CA43632" w14:textId="77777777">
      <w:pPr>
        <w:spacing w:after="200" w:line="240" w:lineRule="auto"/>
        <w:jc w:val="both"/>
        <w:rPr>
          <w:rFonts w:ascii="Times New Roman" w:hAnsi="Times New Roman" w:cs="Times New Roman"/>
          <w:sz w:val="24"/>
          <w:szCs w:val="24"/>
          <w:lang w:val="es-PE"/>
        </w:rPr>
      </w:pPr>
      <w:r w:rsidRPr="00262181">
        <w:rPr>
          <w:rFonts w:ascii="Times New Roman" w:hAnsi="Times New Roman" w:cs="Times New Roman"/>
          <w:sz w:val="24"/>
          <w:szCs w:val="24"/>
          <w:lang w:val="es-PE"/>
        </w:rPr>
        <w:t>Así una persona que se encuentre en invalidez total y permanente no necesariamente recibe pensiones desde la fecha de ocurrencia (reconocimiento de la invalidez), pues puede haber demorado en solicitar la evaluación y calificación de invalidez, o puede haber estado percibiendo subsidios de Essalud, siendo que la pensión de invalidez se devenga  desde la presentación de la solicitud de evaluación y calificación de invalidez, siempre que se haya culminado el pago del periodo de subsidios de Essalud.</w:t>
      </w:r>
    </w:p>
    <w:p w:rsidRPr="00262181" w:rsidR="00262181" w:rsidP="00262181" w:rsidRDefault="00262181" w14:paraId="32BFD7A9" w14:textId="77777777">
      <w:pPr>
        <w:spacing w:after="200" w:line="240" w:lineRule="auto"/>
        <w:jc w:val="both"/>
        <w:rPr>
          <w:rFonts w:ascii="Times New Roman" w:hAnsi="Times New Roman" w:cs="Times New Roman"/>
          <w:sz w:val="24"/>
          <w:szCs w:val="24"/>
          <w:lang w:val="es-PE"/>
        </w:rPr>
      </w:pPr>
      <w:r w:rsidRPr="00262181">
        <w:rPr>
          <w:rFonts w:ascii="Times New Roman" w:hAnsi="Times New Roman" w:cs="Times New Roman"/>
          <w:sz w:val="24"/>
          <w:szCs w:val="24"/>
          <w:lang w:val="es-PE"/>
        </w:rPr>
        <w:t xml:space="preserve">Asimismo, cabe destacar que, en este caso, no se han emitido dictámenes previos de evaluación y calificación de invalidez, es decir, no hubo un dictamen anterior que primero determinara una invalidez parcial. </w:t>
      </w:r>
    </w:p>
    <w:p w:rsidRPr="00262181" w:rsidR="00262181" w:rsidP="00262181" w:rsidRDefault="00262181" w14:paraId="04C12A6B" w14:textId="77777777">
      <w:pPr>
        <w:spacing w:after="200" w:line="240" w:lineRule="auto"/>
        <w:jc w:val="both"/>
        <w:rPr>
          <w:rFonts w:ascii="Times New Roman" w:hAnsi="Times New Roman" w:cs="Times New Roman"/>
          <w:sz w:val="24"/>
          <w:szCs w:val="24"/>
          <w:lang w:val="es-PE"/>
        </w:rPr>
      </w:pPr>
      <w:r w:rsidRPr="00262181">
        <w:rPr>
          <w:rFonts w:ascii="Times New Roman" w:hAnsi="Times New Roman" w:cs="Times New Roman"/>
          <w:sz w:val="24"/>
          <w:szCs w:val="24"/>
          <w:lang w:val="es-PE"/>
        </w:rPr>
        <w:t xml:space="preserve">Ello se evidencia en el numeral 2 del dictamen que da cuenta que es la primera evaluación, y del Anexo A, numeral  2, que no da cuenta de informes de evaluación y calificaciones anteriores (ni se ordenan evaluaciones posteriores, en tanto se concluye que el Dictamen es Total y “Permanente”); por lo que la determinación de la fecha de ocurrencia corresponde a la única evaluación realizada, que da cuenta que esta es Total y Permanente. </w:t>
      </w:r>
    </w:p>
    <w:p w:rsidRPr="00262181" w:rsidR="00262181" w:rsidP="00262181" w:rsidRDefault="00262181" w14:paraId="0184EAF2" w14:textId="33729EF5">
      <w:pPr>
        <w:spacing w:after="200" w:line="240" w:lineRule="auto"/>
        <w:jc w:val="both"/>
        <w:rPr>
          <w:rFonts w:ascii="Times New Roman" w:hAnsi="Times New Roman" w:cs="Times New Roman"/>
          <w:sz w:val="24"/>
          <w:szCs w:val="24"/>
          <w:lang w:val="es-PE"/>
        </w:rPr>
      </w:pPr>
      <w:r w:rsidRPr="5F3806AB" w:rsidR="00262181">
        <w:rPr>
          <w:rFonts w:ascii="Times New Roman" w:hAnsi="Times New Roman" w:cs="Times New Roman"/>
          <w:sz w:val="24"/>
          <w:szCs w:val="24"/>
          <w:lang w:val="es-PE"/>
        </w:rPr>
        <w:t xml:space="preserve">A efectos de contar con mayores elementos de juicio y siendo que el certificado de seguro no se encuentra suscrito por el asegurado, se solicitó a </w:t>
      </w:r>
      <w:r w:rsidRPr="5F3806AB" w:rsidR="2023034F">
        <w:rPr>
          <w:rFonts w:ascii="Times New Roman" w:hAnsi="Times New Roman" w:cs="Times New Roman"/>
          <w:sz w:val="24"/>
          <w:szCs w:val="24"/>
          <w:lang w:val="es-PE"/>
        </w:rPr>
        <w:t>.................</w:t>
      </w:r>
      <w:r w:rsidRPr="5F3806AB" w:rsidR="00262181">
        <w:rPr>
          <w:rFonts w:ascii="Times New Roman" w:hAnsi="Times New Roman" w:cs="Times New Roman"/>
          <w:sz w:val="24"/>
          <w:szCs w:val="24"/>
          <w:lang w:val="es-PE"/>
        </w:rPr>
        <w:t xml:space="preserve"> presentar la póliza grupal (siendo que el certificado es solo un resumen de la misma); sin embargo, ha vencido el plazo otorgado sin que haya cumplido con lo requerido.</w:t>
      </w:r>
    </w:p>
    <w:p w:rsidRPr="00262181" w:rsidR="00262181" w:rsidP="00262181" w:rsidRDefault="00262181" w14:paraId="6335EF7F" w14:textId="3845D0A1">
      <w:pPr>
        <w:spacing w:after="200" w:line="240" w:lineRule="auto"/>
        <w:jc w:val="both"/>
        <w:rPr>
          <w:rFonts w:ascii="Times New Roman" w:hAnsi="Times New Roman" w:cs="Times New Roman"/>
          <w:sz w:val="24"/>
          <w:szCs w:val="24"/>
          <w:lang w:val="es-PE"/>
        </w:rPr>
      </w:pPr>
      <w:r w:rsidRPr="5F3806AB" w:rsidR="00262181">
        <w:rPr>
          <w:rFonts w:ascii="Times New Roman" w:hAnsi="Times New Roman" w:cs="Times New Roman"/>
          <w:sz w:val="24"/>
          <w:szCs w:val="24"/>
          <w:lang w:val="es-PE"/>
        </w:rPr>
        <w:t xml:space="preserve">Debido a ello, este colegiado consideró pertinente remitirse a la página web donde figuran los productos aprobados por la SBS, con el código de registro SBS, y pudo verificar que en el caso de la póliza registrada bajo código </w:t>
      </w:r>
      <w:r w:rsidRPr="5F3806AB" w:rsidR="28608E83">
        <w:rPr>
          <w:rFonts w:ascii="Times New Roman" w:hAnsi="Times New Roman" w:cs="Times New Roman"/>
          <w:sz w:val="24"/>
          <w:szCs w:val="24"/>
          <w:lang w:val="es-PE"/>
        </w:rPr>
        <w:t>.....................................</w:t>
      </w:r>
      <w:r w:rsidRPr="5F3806AB" w:rsidR="00262181">
        <w:rPr>
          <w:rFonts w:ascii="Times New Roman" w:hAnsi="Times New Roman" w:cs="Times New Roman"/>
          <w:sz w:val="24"/>
          <w:szCs w:val="24"/>
          <w:lang w:val="es-PE"/>
        </w:rPr>
        <w:t xml:space="preserve">, que corresponde al certificado de seguro presentado por el asegurado, la suma asegurada se remite a la póliza, es decir, al </w:t>
      </w:r>
      <w:r w:rsidRPr="5F3806AB" w:rsidR="00262181">
        <w:rPr>
          <w:rFonts w:ascii="Times New Roman" w:hAnsi="Times New Roman" w:cs="Times New Roman"/>
          <w:sz w:val="24"/>
          <w:szCs w:val="24"/>
          <w:lang w:val="es-PE"/>
        </w:rPr>
        <w:t>certificado de seguro en el que no se hace referencia al saldo a la fecha del Dictamen, sino simplemente a la fecha de la invalidez, destacando que el dictamen debe contener la fecha de ocurrencia de la invalidez.</w:t>
      </w:r>
    </w:p>
    <w:p w:rsidRPr="00262181" w:rsidR="00262181" w:rsidP="00262181" w:rsidRDefault="00262181" w14:paraId="3DA1A249" w14:textId="52E02362">
      <w:pPr>
        <w:spacing w:after="200" w:line="240" w:lineRule="auto"/>
        <w:jc w:val="both"/>
        <w:rPr>
          <w:rFonts w:ascii="Times New Roman" w:hAnsi="Times New Roman" w:cs="Times New Roman"/>
          <w:sz w:val="24"/>
          <w:szCs w:val="24"/>
          <w:lang w:val="es-PE"/>
        </w:rPr>
      </w:pPr>
      <w:r w:rsidRPr="5F3806AB" w:rsidR="00262181">
        <w:rPr>
          <w:rFonts w:ascii="Times New Roman" w:hAnsi="Times New Roman" w:cs="Times New Roman"/>
          <w:sz w:val="24"/>
          <w:szCs w:val="24"/>
          <w:lang w:val="es-PE"/>
        </w:rPr>
        <w:t xml:space="preserve">En el caso de la póliza registrada bajo el código </w:t>
      </w:r>
      <w:r w:rsidRPr="5F3806AB" w:rsidR="42101427">
        <w:rPr>
          <w:rFonts w:ascii="Times New Roman" w:hAnsi="Times New Roman" w:cs="Times New Roman"/>
          <w:sz w:val="24"/>
          <w:szCs w:val="24"/>
          <w:lang w:val="es-PE"/>
        </w:rPr>
        <w:t>.....................................</w:t>
      </w:r>
      <w:r w:rsidRPr="5F3806AB" w:rsidR="00262181">
        <w:rPr>
          <w:rFonts w:ascii="Times New Roman" w:hAnsi="Times New Roman" w:cs="Times New Roman"/>
          <w:sz w:val="24"/>
          <w:szCs w:val="24"/>
          <w:lang w:val="es-PE"/>
        </w:rPr>
        <w:t xml:space="preserve"> Soles, se aprecia que en la suma asegurada se consigna lo siguiente:</w:t>
      </w:r>
    </w:p>
    <w:p w:rsidRPr="00262181" w:rsidR="00262181" w:rsidP="00262181" w:rsidRDefault="00262181" w14:paraId="7CDBABFF" w14:textId="68D87A6A">
      <w:pPr>
        <w:spacing w:after="200" w:line="240" w:lineRule="auto"/>
        <w:jc w:val="both"/>
      </w:pPr>
      <w:r w:rsidR="0C364A79">
        <w:rPr/>
        <w:t>...........................................................................................................................................................</w:t>
      </w:r>
    </w:p>
    <w:p w:rsidRPr="00262181" w:rsidR="00262181" w:rsidP="00262181" w:rsidRDefault="00262181" w14:paraId="6352B5F4" w14:textId="43AFD90A">
      <w:pPr>
        <w:spacing w:after="200" w:line="240" w:lineRule="auto"/>
        <w:jc w:val="both"/>
      </w:pPr>
      <w:r w:rsidR="0C364A79">
        <w:rPr/>
        <w:t>...........................................................................................................................................................</w:t>
      </w:r>
    </w:p>
    <w:p w:rsidRPr="00262181" w:rsidR="00262181" w:rsidP="00262181" w:rsidRDefault="00262181" w14:paraId="6C5C5171" w14:textId="08D1364B">
      <w:pPr>
        <w:spacing w:after="200" w:line="240" w:lineRule="auto"/>
        <w:jc w:val="both"/>
        <w:rPr>
          <w:rFonts w:ascii="Times New Roman" w:hAnsi="Times New Roman" w:cs="Times New Roman"/>
          <w:sz w:val="24"/>
          <w:szCs w:val="24"/>
          <w:lang w:val="es-PE"/>
        </w:rPr>
      </w:pPr>
      <w:r w:rsidRPr="00262181">
        <w:rPr>
          <w:rFonts w:ascii="Times New Roman" w:hAnsi="Times New Roman" w:cs="Times New Roman"/>
          <w:sz w:val="24"/>
          <w:szCs w:val="24"/>
          <w:lang w:val="es-PE"/>
        </w:rPr>
        <w:t>Sin hacer referencia a la fecha de dictamen de invalidez.</w:t>
      </w:r>
    </w:p>
    <w:p w:rsidRPr="00262181" w:rsidR="00262181" w:rsidP="00262181" w:rsidRDefault="00262181" w14:paraId="10E444EF" w14:textId="19B34ABA">
      <w:pPr>
        <w:spacing w:after="200" w:line="240" w:lineRule="auto"/>
        <w:jc w:val="both"/>
        <w:rPr>
          <w:rFonts w:ascii="Times New Roman" w:hAnsi="Times New Roman" w:cs="Times New Roman"/>
          <w:sz w:val="24"/>
          <w:szCs w:val="24"/>
          <w:lang w:val="es-PE"/>
        </w:rPr>
      </w:pPr>
      <w:r w:rsidRPr="00262181">
        <w:rPr>
          <w:rFonts w:ascii="Times New Roman" w:hAnsi="Times New Roman" w:cs="Times New Roman"/>
          <w:sz w:val="24"/>
          <w:szCs w:val="24"/>
          <w:lang w:val="es-PE"/>
        </w:rPr>
        <w:t>En virtud a estos hechos, este colegiado considera que la invalidez se produce en la fecha que el Dictamen señala como fecha de ocurrencia, independientemente que para efectos del Sistema Privado de Pensiones se indique una fecha de inicio que guarda relación con la fecha a partir de la cual se pagan pensiones en dicho sistema, pues es a dicha fecha que se determina la pérdida objetiva de la capacidad de trabajo en un rango igual o superior al 50%, en este caso del 70%, conforme consta en el respectivo certificado, sin considerar factores complementarios. Por lo que la aseguradora debió considerar dicha fecha para efectos de determinar la suma asegurada a indemnizar:</w:t>
      </w:r>
    </w:p>
    <w:p w:rsidRPr="00262181" w:rsidR="00262181" w:rsidP="00262181" w:rsidRDefault="00262181" w14:paraId="20353CDF" w14:textId="77777777">
      <w:pPr>
        <w:spacing w:after="200" w:line="240" w:lineRule="auto"/>
        <w:jc w:val="both"/>
        <w:rPr>
          <w:rFonts w:ascii="Times New Roman" w:hAnsi="Times New Roman" w:cs="Times New Roman"/>
          <w:sz w:val="24"/>
          <w:szCs w:val="24"/>
          <w:lang w:val="es-PE"/>
        </w:rPr>
      </w:pPr>
    </w:p>
    <w:p w:rsidRPr="00262181" w:rsidR="00262181" w:rsidP="5F3806AB" w:rsidRDefault="00262181" w14:paraId="57D99979" w14:textId="6A268A61">
      <w:pPr>
        <w:spacing w:after="200" w:line="240" w:lineRule="auto"/>
        <w:jc w:val="center"/>
      </w:pPr>
      <w:r w:rsidR="2EE7B224">
        <w:rPr/>
        <w:t>.............................................</w:t>
      </w:r>
    </w:p>
    <w:p w:rsidRPr="00262181" w:rsidR="00262181" w:rsidP="00262181" w:rsidRDefault="00262181" w14:paraId="7EB6E12F" w14:textId="0DF6A045">
      <w:pPr>
        <w:spacing w:after="200" w:line="240" w:lineRule="auto"/>
        <w:jc w:val="both"/>
      </w:pPr>
      <w:r w:rsidR="2EE7B224">
        <w:rPr/>
        <w:t xml:space="preserve">                                                    ......................................................................</w:t>
      </w:r>
    </w:p>
    <w:p w:rsidRPr="00262181" w:rsidR="00262181" w:rsidP="00262181" w:rsidRDefault="00262181" w14:paraId="4AEBE698" w14:textId="041515DB">
      <w:pPr>
        <w:spacing w:after="200" w:line="240" w:lineRule="auto"/>
        <w:jc w:val="both"/>
        <w:rPr>
          <w:rFonts w:ascii="Times New Roman" w:hAnsi="Times New Roman" w:cs="Times New Roman"/>
          <w:sz w:val="24"/>
          <w:szCs w:val="24"/>
          <w:lang w:val="es-PE"/>
        </w:rPr>
      </w:pPr>
      <w:r w:rsidRPr="00262181">
        <w:rPr>
          <w:rFonts w:ascii="Times New Roman" w:hAnsi="Times New Roman" w:cs="Times New Roman"/>
          <w:sz w:val="24"/>
          <w:szCs w:val="24"/>
          <w:lang w:val="es-PE"/>
        </w:rPr>
        <w:t xml:space="preserve">Ahora bien, en este caso, el reclamante solicita que se le reembolse el monto de lo pagado al Banco por las cuotas del préstamo hipotecario, las cuales incluyen amortización e intereses. </w:t>
      </w:r>
    </w:p>
    <w:p w:rsidRPr="00262181" w:rsidR="00262181" w:rsidP="00262181" w:rsidRDefault="00262181" w14:paraId="56FA2325" w14:textId="77777777">
      <w:pPr>
        <w:spacing w:after="200" w:line="240" w:lineRule="auto"/>
        <w:jc w:val="both"/>
        <w:rPr>
          <w:rFonts w:ascii="Times New Roman" w:hAnsi="Times New Roman" w:cs="Times New Roman"/>
          <w:sz w:val="24"/>
          <w:szCs w:val="24"/>
          <w:lang w:val="es-PE"/>
        </w:rPr>
      </w:pPr>
      <w:r w:rsidRPr="00262181">
        <w:rPr>
          <w:rFonts w:ascii="Times New Roman" w:hAnsi="Times New Roman" w:cs="Times New Roman"/>
          <w:sz w:val="24"/>
          <w:szCs w:val="24"/>
          <w:lang w:val="es-PE"/>
        </w:rPr>
        <w:t xml:space="preserve">Sobre el particular, la póliza establece claramente que la suma asegurada es el saldo deudor, lo cual no incluye los intereses pagados por el reclamante, siendo el beneficiario de la póliza el Banco BBVA. En todo caso, de quedar firme este resolución, el reclamante puede solicitar al Banco la devolución de lo pagado en exceso, teniendo en cuenta que la aseguradora estaría asumiendo la deuda (saldo deudor) a la fecha de la ocurrencia de la invalidez, abonando la diferencia respecto de lo ya pagado en tanto esta resolución quede firme; siendo importante dejar expresa constancia que este colegiado no tiene competencia para pronunciarse sobre la relación entre el banco y el reclamante, ni sobre la respuesta que el Banco pudiera dar al asegurado respecto de su solicitud; por lo que ese extremo del reclamo resulta improcedente respecto a la aseguradora. </w:t>
      </w:r>
    </w:p>
    <w:p w:rsidRPr="00262181" w:rsidR="00262181" w:rsidP="00262181" w:rsidRDefault="00262181" w14:paraId="3E76CE09" w14:textId="77777777">
      <w:pPr>
        <w:spacing w:after="200" w:line="240" w:lineRule="auto"/>
        <w:jc w:val="both"/>
        <w:rPr>
          <w:rFonts w:ascii="Times New Roman" w:hAnsi="Times New Roman" w:cs="Times New Roman"/>
          <w:sz w:val="24"/>
          <w:szCs w:val="24"/>
          <w:lang w:val="es-ES"/>
        </w:rPr>
      </w:pPr>
      <w:r w:rsidRPr="00262181">
        <w:rPr>
          <w:rFonts w:ascii="Times New Roman" w:hAnsi="Times New Roman" w:cs="Times New Roman"/>
          <w:sz w:val="24"/>
          <w:szCs w:val="24"/>
          <w:lang w:val="es-PE"/>
        </w:rPr>
        <w:t xml:space="preserve">Atendiendo a las consideraciones expresadas, este colegiado </w:t>
      </w:r>
      <w:r w:rsidRPr="00262181">
        <w:rPr>
          <w:rFonts w:ascii="Times New Roman" w:hAnsi="Times New Roman" w:cs="Times New Roman"/>
          <w:sz w:val="24"/>
          <w:szCs w:val="24"/>
          <w:lang w:val="es-ES"/>
        </w:rPr>
        <w:t>concluye su apreciación razonada y conjunta al amparo de lo establecido en su Reglamento, por lo que</w:t>
      </w:r>
    </w:p>
    <w:p w:rsidRPr="00262181" w:rsidR="00262181" w:rsidP="00262181" w:rsidRDefault="00262181" w14:paraId="7EFDFF45" w14:textId="77777777">
      <w:pPr>
        <w:spacing w:after="200" w:line="240" w:lineRule="auto"/>
        <w:jc w:val="both"/>
        <w:rPr>
          <w:rFonts w:ascii="Times New Roman" w:hAnsi="Times New Roman" w:cs="Times New Roman"/>
          <w:b/>
          <w:sz w:val="24"/>
          <w:szCs w:val="24"/>
          <w:lang w:val="es-ES"/>
        </w:rPr>
      </w:pPr>
      <w:r w:rsidRPr="00262181">
        <w:rPr>
          <w:rFonts w:ascii="Times New Roman" w:hAnsi="Times New Roman" w:cs="Times New Roman"/>
          <w:b/>
          <w:sz w:val="24"/>
          <w:szCs w:val="24"/>
          <w:lang w:val="es-ES"/>
        </w:rPr>
        <w:t>RESUELVE</w:t>
      </w:r>
      <w:r w:rsidRPr="00262181">
        <w:rPr>
          <w:rFonts w:ascii="Times New Roman" w:hAnsi="Times New Roman" w:cs="Times New Roman"/>
          <w:b/>
          <w:sz w:val="24"/>
          <w:szCs w:val="24"/>
          <w:lang w:val="es-PE"/>
        </w:rPr>
        <w:t>:</w:t>
      </w:r>
    </w:p>
    <w:p w:rsidRPr="00262181" w:rsidR="00262181" w:rsidP="00262181" w:rsidRDefault="00262181" w14:paraId="6565783A" w14:textId="4023E83C">
      <w:pPr>
        <w:spacing w:after="200" w:line="240" w:lineRule="auto"/>
        <w:jc w:val="both"/>
        <w:rPr>
          <w:rFonts w:ascii="Times New Roman" w:hAnsi="Times New Roman" w:cs="Times New Roman"/>
          <w:sz w:val="24"/>
          <w:szCs w:val="24"/>
          <w:lang w:val="es-PE"/>
        </w:rPr>
      </w:pPr>
      <w:r w:rsidRPr="5F3806AB" w:rsidR="00262181">
        <w:rPr>
          <w:rFonts w:ascii="Times New Roman" w:hAnsi="Times New Roman" w:cs="Times New Roman"/>
          <w:b w:val="1"/>
          <w:bCs w:val="1"/>
          <w:sz w:val="24"/>
          <w:szCs w:val="24"/>
          <w:lang w:val="es-PE"/>
        </w:rPr>
        <w:t xml:space="preserve">DECLARAR FUNDADA EN PARTE </w:t>
      </w:r>
      <w:r w:rsidRPr="5F3806AB" w:rsidR="00262181">
        <w:rPr>
          <w:rFonts w:ascii="Times New Roman" w:hAnsi="Times New Roman" w:cs="Times New Roman"/>
          <w:sz w:val="24"/>
          <w:szCs w:val="24"/>
          <w:lang w:val="es-PE"/>
        </w:rPr>
        <w:t>la reclamación interpuesta por</w:t>
      </w:r>
      <w:r w:rsidRPr="5F3806AB" w:rsidR="00262181">
        <w:rPr>
          <w:rFonts w:ascii="Times New Roman" w:hAnsi="Times New Roman" w:cs="Times New Roman"/>
          <w:b w:val="1"/>
          <w:bCs w:val="1"/>
          <w:sz w:val="24"/>
          <w:szCs w:val="24"/>
          <w:lang w:val="es-PE"/>
        </w:rPr>
        <w:t xml:space="preserve"> </w:t>
      </w:r>
      <w:r w:rsidRPr="5F3806AB" w:rsidR="174519A6">
        <w:rPr>
          <w:rFonts w:ascii="Times New Roman" w:hAnsi="Times New Roman" w:cs="Times New Roman"/>
          <w:sz w:val="24"/>
          <w:szCs w:val="24"/>
          <w:lang w:val="es-PE"/>
        </w:rPr>
        <w:t>.............................................................................</w:t>
      </w:r>
      <w:r w:rsidRPr="5F3806AB" w:rsidR="00262181">
        <w:rPr>
          <w:rFonts w:ascii="Times New Roman" w:hAnsi="Times New Roman" w:cs="Times New Roman"/>
          <w:sz w:val="24"/>
          <w:szCs w:val="24"/>
          <w:lang w:val="es-PE"/>
        </w:rPr>
        <w:t xml:space="preserve"> contra </w:t>
      </w:r>
      <w:r w:rsidRPr="5F3806AB" w:rsidR="2023034F">
        <w:rPr>
          <w:rFonts w:ascii="Times New Roman" w:hAnsi="Times New Roman" w:cs="Times New Roman"/>
          <w:sz w:val="24"/>
          <w:szCs w:val="24"/>
          <w:lang w:val="es-PE"/>
        </w:rPr>
        <w:t>.................</w:t>
      </w:r>
      <w:r w:rsidRPr="5F3806AB" w:rsidR="00262181">
        <w:rPr>
          <w:rFonts w:ascii="Times New Roman" w:hAnsi="Times New Roman" w:cs="Times New Roman"/>
          <w:sz w:val="24"/>
          <w:szCs w:val="24"/>
          <w:lang w:val="es-PE"/>
        </w:rPr>
        <w:t xml:space="preserve"> </w:t>
      </w:r>
      <w:r w:rsidRPr="5F3806AB" w:rsidR="55D259B3">
        <w:rPr>
          <w:rFonts w:ascii="Times New Roman" w:hAnsi="Times New Roman" w:cs="Times New Roman"/>
          <w:sz w:val="24"/>
          <w:szCs w:val="24"/>
          <w:lang w:val="es-PE"/>
        </w:rPr>
        <w:t>.....................</w:t>
      </w:r>
      <w:r w:rsidRPr="5F3806AB" w:rsidR="00262181">
        <w:rPr>
          <w:rFonts w:ascii="Times New Roman" w:hAnsi="Times New Roman" w:cs="Times New Roman"/>
          <w:sz w:val="24"/>
          <w:szCs w:val="24"/>
          <w:lang w:val="es-PE"/>
        </w:rPr>
        <w:t xml:space="preserve"> y en consecuencia la aseguradora debe abonar al Banco BBVA, beneficiario del seguro, la diferencia entre el saldo deudor determinado al 30.10.2023 y el saldo deudor determinado a la fecha de la ocurrencia de la invalidez (27.02.22); e IMPROCEDENTE la solicitud de reembolso por parte de </w:t>
      </w:r>
      <w:r w:rsidRPr="5F3806AB" w:rsidR="2023034F">
        <w:rPr>
          <w:rFonts w:ascii="Times New Roman" w:hAnsi="Times New Roman" w:cs="Times New Roman"/>
          <w:sz w:val="24"/>
          <w:szCs w:val="24"/>
          <w:lang w:val="es-PE"/>
        </w:rPr>
        <w:t>.................</w:t>
      </w:r>
      <w:r w:rsidRPr="5F3806AB" w:rsidR="00262181">
        <w:rPr>
          <w:rFonts w:ascii="Times New Roman" w:hAnsi="Times New Roman" w:cs="Times New Roman"/>
          <w:sz w:val="24"/>
          <w:szCs w:val="24"/>
          <w:lang w:val="es-PE"/>
        </w:rPr>
        <w:t xml:space="preserve"> </w:t>
      </w:r>
      <w:r w:rsidRPr="5F3806AB" w:rsidR="55D259B3">
        <w:rPr>
          <w:rFonts w:ascii="Times New Roman" w:hAnsi="Times New Roman" w:cs="Times New Roman"/>
          <w:sz w:val="24"/>
          <w:szCs w:val="24"/>
          <w:lang w:val="es-PE"/>
        </w:rPr>
        <w:t>.....................</w:t>
      </w:r>
      <w:r w:rsidRPr="5F3806AB" w:rsidR="00262181">
        <w:rPr>
          <w:rFonts w:ascii="Times New Roman" w:hAnsi="Times New Roman" w:cs="Times New Roman"/>
          <w:sz w:val="24"/>
          <w:szCs w:val="24"/>
          <w:lang w:val="es-PE"/>
        </w:rPr>
        <w:t xml:space="preserve"> de las cuotas pagadas al Banco BBVA, siendo que ello corresponde a una relación entre el reclamante y el banco ajena a la competencia de esta Defensoría.</w:t>
      </w:r>
    </w:p>
    <w:p w:rsidRPr="000E45A0" w:rsidR="00033B9E" w:rsidP="000E45A0" w:rsidRDefault="00033B9E" w14:paraId="10ECF88E" w14:textId="4486238D">
      <w:pPr>
        <w:spacing w:after="200" w:line="240" w:lineRule="auto"/>
        <w:jc w:val="right"/>
        <w:rPr>
          <w:rFonts w:ascii="Times New Roman" w:hAnsi="Times New Roman" w:cs="Times New Roman"/>
          <w:sz w:val="24"/>
          <w:szCs w:val="24"/>
          <w:lang w:val="es-PE"/>
        </w:rPr>
      </w:pPr>
      <w:r w:rsidRPr="001D33BA">
        <w:rPr>
          <w:rFonts w:ascii="Times New Roman" w:hAnsi="Times New Roman" w:cs="Times New Roman"/>
          <w:sz w:val="24"/>
          <w:szCs w:val="24"/>
          <w:lang w:val="es-PE"/>
        </w:rPr>
        <w:t xml:space="preserve">Lima, </w:t>
      </w:r>
      <w:r w:rsidRPr="001D33BA" w:rsidR="00A86A62">
        <w:rPr>
          <w:rFonts w:ascii="Times New Roman" w:hAnsi="Times New Roman" w:cs="Times New Roman"/>
          <w:sz w:val="24"/>
          <w:szCs w:val="24"/>
          <w:lang w:val="es-PE"/>
        </w:rPr>
        <w:t>0</w:t>
      </w:r>
      <w:r w:rsidRPr="001D33BA" w:rsidR="00D61F22">
        <w:rPr>
          <w:rFonts w:ascii="Times New Roman" w:hAnsi="Times New Roman" w:cs="Times New Roman"/>
          <w:sz w:val="24"/>
          <w:szCs w:val="24"/>
          <w:lang w:val="es-PE"/>
        </w:rPr>
        <w:t>4</w:t>
      </w:r>
      <w:r w:rsidRPr="001D33BA">
        <w:rPr>
          <w:rFonts w:ascii="Times New Roman" w:hAnsi="Times New Roman" w:cs="Times New Roman"/>
          <w:sz w:val="24"/>
          <w:szCs w:val="24"/>
          <w:lang w:val="es-PE"/>
        </w:rPr>
        <w:t xml:space="preserve"> de </w:t>
      </w:r>
      <w:r w:rsidRPr="001D33BA" w:rsidR="00A86A62">
        <w:rPr>
          <w:rFonts w:ascii="Times New Roman" w:hAnsi="Times New Roman" w:cs="Times New Roman"/>
          <w:sz w:val="24"/>
          <w:szCs w:val="24"/>
          <w:lang w:val="es-PE"/>
        </w:rPr>
        <w:t>septiembre</w:t>
      </w:r>
      <w:r w:rsidRPr="001D33BA">
        <w:rPr>
          <w:rFonts w:ascii="Times New Roman" w:hAnsi="Times New Roman" w:cs="Times New Roman"/>
          <w:sz w:val="24"/>
          <w:szCs w:val="24"/>
          <w:lang w:val="es-PE"/>
        </w:rPr>
        <w:t xml:space="preserve"> de 2025 </w:t>
      </w:r>
    </w:p>
    <w:p w:rsidRPr="001D33BA" w:rsidR="00033B9E" w:rsidP="00E77D87" w:rsidRDefault="00033B9E" w14:paraId="6E081B4D" w14:textId="77777777">
      <w:pPr>
        <w:spacing w:after="200" w:line="240" w:lineRule="auto"/>
        <w:jc w:val="both"/>
        <w:rPr>
          <w:rFonts w:ascii="Times New Roman" w:hAnsi="Times New Roman" w:cs="Times New Roman"/>
          <w:b/>
          <w:bCs/>
          <w:i/>
          <w:iCs/>
          <w:sz w:val="24"/>
          <w:szCs w:val="24"/>
          <w:lang w:val="es-PE"/>
        </w:rPr>
      </w:pPr>
      <w:r w:rsidRPr="001D33BA">
        <w:rPr>
          <w:rFonts w:ascii="Times New Roman" w:hAnsi="Times New Roman" w:cs="Times New Roman"/>
          <w:b/>
          <w:bCs/>
          <w:i/>
          <w:iCs/>
          <w:sz w:val="24"/>
          <w:szCs w:val="24"/>
          <w:lang w:val="es-PE"/>
        </w:rPr>
        <w:t xml:space="preserve">La Secretaría Técnica certifica que la presente resolución cuenta con el voto de los vocales cuyos nombres figuran en el presente documento. </w:t>
      </w:r>
    </w:p>
    <w:p w:rsidRPr="001D33BA" w:rsidR="00033B9E" w:rsidP="00E77D87" w:rsidRDefault="00A86A62" w14:paraId="480C5042" w14:textId="7540D813">
      <w:pPr>
        <w:spacing w:after="200" w:line="240" w:lineRule="auto"/>
        <w:jc w:val="center"/>
        <w:rPr>
          <w:rFonts w:ascii="Times New Roman" w:hAnsi="Times New Roman" w:cs="Times New Roman"/>
          <w:b/>
          <w:bCs/>
          <w:sz w:val="24"/>
          <w:szCs w:val="24"/>
          <w:lang w:val="es-PE"/>
        </w:rPr>
      </w:pPr>
      <w:r w:rsidRPr="001D33BA">
        <w:rPr>
          <w:rFonts w:ascii="Times New Roman" w:hAnsi="Times New Roman" w:cs="Times New Roman"/>
          <w:b/>
          <w:bCs/>
          <w:sz w:val="24"/>
          <w:szCs w:val="24"/>
          <w:lang w:val="es-PE"/>
        </w:rPr>
        <w:t xml:space="preserve">Antonio Rodriguez Lobatón </w:t>
      </w:r>
      <w:r w:rsidRPr="001D33BA" w:rsidR="00033B9E">
        <w:rPr>
          <w:rFonts w:ascii="Times New Roman" w:hAnsi="Times New Roman" w:cs="Times New Roman"/>
          <w:b/>
          <w:bCs/>
          <w:sz w:val="24"/>
          <w:szCs w:val="24"/>
          <w:lang w:val="es-PE"/>
        </w:rPr>
        <w:t>- Presidente</w:t>
      </w:r>
    </w:p>
    <w:p w:rsidRPr="001D33BA" w:rsidR="00033B9E" w:rsidP="00E77D87" w:rsidRDefault="00033B9E" w14:paraId="1B6FD469" w14:textId="77777777">
      <w:pPr>
        <w:spacing w:after="200" w:line="240" w:lineRule="auto"/>
        <w:jc w:val="center"/>
        <w:rPr>
          <w:rFonts w:ascii="Times New Roman" w:hAnsi="Times New Roman" w:cs="Times New Roman"/>
          <w:b/>
          <w:bCs/>
          <w:sz w:val="24"/>
          <w:szCs w:val="24"/>
          <w:lang w:val="es-PE"/>
        </w:rPr>
      </w:pPr>
      <w:r w:rsidRPr="001D33BA">
        <w:rPr>
          <w:rFonts w:ascii="Times New Roman" w:hAnsi="Times New Roman" w:cs="Times New Roman"/>
          <w:b/>
          <w:bCs/>
          <w:sz w:val="24"/>
          <w:szCs w:val="24"/>
          <w:lang w:val="es-PE"/>
        </w:rPr>
        <w:t>María Eugenia Valdez Fernández Baca - Vocal</w:t>
      </w:r>
    </w:p>
    <w:p w:rsidRPr="001D33BA" w:rsidR="00543E68" w:rsidP="00E77D87" w:rsidRDefault="00A86A62" w14:paraId="39CA59B6" w14:textId="7EAFE50D">
      <w:pPr>
        <w:spacing w:after="200" w:line="240" w:lineRule="auto"/>
        <w:jc w:val="center"/>
        <w:rPr>
          <w:rFonts w:ascii="Times New Roman" w:hAnsi="Times New Roman" w:cs="Times New Roman"/>
          <w:b/>
          <w:bCs/>
          <w:sz w:val="24"/>
          <w:szCs w:val="24"/>
          <w:lang w:val="es-PE"/>
        </w:rPr>
      </w:pPr>
      <w:r w:rsidRPr="001D33BA">
        <w:rPr>
          <w:rFonts w:ascii="Times New Roman" w:hAnsi="Times New Roman" w:cs="Times New Roman"/>
          <w:b/>
          <w:bCs/>
          <w:sz w:val="24"/>
          <w:szCs w:val="24"/>
          <w:lang w:val="es-PE"/>
        </w:rPr>
        <w:t xml:space="preserve">Rolando Eyzaguirre Maccan </w:t>
      </w:r>
      <w:r w:rsidRPr="001D33BA" w:rsidR="00033B9E">
        <w:rPr>
          <w:rFonts w:ascii="Times New Roman" w:hAnsi="Times New Roman" w:cs="Times New Roman"/>
          <w:b/>
          <w:bCs/>
          <w:sz w:val="24"/>
          <w:szCs w:val="24"/>
          <w:lang w:val="es-PE"/>
        </w:rPr>
        <w:t>– Vocal</w:t>
      </w:r>
      <w:bookmarkEnd w:id="0"/>
    </w:p>
    <w:p w:rsidRPr="00E77D87" w:rsidR="00A86A62" w:rsidP="00E77D87" w:rsidRDefault="00A86A62" w14:paraId="143B4573" w14:textId="77777777">
      <w:pPr>
        <w:spacing w:after="200" w:line="240" w:lineRule="auto"/>
        <w:jc w:val="center"/>
        <w:rPr>
          <w:rFonts w:ascii="Times New Roman" w:hAnsi="Times New Roman" w:cs="Times New Roman"/>
          <w:b/>
          <w:bCs/>
          <w:sz w:val="24"/>
          <w:szCs w:val="24"/>
          <w:lang w:val="es-PE"/>
        </w:rPr>
      </w:pPr>
    </w:p>
    <w:sectPr w:rsidRPr="00E77D87" w:rsidR="00A86A62" w:rsidSect="002019FA">
      <w:headerReference w:type="default" r:id="rId25"/>
      <w:footerReference w:type="default" r:id="rId26"/>
      <w:pgSz w:w="11906" w:h="16838" w:orient="portrait" w:code="9"/>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56057" w:rsidP="00784355" w:rsidRDefault="00356057" w14:paraId="58A5A596" w14:textId="77777777">
      <w:pPr>
        <w:spacing w:after="0" w:line="240" w:lineRule="auto"/>
      </w:pPr>
      <w:r>
        <w:separator/>
      </w:r>
    </w:p>
  </w:endnote>
  <w:endnote w:type="continuationSeparator" w:id="0">
    <w:p w:rsidR="00356057" w:rsidP="00784355" w:rsidRDefault="00356057" w14:paraId="35B6BA8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Georgia" w:hAnsi="Georgia" w:cs="Times New Roman"/>
        <w:sz w:val="18"/>
        <w:szCs w:val="18"/>
      </w:rPr>
      <w:id w:val="-552618902"/>
      <w:docPartObj>
        <w:docPartGallery w:val="Page Numbers (Bottom of Page)"/>
        <w:docPartUnique/>
      </w:docPartObj>
    </w:sdtPr>
    <w:sdtEndPr>
      <w:rPr>
        <w:rFonts w:ascii="Times New Roman" w:hAnsi="Times New Roman" w:cs="Times New Roman"/>
        <w:sz w:val="18"/>
        <w:szCs w:val="18"/>
      </w:rPr>
    </w:sdtEndPr>
    <w:sdtContent>
      <w:sdt>
        <w:sdtPr>
          <w:rPr>
            <w:rFonts w:ascii="Times New Roman" w:hAnsi="Times New Roman" w:cs="Times New Roman"/>
            <w:sz w:val="18"/>
            <w:szCs w:val="18"/>
          </w:rPr>
          <w:id w:val="-1769616900"/>
          <w:docPartObj>
            <w:docPartGallery w:val="Page Numbers (Top of Page)"/>
            <w:docPartUnique/>
          </w:docPartObj>
        </w:sdtPr>
        <w:sdtContent>
          <w:p w:rsidRPr="00E77D87" w:rsidR="00C671F5" w:rsidRDefault="00C671F5" w14:paraId="1A7D4DE2" w14:textId="13C38AB9">
            <w:pPr>
              <w:pStyle w:val="Piedepgina"/>
              <w:jc w:val="right"/>
              <w:rPr>
                <w:rFonts w:ascii="Times New Roman" w:hAnsi="Times New Roman" w:cs="Times New Roman"/>
                <w:sz w:val="18"/>
                <w:szCs w:val="18"/>
              </w:rPr>
            </w:pPr>
            <w:r w:rsidRPr="00E77D87">
              <w:rPr>
                <w:rFonts w:ascii="Times New Roman" w:hAnsi="Times New Roman" w:cs="Times New Roman"/>
                <w:sz w:val="18"/>
                <w:szCs w:val="18"/>
                <w:lang w:val="es-ES"/>
              </w:rPr>
              <w:t xml:space="preserve">Página </w:t>
            </w:r>
            <w:r w:rsidRPr="00E77D87">
              <w:rPr>
                <w:rFonts w:ascii="Times New Roman" w:hAnsi="Times New Roman" w:cs="Times New Roman"/>
                <w:b/>
                <w:bCs/>
                <w:sz w:val="18"/>
                <w:szCs w:val="18"/>
              </w:rPr>
              <w:fldChar w:fldCharType="begin"/>
            </w:r>
            <w:r w:rsidRPr="00E77D87">
              <w:rPr>
                <w:rFonts w:ascii="Times New Roman" w:hAnsi="Times New Roman" w:cs="Times New Roman"/>
                <w:b/>
                <w:bCs/>
                <w:sz w:val="18"/>
                <w:szCs w:val="18"/>
              </w:rPr>
              <w:instrText>PAGE</w:instrText>
            </w:r>
            <w:r w:rsidRPr="00E77D87">
              <w:rPr>
                <w:rFonts w:ascii="Times New Roman" w:hAnsi="Times New Roman" w:cs="Times New Roman"/>
                <w:b/>
                <w:bCs/>
                <w:sz w:val="18"/>
                <w:szCs w:val="18"/>
              </w:rPr>
              <w:fldChar w:fldCharType="separate"/>
            </w:r>
            <w:r w:rsidRPr="00E77D87">
              <w:rPr>
                <w:rFonts w:ascii="Times New Roman" w:hAnsi="Times New Roman" w:cs="Times New Roman"/>
                <w:b/>
                <w:bCs/>
                <w:sz w:val="18"/>
                <w:szCs w:val="18"/>
                <w:lang w:val="es-ES"/>
              </w:rPr>
              <w:t>2</w:t>
            </w:r>
            <w:r w:rsidRPr="00E77D87">
              <w:rPr>
                <w:rFonts w:ascii="Times New Roman" w:hAnsi="Times New Roman" w:cs="Times New Roman"/>
                <w:b/>
                <w:bCs/>
                <w:sz w:val="18"/>
                <w:szCs w:val="18"/>
              </w:rPr>
              <w:fldChar w:fldCharType="end"/>
            </w:r>
            <w:r w:rsidRPr="00E77D87">
              <w:rPr>
                <w:rFonts w:ascii="Times New Roman" w:hAnsi="Times New Roman" w:cs="Times New Roman"/>
                <w:sz w:val="18"/>
                <w:szCs w:val="18"/>
                <w:lang w:val="es-ES"/>
              </w:rPr>
              <w:t xml:space="preserve"> de </w:t>
            </w:r>
            <w:r w:rsidRPr="00E77D87">
              <w:rPr>
                <w:rFonts w:ascii="Times New Roman" w:hAnsi="Times New Roman" w:cs="Times New Roman"/>
                <w:b/>
                <w:bCs/>
                <w:sz w:val="18"/>
                <w:szCs w:val="18"/>
              </w:rPr>
              <w:fldChar w:fldCharType="begin"/>
            </w:r>
            <w:r w:rsidRPr="00E77D87">
              <w:rPr>
                <w:rFonts w:ascii="Times New Roman" w:hAnsi="Times New Roman" w:cs="Times New Roman"/>
                <w:b/>
                <w:bCs/>
                <w:sz w:val="18"/>
                <w:szCs w:val="18"/>
              </w:rPr>
              <w:instrText>NUMPAGES</w:instrText>
            </w:r>
            <w:r w:rsidRPr="00E77D87">
              <w:rPr>
                <w:rFonts w:ascii="Times New Roman" w:hAnsi="Times New Roman" w:cs="Times New Roman"/>
                <w:b/>
                <w:bCs/>
                <w:sz w:val="18"/>
                <w:szCs w:val="18"/>
              </w:rPr>
              <w:fldChar w:fldCharType="separate"/>
            </w:r>
            <w:r w:rsidRPr="00E77D87">
              <w:rPr>
                <w:rFonts w:ascii="Times New Roman" w:hAnsi="Times New Roman" w:cs="Times New Roman"/>
                <w:b/>
                <w:bCs/>
                <w:sz w:val="18"/>
                <w:szCs w:val="18"/>
                <w:lang w:val="es-ES"/>
              </w:rPr>
              <w:t>2</w:t>
            </w:r>
            <w:r w:rsidRPr="00E77D87">
              <w:rPr>
                <w:rFonts w:ascii="Times New Roman" w:hAnsi="Times New Roman" w:cs="Times New Roman"/>
                <w:b/>
                <w:bCs/>
                <w:sz w:val="18"/>
                <w:szCs w:val="18"/>
              </w:rPr>
              <w:fldChar w:fldCharType="end"/>
            </w:r>
          </w:p>
        </w:sdtContent>
        <w:sdtEndPr>
          <w:rPr>
            <w:rFonts w:ascii="Times New Roman" w:hAnsi="Times New Roman" w:cs="Times New Roman"/>
            <w:sz w:val="18"/>
            <w:szCs w:val="18"/>
          </w:rPr>
        </w:sdtEndPr>
      </w:sdt>
    </w:sdtContent>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56057" w:rsidP="00784355" w:rsidRDefault="00356057" w14:paraId="2D74AC2A" w14:textId="77777777">
      <w:pPr>
        <w:spacing w:after="0" w:line="240" w:lineRule="auto"/>
      </w:pPr>
      <w:r>
        <w:separator/>
      </w:r>
    </w:p>
  </w:footnote>
  <w:footnote w:type="continuationSeparator" w:id="0">
    <w:p w:rsidR="00356057" w:rsidP="00784355" w:rsidRDefault="00356057" w14:paraId="6C5FB8B0" w14:textId="77777777">
      <w:pPr>
        <w:spacing w:after="0" w:line="240" w:lineRule="auto"/>
      </w:pPr>
      <w:r>
        <w:continuationSeparator/>
      </w:r>
    </w:p>
  </w:footnote>
  <w:footnote w:id="1">
    <w:p w:rsidR="00262181" w:rsidP="00262181" w:rsidRDefault="00262181" w14:paraId="00C223D0" w14:textId="77777777">
      <w:pPr>
        <w:pStyle w:val="Textonotapie"/>
        <w:rPr>
          <w:rFonts w:ascii="Calibri" w:hAnsi="Calibri" w:cs="Times New Roman"/>
          <w:lang w:val="es-PE"/>
        </w:rPr>
      </w:pPr>
      <w:r>
        <w:rPr>
          <w:rStyle w:val="Refdenotaalpie"/>
        </w:rPr>
        <w:footnoteRef/>
      </w:r>
      <w:r>
        <w:t xml:space="preserve"> Resolución 232-98-EF/SAFP y sus modificatorios, artículos 44, 61, 64, 69 inciso a), 84, 197 inciso c).  </w:t>
      </w:r>
    </w:p>
  </w:footnote>
  <w:footnote w:id="2">
    <w:p w:rsidR="00262181" w:rsidP="00262181" w:rsidRDefault="00262181" w14:paraId="32E494C4" w14:textId="77777777">
      <w:pPr>
        <w:pStyle w:val="Textonotapie"/>
        <w:jc w:val="both"/>
      </w:pPr>
      <w:r>
        <w:rPr>
          <w:rStyle w:val="Refdenotaalpie"/>
        </w:rPr>
        <w:footnoteRef/>
      </w:r>
      <w:r>
        <w:t xml:space="preserve"> Artículo 5 y Segundo párrafo del artículo 62 de la Resolución 232-98-EF/SAFP incorporado por Resolución SBS N° 576-2004: </w:t>
      </w:r>
    </w:p>
    <w:p w:rsidR="00262181" w:rsidP="00262181" w:rsidRDefault="00262181" w14:paraId="062BF182" w14:textId="77777777">
      <w:pPr>
        <w:pStyle w:val="Textonotapie"/>
        <w:jc w:val="both"/>
        <w:rPr>
          <w:i/>
          <w:iCs/>
        </w:rPr>
      </w:pPr>
      <w:r>
        <w:rPr>
          <w:i/>
          <w:iCs/>
          <w:u w:val="single"/>
        </w:rPr>
        <w:t>Artículo 5</w:t>
      </w:r>
      <w:r>
        <w:rPr>
          <w:i/>
          <w:iCs/>
        </w:rPr>
        <w:t xml:space="preserve">°.- Fecha de devengue de pensión. A efectos del pago de las pensiones de jubilación, invalidez y sobrevivencia, deberá observarse como fecha de devengamiento según corresponda: </w:t>
      </w:r>
    </w:p>
    <w:p w:rsidR="00262181" w:rsidP="00262181" w:rsidRDefault="00262181" w14:paraId="5EDCC016" w14:textId="77777777">
      <w:pPr>
        <w:pStyle w:val="Textonotapie"/>
        <w:jc w:val="both"/>
        <w:rPr>
          <w:i/>
          <w:iCs/>
        </w:rPr>
      </w:pPr>
      <w:r>
        <w:rPr>
          <w:i/>
          <w:iCs/>
        </w:rPr>
        <w:t>(…)</w:t>
      </w:r>
    </w:p>
    <w:p w:rsidR="00262181" w:rsidP="00262181" w:rsidRDefault="00262181" w14:paraId="55C1E27F" w14:textId="77777777">
      <w:pPr>
        <w:pStyle w:val="Textonotapie"/>
        <w:jc w:val="both"/>
        <w:rPr>
          <w:i/>
          <w:iCs/>
        </w:rPr>
      </w:pPr>
      <w:r>
        <w:rPr>
          <w:i/>
          <w:iCs/>
        </w:rPr>
        <w:t>- La fecha consignada en la sección IV de la Solicitud de Evaluación y Calificación de Invalidez que, como Anexo N° 2, forma parte del presente Título, con la salvedad de lo establecido en el Artículo 62° del presente Título (Pensión de Invalidez. Devengue).</w:t>
      </w:r>
    </w:p>
    <w:p w:rsidR="00262181" w:rsidP="00262181" w:rsidRDefault="00262181" w14:paraId="0A1B03D9" w14:textId="77777777">
      <w:pPr>
        <w:pStyle w:val="Textonotapie"/>
        <w:jc w:val="both"/>
        <w:rPr>
          <w:i/>
          <w:iCs/>
        </w:rPr>
      </w:pPr>
      <w:r>
        <w:rPr>
          <w:i/>
          <w:iCs/>
          <w:u w:val="single"/>
        </w:rPr>
        <w:t>Artículo 62</w:t>
      </w:r>
      <w:r>
        <w:rPr>
          <w:i/>
          <w:iCs/>
        </w:rPr>
        <w:t>°.- Pensión de invalidez. Devengue. Conforme a lo dispuesto por el Artículo 5° del presente Título (Fecha de Devengue de Pensión), la pensión de invalidez, en caso de un dictamen favorable, devengará desde la fecha de presentación de la Solicitud de Evaluación y Calificación de Invalidez. Sin embargo, cuando el afiliado se encuentre percibiendo subsidio por enfermedad o por incapacidad temporal a que se refiere la Ley Nº 26790, la fecha de inicio de pago corresponderá al término de la cobertura del subsidio. La pensión de invalidez definitiva se otorgará desde la fecha de entrada en vigencia del dictamen definitivo de invalidez o desde la fecha del último pago de pensión preliminar, según corresponda, y conforme a lo establecido en el artículo 95° del presente título.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0ED08DD"/>
    <w:multiLevelType w:val="hybridMultilevel"/>
    <w:tmpl w:val="2C02618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3F3E80F"/>
    <w:multiLevelType w:val="hybridMultilevel"/>
    <w:tmpl w:val="BA5E526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32699B4"/>
    <w:multiLevelType w:val="hybridMultilevel"/>
    <w:tmpl w:val="99C697F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A3F548B6"/>
    <w:multiLevelType w:val="hybridMultilevel"/>
    <w:tmpl w:val="E8AE4C6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B261F551"/>
    <w:multiLevelType w:val="hybridMultilevel"/>
    <w:tmpl w:val="2B8BAA2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B690B6DB"/>
    <w:multiLevelType w:val="hybridMultilevel"/>
    <w:tmpl w:val="7F06353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B8C569A1"/>
    <w:multiLevelType w:val="hybridMultilevel"/>
    <w:tmpl w:val="C65F23B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CFACCC30"/>
    <w:multiLevelType w:val="hybridMultilevel"/>
    <w:tmpl w:val="472EAB8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D0CB3C74"/>
    <w:multiLevelType w:val="hybridMultilevel"/>
    <w:tmpl w:val="43C7B9CB"/>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D479E181"/>
    <w:multiLevelType w:val="hybridMultilevel"/>
    <w:tmpl w:val="1EDFAFB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D5504085"/>
    <w:multiLevelType w:val="hybridMultilevel"/>
    <w:tmpl w:val="3AF1D7B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D565821C"/>
    <w:multiLevelType w:val="hybridMultilevel"/>
    <w:tmpl w:val="027DFE4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DACD49C4"/>
    <w:multiLevelType w:val="hybridMultilevel"/>
    <w:tmpl w:val="D1154CA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DC0E91AA"/>
    <w:multiLevelType w:val="hybridMultilevel"/>
    <w:tmpl w:val="02CC117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DCC90258"/>
    <w:multiLevelType w:val="hybridMultilevel"/>
    <w:tmpl w:val="3AEF825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E64F7686"/>
    <w:multiLevelType w:val="hybridMultilevel"/>
    <w:tmpl w:val="C1EC0AE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EBB2D974"/>
    <w:multiLevelType w:val="hybridMultilevel"/>
    <w:tmpl w:val="3489A2E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FD3E3A6D"/>
    <w:multiLevelType w:val="hybridMultilevel"/>
    <w:tmpl w:val="71A5410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FF862BA4"/>
    <w:multiLevelType w:val="hybridMultilevel"/>
    <w:tmpl w:val="2BF25A1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0898851D"/>
    <w:multiLevelType w:val="hybridMultilevel"/>
    <w:tmpl w:val="244F7CE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15E1963A"/>
    <w:multiLevelType w:val="hybridMultilevel"/>
    <w:tmpl w:val="BFFCAFB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1B46854F"/>
    <w:multiLevelType w:val="hybridMultilevel"/>
    <w:tmpl w:val="5FE4526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1F93B7DA"/>
    <w:multiLevelType w:val="hybridMultilevel"/>
    <w:tmpl w:val="4A6C22E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28B5DBFD"/>
    <w:multiLevelType w:val="hybridMultilevel"/>
    <w:tmpl w:val="784DDB6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2A651433"/>
    <w:multiLevelType w:val="hybridMultilevel"/>
    <w:tmpl w:val="AEAE18E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3947245B"/>
    <w:multiLevelType w:val="multilevel"/>
    <w:tmpl w:val="CB70382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3C7FC4EB"/>
    <w:multiLevelType w:val="hybridMultilevel"/>
    <w:tmpl w:val="784B90C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3E85AF91"/>
    <w:multiLevelType w:val="hybridMultilevel"/>
    <w:tmpl w:val="D44A5BD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4B12FDF4"/>
    <w:multiLevelType w:val="hybridMultilevel"/>
    <w:tmpl w:val="463802C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4B1B808D"/>
    <w:multiLevelType w:val="hybridMultilevel"/>
    <w:tmpl w:val="90C82A0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56B14DFA"/>
    <w:multiLevelType w:val="hybridMultilevel"/>
    <w:tmpl w:val="102712FB"/>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5BD08A1B"/>
    <w:multiLevelType w:val="hybridMultilevel"/>
    <w:tmpl w:val="8C1C53E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5D962F59"/>
    <w:multiLevelType w:val="hybridMultilevel"/>
    <w:tmpl w:val="506C026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5EAA1590"/>
    <w:multiLevelType w:val="hybridMultilevel"/>
    <w:tmpl w:val="4D88479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5F20F8EF"/>
    <w:multiLevelType w:val="hybridMultilevel"/>
    <w:tmpl w:val="12B056E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60FFD020"/>
    <w:multiLevelType w:val="hybridMultilevel"/>
    <w:tmpl w:val="13B3D19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6F344FEE"/>
    <w:multiLevelType w:val="hybridMultilevel"/>
    <w:tmpl w:val="C7E263C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15:restartNumberingAfterBreak="0">
    <w:nsid w:val="7766ED2A"/>
    <w:multiLevelType w:val="hybridMultilevel"/>
    <w:tmpl w:val="386E586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413015297">
    <w:abstractNumId w:val="2"/>
  </w:num>
  <w:num w:numId="2" w16cid:durableId="162279859">
    <w:abstractNumId w:val="20"/>
  </w:num>
  <w:num w:numId="3" w16cid:durableId="352726988">
    <w:abstractNumId w:val="12"/>
  </w:num>
  <w:num w:numId="4" w16cid:durableId="481427955">
    <w:abstractNumId w:val="10"/>
  </w:num>
  <w:num w:numId="5" w16cid:durableId="1972176230">
    <w:abstractNumId w:val="0"/>
  </w:num>
  <w:num w:numId="6" w16cid:durableId="831483240">
    <w:abstractNumId w:val="27"/>
  </w:num>
  <w:num w:numId="7" w16cid:durableId="1102995691">
    <w:abstractNumId w:val="13"/>
  </w:num>
  <w:num w:numId="8" w16cid:durableId="1637638792">
    <w:abstractNumId w:val="11"/>
  </w:num>
  <w:num w:numId="9" w16cid:durableId="1048796094">
    <w:abstractNumId w:val="21"/>
  </w:num>
  <w:num w:numId="10" w16cid:durableId="73671083">
    <w:abstractNumId w:val="17"/>
  </w:num>
  <w:num w:numId="11" w16cid:durableId="1941714916">
    <w:abstractNumId w:val="7"/>
  </w:num>
  <w:num w:numId="12" w16cid:durableId="1296134904">
    <w:abstractNumId w:val="22"/>
  </w:num>
  <w:num w:numId="13" w16cid:durableId="704983140">
    <w:abstractNumId w:val="36"/>
  </w:num>
  <w:num w:numId="14" w16cid:durableId="1968388740">
    <w:abstractNumId w:val="23"/>
  </w:num>
  <w:num w:numId="15" w16cid:durableId="618029498">
    <w:abstractNumId w:val="30"/>
  </w:num>
  <w:num w:numId="16" w16cid:durableId="1865047353">
    <w:abstractNumId w:val="1"/>
  </w:num>
  <w:num w:numId="17" w16cid:durableId="292909197">
    <w:abstractNumId w:val="28"/>
  </w:num>
  <w:num w:numId="18" w16cid:durableId="170805763">
    <w:abstractNumId w:val="6"/>
  </w:num>
  <w:num w:numId="19" w16cid:durableId="1291012390">
    <w:abstractNumId w:val="31"/>
  </w:num>
  <w:num w:numId="20" w16cid:durableId="1461990719">
    <w:abstractNumId w:val="26"/>
  </w:num>
  <w:num w:numId="21" w16cid:durableId="429394529">
    <w:abstractNumId w:val="9"/>
  </w:num>
  <w:num w:numId="22" w16cid:durableId="1622804541">
    <w:abstractNumId w:val="15"/>
  </w:num>
  <w:num w:numId="23" w16cid:durableId="1565870715">
    <w:abstractNumId w:val="32"/>
  </w:num>
  <w:num w:numId="24" w16cid:durableId="1649628869">
    <w:abstractNumId w:val="8"/>
  </w:num>
  <w:num w:numId="25" w16cid:durableId="174728306">
    <w:abstractNumId w:val="5"/>
  </w:num>
  <w:num w:numId="26" w16cid:durableId="1931428198">
    <w:abstractNumId w:val="33"/>
  </w:num>
  <w:num w:numId="27" w16cid:durableId="1221290370">
    <w:abstractNumId w:val="29"/>
  </w:num>
  <w:num w:numId="28" w16cid:durableId="1680617512">
    <w:abstractNumId w:val="14"/>
  </w:num>
  <w:num w:numId="29" w16cid:durableId="885608630">
    <w:abstractNumId w:val="16"/>
  </w:num>
  <w:num w:numId="30" w16cid:durableId="1951009293">
    <w:abstractNumId w:val="4"/>
  </w:num>
  <w:num w:numId="31" w16cid:durableId="210382752">
    <w:abstractNumId w:val="18"/>
  </w:num>
  <w:num w:numId="32" w16cid:durableId="1101490770">
    <w:abstractNumId w:val="37"/>
  </w:num>
  <w:num w:numId="33" w16cid:durableId="1953895621">
    <w:abstractNumId w:val="35"/>
  </w:num>
  <w:num w:numId="34" w16cid:durableId="1137989279">
    <w:abstractNumId w:val="3"/>
  </w:num>
  <w:num w:numId="35" w16cid:durableId="307590512">
    <w:abstractNumId w:val="34"/>
  </w:num>
  <w:num w:numId="36" w16cid:durableId="1984650021">
    <w:abstractNumId w:val="19"/>
  </w:num>
  <w:num w:numId="37" w16cid:durableId="473718169">
    <w:abstractNumId w:val="24"/>
  </w:num>
  <w:num w:numId="38" w16cid:durableId="211905913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2AAA"/>
    <w:rsid w:val="0000543A"/>
    <w:rsid w:val="00005B96"/>
    <w:rsid w:val="0000745F"/>
    <w:rsid w:val="00007C03"/>
    <w:rsid w:val="00010987"/>
    <w:rsid w:val="000125DC"/>
    <w:rsid w:val="00013057"/>
    <w:rsid w:val="00014849"/>
    <w:rsid w:val="00014DD0"/>
    <w:rsid w:val="000159CC"/>
    <w:rsid w:val="00015C22"/>
    <w:rsid w:val="00015F5F"/>
    <w:rsid w:val="000167E0"/>
    <w:rsid w:val="00017572"/>
    <w:rsid w:val="000211CC"/>
    <w:rsid w:val="0002191C"/>
    <w:rsid w:val="000224A8"/>
    <w:rsid w:val="000235E9"/>
    <w:rsid w:val="000249A6"/>
    <w:rsid w:val="0002637D"/>
    <w:rsid w:val="00026FE0"/>
    <w:rsid w:val="00027263"/>
    <w:rsid w:val="0002733C"/>
    <w:rsid w:val="00027978"/>
    <w:rsid w:val="00032687"/>
    <w:rsid w:val="0003359A"/>
    <w:rsid w:val="00033B9E"/>
    <w:rsid w:val="00035A04"/>
    <w:rsid w:val="0004067A"/>
    <w:rsid w:val="0004480C"/>
    <w:rsid w:val="00044A74"/>
    <w:rsid w:val="000461D4"/>
    <w:rsid w:val="0004682F"/>
    <w:rsid w:val="00046990"/>
    <w:rsid w:val="00046DC0"/>
    <w:rsid w:val="0004799F"/>
    <w:rsid w:val="00047C8B"/>
    <w:rsid w:val="000512AD"/>
    <w:rsid w:val="00053453"/>
    <w:rsid w:val="00053740"/>
    <w:rsid w:val="00053D16"/>
    <w:rsid w:val="00054805"/>
    <w:rsid w:val="00056D9F"/>
    <w:rsid w:val="00057846"/>
    <w:rsid w:val="00060259"/>
    <w:rsid w:val="00061282"/>
    <w:rsid w:val="0006153B"/>
    <w:rsid w:val="000619A2"/>
    <w:rsid w:val="00063183"/>
    <w:rsid w:val="0006548C"/>
    <w:rsid w:val="00070DB6"/>
    <w:rsid w:val="00071751"/>
    <w:rsid w:val="00071A25"/>
    <w:rsid w:val="00071F90"/>
    <w:rsid w:val="000733C0"/>
    <w:rsid w:val="00073EC5"/>
    <w:rsid w:val="00074516"/>
    <w:rsid w:val="00076E73"/>
    <w:rsid w:val="00077B6F"/>
    <w:rsid w:val="000801BA"/>
    <w:rsid w:val="00080A9A"/>
    <w:rsid w:val="0008117D"/>
    <w:rsid w:val="000825F9"/>
    <w:rsid w:val="000835CB"/>
    <w:rsid w:val="0008387C"/>
    <w:rsid w:val="00083D69"/>
    <w:rsid w:val="00083F50"/>
    <w:rsid w:val="00084148"/>
    <w:rsid w:val="00086FFB"/>
    <w:rsid w:val="00090E61"/>
    <w:rsid w:val="00091C09"/>
    <w:rsid w:val="00092684"/>
    <w:rsid w:val="00096CCA"/>
    <w:rsid w:val="000A1DAF"/>
    <w:rsid w:val="000A20F1"/>
    <w:rsid w:val="000A55BA"/>
    <w:rsid w:val="000A5666"/>
    <w:rsid w:val="000A59A0"/>
    <w:rsid w:val="000A5CAA"/>
    <w:rsid w:val="000A6DC0"/>
    <w:rsid w:val="000B19A0"/>
    <w:rsid w:val="000B24ED"/>
    <w:rsid w:val="000B58D8"/>
    <w:rsid w:val="000B734B"/>
    <w:rsid w:val="000C0734"/>
    <w:rsid w:val="000C1AAB"/>
    <w:rsid w:val="000D288A"/>
    <w:rsid w:val="000D5F00"/>
    <w:rsid w:val="000D7B6B"/>
    <w:rsid w:val="000E45A0"/>
    <w:rsid w:val="000E6C90"/>
    <w:rsid w:val="000F17DA"/>
    <w:rsid w:val="000F1B65"/>
    <w:rsid w:val="000F1DC5"/>
    <w:rsid w:val="000F1F1F"/>
    <w:rsid w:val="000F372E"/>
    <w:rsid w:val="000F4458"/>
    <w:rsid w:val="000F56CC"/>
    <w:rsid w:val="000F6340"/>
    <w:rsid w:val="001064A0"/>
    <w:rsid w:val="00110157"/>
    <w:rsid w:val="00111342"/>
    <w:rsid w:val="00112C8D"/>
    <w:rsid w:val="0011308C"/>
    <w:rsid w:val="0011380D"/>
    <w:rsid w:val="00113FB6"/>
    <w:rsid w:val="00116B6A"/>
    <w:rsid w:val="00117C74"/>
    <w:rsid w:val="0012166D"/>
    <w:rsid w:val="001223F9"/>
    <w:rsid w:val="00123707"/>
    <w:rsid w:val="00123F48"/>
    <w:rsid w:val="001242FF"/>
    <w:rsid w:val="00125709"/>
    <w:rsid w:val="00125B9B"/>
    <w:rsid w:val="0013051A"/>
    <w:rsid w:val="00130559"/>
    <w:rsid w:val="001320DF"/>
    <w:rsid w:val="001347DF"/>
    <w:rsid w:val="0013694D"/>
    <w:rsid w:val="00136E12"/>
    <w:rsid w:val="001373AF"/>
    <w:rsid w:val="001377EF"/>
    <w:rsid w:val="00140CF5"/>
    <w:rsid w:val="001429BD"/>
    <w:rsid w:val="00144CA1"/>
    <w:rsid w:val="0014650D"/>
    <w:rsid w:val="00146C27"/>
    <w:rsid w:val="00147363"/>
    <w:rsid w:val="00150874"/>
    <w:rsid w:val="001508BC"/>
    <w:rsid w:val="001529FE"/>
    <w:rsid w:val="00153AEB"/>
    <w:rsid w:val="00157979"/>
    <w:rsid w:val="00160361"/>
    <w:rsid w:val="00163D81"/>
    <w:rsid w:val="00167937"/>
    <w:rsid w:val="001703D8"/>
    <w:rsid w:val="00170E39"/>
    <w:rsid w:val="00171DF3"/>
    <w:rsid w:val="00172097"/>
    <w:rsid w:val="0017278C"/>
    <w:rsid w:val="00174918"/>
    <w:rsid w:val="001749D2"/>
    <w:rsid w:val="00174DA5"/>
    <w:rsid w:val="00177B3D"/>
    <w:rsid w:val="001816B5"/>
    <w:rsid w:val="00181908"/>
    <w:rsid w:val="00181DCE"/>
    <w:rsid w:val="001833F2"/>
    <w:rsid w:val="001864B9"/>
    <w:rsid w:val="00186C29"/>
    <w:rsid w:val="00187BFD"/>
    <w:rsid w:val="001947B7"/>
    <w:rsid w:val="001948DB"/>
    <w:rsid w:val="001A008A"/>
    <w:rsid w:val="001A3395"/>
    <w:rsid w:val="001A3D47"/>
    <w:rsid w:val="001A44E1"/>
    <w:rsid w:val="001A555F"/>
    <w:rsid w:val="001A61E0"/>
    <w:rsid w:val="001A6EBB"/>
    <w:rsid w:val="001B1E59"/>
    <w:rsid w:val="001B3ADB"/>
    <w:rsid w:val="001B3EE9"/>
    <w:rsid w:val="001B58A3"/>
    <w:rsid w:val="001B6C30"/>
    <w:rsid w:val="001C052B"/>
    <w:rsid w:val="001C3A70"/>
    <w:rsid w:val="001C49C6"/>
    <w:rsid w:val="001D0EED"/>
    <w:rsid w:val="001D1D31"/>
    <w:rsid w:val="001D2577"/>
    <w:rsid w:val="001D33BA"/>
    <w:rsid w:val="001D5286"/>
    <w:rsid w:val="001D59D9"/>
    <w:rsid w:val="001D5BEC"/>
    <w:rsid w:val="001D6136"/>
    <w:rsid w:val="001D6F7E"/>
    <w:rsid w:val="001E119C"/>
    <w:rsid w:val="001E212A"/>
    <w:rsid w:val="001E4982"/>
    <w:rsid w:val="001E53E2"/>
    <w:rsid w:val="001E6143"/>
    <w:rsid w:val="001F0BD0"/>
    <w:rsid w:val="001F1398"/>
    <w:rsid w:val="001F522B"/>
    <w:rsid w:val="001F5DC4"/>
    <w:rsid w:val="002019FA"/>
    <w:rsid w:val="00201C0D"/>
    <w:rsid w:val="00201EF2"/>
    <w:rsid w:val="002041EC"/>
    <w:rsid w:val="00204407"/>
    <w:rsid w:val="00205AC5"/>
    <w:rsid w:val="00206718"/>
    <w:rsid w:val="0020749F"/>
    <w:rsid w:val="002108AD"/>
    <w:rsid w:val="0021173F"/>
    <w:rsid w:val="00211977"/>
    <w:rsid w:val="00211C72"/>
    <w:rsid w:val="002130B0"/>
    <w:rsid w:val="0021627D"/>
    <w:rsid w:val="0022049B"/>
    <w:rsid w:val="00225288"/>
    <w:rsid w:val="00227D02"/>
    <w:rsid w:val="00231C58"/>
    <w:rsid w:val="002331C3"/>
    <w:rsid w:val="002333AB"/>
    <w:rsid w:val="00234777"/>
    <w:rsid w:val="00234A33"/>
    <w:rsid w:val="00241719"/>
    <w:rsid w:val="00242425"/>
    <w:rsid w:val="002424E4"/>
    <w:rsid w:val="00243DFC"/>
    <w:rsid w:val="00243F6B"/>
    <w:rsid w:val="0024405B"/>
    <w:rsid w:val="00245393"/>
    <w:rsid w:val="002528B8"/>
    <w:rsid w:val="00254641"/>
    <w:rsid w:val="00256E4E"/>
    <w:rsid w:val="00260B6D"/>
    <w:rsid w:val="00260F46"/>
    <w:rsid w:val="0026148B"/>
    <w:rsid w:val="0026162A"/>
    <w:rsid w:val="00261D97"/>
    <w:rsid w:val="00262181"/>
    <w:rsid w:val="0027261F"/>
    <w:rsid w:val="00272F4F"/>
    <w:rsid w:val="0027301E"/>
    <w:rsid w:val="00273738"/>
    <w:rsid w:val="00274985"/>
    <w:rsid w:val="00274A0C"/>
    <w:rsid w:val="0027653A"/>
    <w:rsid w:val="002768C6"/>
    <w:rsid w:val="00276A92"/>
    <w:rsid w:val="00277667"/>
    <w:rsid w:val="002804DF"/>
    <w:rsid w:val="002813C9"/>
    <w:rsid w:val="00282133"/>
    <w:rsid w:val="0028294E"/>
    <w:rsid w:val="002830BC"/>
    <w:rsid w:val="00283E79"/>
    <w:rsid w:val="002856E7"/>
    <w:rsid w:val="002866F5"/>
    <w:rsid w:val="00286C15"/>
    <w:rsid w:val="00290CA4"/>
    <w:rsid w:val="00294C91"/>
    <w:rsid w:val="00294D98"/>
    <w:rsid w:val="00295828"/>
    <w:rsid w:val="002970F3"/>
    <w:rsid w:val="00297CEF"/>
    <w:rsid w:val="002A31D3"/>
    <w:rsid w:val="002A3AE3"/>
    <w:rsid w:val="002A3D36"/>
    <w:rsid w:val="002A4C39"/>
    <w:rsid w:val="002A625F"/>
    <w:rsid w:val="002A6626"/>
    <w:rsid w:val="002A7E2E"/>
    <w:rsid w:val="002B5119"/>
    <w:rsid w:val="002B5256"/>
    <w:rsid w:val="002B69A7"/>
    <w:rsid w:val="002B726E"/>
    <w:rsid w:val="002B7735"/>
    <w:rsid w:val="002C2A0F"/>
    <w:rsid w:val="002C5DF4"/>
    <w:rsid w:val="002D0DB0"/>
    <w:rsid w:val="002D3B01"/>
    <w:rsid w:val="002D4977"/>
    <w:rsid w:val="002D7BC7"/>
    <w:rsid w:val="002E0275"/>
    <w:rsid w:val="002E1221"/>
    <w:rsid w:val="002E17F9"/>
    <w:rsid w:val="002E23B2"/>
    <w:rsid w:val="002E287E"/>
    <w:rsid w:val="002E2F76"/>
    <w:rsid w:val="002E4E90"/>
    <w:rsid w:val="002F09CA"/>
    <w:rsid w:val="002F35F0"/>
    <w:rsid w:val="002F478E"/>
    <w:rsid w:val="002F5F01"/>
    <w:rsid w:val="002F60A5"/>
    <w:rsid w:val="002F7D42"/>
    <w:rsid w:val="00300E51"/>
    <w:rsid w:val="003011D8"/>
    <w:rsid w:val="00303740"/>
    <w:rsid w:val="003045E3"/>
    <w:rsid w:val="00305A3B"/>
    <w:rsid w:val="00306003"/>
    <w:rsid w:val="00306775"/>
    <w:rsid w:val="003069FA"/>
    <w:rsid w:val="00307257"/>
    <w:rsid w:val="003100E8"/>
    <w:rsid w:val="00310C00"/>
    <w:rsid w:val="003128E2"/>
    <w:rsid w:val="003131DE"/>
    <w:rsid w:val="00314192"/>
    <w:rsid w:val="00314603"/>
    <w:rsid w:val="00317805"/>
    <w:rsid w:val="0032132E"/>
    <w:rsid w:val="00321785"/>
    <w:rsid w:val="00321EC9"/>
    <w:rsid w:val="00322AA1"/>
    <w:rsid w:val="003236CF"/>
    <w:rsid w:val="00330790"/>
    <w:rsid w:val="003314D9"/>
    <w:rsid w:val="00331F16"/>
    <w:rsid w:val="00333BAA"/>
    <w:rsid w:val="00340E4B"/>
    <w:rsid w:val="00341784"/>
    <w:rsid w:val="00344B3D"/>
    <w:rsid w:val="00345AC3"/>
    <w:rsid w:val="00345DF0"/>
    <w:rsid w:val="00345F7F"/>
    <w:rsid w:val="00347D7E"/>
    <w:rsid w:val="003526ED"/>
    <w:rsid w:val="00353092"/>
    <w:rsid w:val="003534E0"/>
    <w:rsid w:val="003544B1"/>
    <w:rsid w:val="00355EC5"/>
    <w:rsid w:val="00356057"/>
    <w:rsid w:val="00356F61"/>
    <w:rsid w:val="00357D70"/>
    <w:rsid w:val="00360239"/>
    <w:rsid w:val="00361278"/>
    <w:rsid w:val="00361F6A"/>
    <w:rsid w:val="00362449"/>
    <w:rsid w:val="00363C5F"/>
    <w:rsid w:val="00364E0F"/>
    <w:rsid w:val="003653B3"/>
    <w:rsid w:val="00366294"/>
    <w:rsid w:val="00366842"/>
    <w:rsid w:val="00367746"/>
    <w:rsid w:val="00370144"/>
    <w:rsid w:val="00372864"/>
    <w:rsid w:val="00372C56"/>
    <w:rsid w:val="0037363C"/>
    <w:rsid w:val="00374DFF"/>
    <w:rsid w:val="00374E5F"/>
    <w:rsid w:val="0037787C"/>
    <w:rsid w:val="00377F69"/>
    <w:rsid w:val="003812D2"/>
    <w:rsid w:val="0038290F"/>
    <w:rsid w:val="00386C29"/>
    <w:rsid w:val="00391C15"/>
    <w:rsid w:val="00391F72"/>
    <w:rsid w:val="00392259"/>
    <w:rsid w:val="003A0559"/>
    <w:rsid w:val="003A0905"/>
    <w:rsid w:val="003A12F3"/>
    <w:rsid w:val="003A3C08"/>
    <w:rsid w:val="003A3F8C"/>
    <w:rsid w:val="003A3FA8"/>
    <w:rsid w:val="003A5658"/>
    <w:rsid w:val="003A584D"/>
    <w:rsid w:val="003A5B5C"/>
    <w:rsid w:val="003B32A5"/>
    <w:rsid w:val="003B348C"/>
    <w:rsid w:val="003B3A93"/>
    <w:rsid w:val="003B41F7"/>
    <w:rsid w:val="003B5044"/>
    <w:rsid w:val="003B798E"/>
    <w:rsid w:val="003C1581"/>
    <w:rsid w:val="003C3BE2"/>
    <w:rsid w:val="003C76C4"/>
    <w:rsid w:val="003D0890"/>
    <w:rsid w:val="003D09A9"/>
    <w:rsid w:val="003D1A7E"/>
    <w:rsid w:val="003D4684"/>
    <w:rsid w:val="003D4687"/>
    <w:rsid w:val="003D5A42"/>
    <w:rsid w:val="003D690E"/>
    <w:rsid w:val="003D76D4"/>
    <w:rsid w:val="003E0091"/>
    <w:rsid w:val="003E0CC2"/>
    <w:rsid w:val="003E450C"/>
    <w:rsid w:val="003E4824"/>
    <w:rsid w:val="003E7BAE"/>
    <w:rsid w:val="003F0C97"/>
    <w:rsid w:val="003F1149"/>
    <w:rsid w:val="003F1B5F"/>
    <w:rsid w:val="003F20C7"/>
    <w:rsid w:val="003F2DC2"/>
    <w:rsid w:val="003F476D"/>
    <w:rsid w:val="003F5262"/>
    <w:rsid w:val="00401E6A"/>
    <w:rsid w:val="00403814"/>
    <w:rsid w:val="004049B9"/>
    <w:rsid w:val="00411866"/>
    <w:rsid w:val="00411DEE"/>
    <w:rsid w:val="00414109"/>
    <w:rsid w:val="00414A7B"/>
    <w:rsid w:val="00416E4F"/>
    <w:rsid w:val="00417CFB"/>
    <w:rsid w:val="00417E23"/>
    <w:rsid w:val="00420F89"/>
    <w:rsid w:val="0042236E"/>
    <w:rsid w:val="00425ACB"/>
    <w:rsid w:val="00425F75"/>
    <w:rsid w:val="00426C11"/>
    <w:rsid w:val="004310D6"/>
    <w:rsid w:val="004324AC"/>
    <w:rsid w:val="00437454"/>
    <w:rsid w:val="00440AE0"/>
    <w:rsid w:val="00440BC2"/>
    <w:rsid w:val="00443875"/>
    <w:rsid w:val="00444232"/>
    <w:rsid w:val="00444DE9"/>
    <w:rsid w:val="00445D0D"/>
    <w:rsid w:val="004504A1"/>
    <w:rsid w:val="004513F2"/>
    <w:rsid w:val="00452340"/>
    <w:rsid w:val="00452C11"/>
    <w:rsid w:val="00460C30"/>
    <w:rsid w:val="00463C58"/>
    <w:rsid w:val="00464B83"/>
    <w:rsid w:val="00465FB9"/>
    <w:rsid w:val="00466302"/>
    <w:rsid w:val="0046647B"/>
    <w:rsid w:val="0047370C"/>
    <w:rsid w:val="00475098"/>
    <w:rsid w:val="0047522D"/>
    <w:rsid w:val="00476BA1"/>
    <w:rsid w:val="00477488"/>
    <w:rsid w:val="0048408F"/>
    <w:rsid w:val="00486637"/>
    <w:rsid w:val="004912F8"/>
    <w:rsid w:val="00491AAA"/>
    <w:rsid w:val="004931C9"/>
    <w:rsid w:val="004946A3"/>
    <w:rsid w:val="004966DD"/>
    <w:rsid w:val="00496848"/>
    <w:rsid w:val="00496A1A"/>
    <w:rsid w:val="00497760"/>
    <w:rsid w:val="004A1518"/>
    <w:rsid w:val="004A3E25"/>
    <w:rsid w:val="004A3F7E"/>
    <w:rsid w:val="004A537B"/>
    <w:rsid w:val="004A6758"/>
    <w:rsid w:val="004A718F"/>
    <w:rsid w:val="004B155C"/>
    <w:rsid w:val="004B1A8C"/>
    <w:rsid w:val="004B27E2"/>
    <w:rsid w:val="004B48B9"/>
    <w:rsid w:val="004B51ED"/>
    <w:rsid w:val="004B7D4E"/>
    <w:rsid w:val="004B7DCE"/>
    <w:rsid w:val="004C0388"/>
    <w:rsid w:val="004C1C34"/>
    <w:rsid w:val="004C34ED"/>
    <w:rsid w:val="004C3692"/>
    <w:rsid w:val="004C51EC"/>
    <w:rsid w:val="004C5A91"/>
    <w:rsid w:val="004D7C93"/>
    <w:rsid w:val="004E3092"/>
    <w:rsid w:val="004E4AF3"/>
    <w:rsid w:val="004E65DD"/>
    <w:rsid w:val="004E72B4"/>
    <w:rsid w:val="004E75E2"/>
    <w:rsid w:val="004E78E9"/>
    <w:rsid w:val="004F467D"/>
    <w:rsid w:val="004F549E"/>
    <w:rsid w:val="004F7344"/>
    <w:rsid w:val="00500494"/>
    <w:rsid w:val="00504C79"/>
    <w:rsid w:val="00504F01"/>
    <w:rsid w:val="00516293"/>
    <w:rsid w:val="0051692C"/>
    <w:rsid w:val="005175FE"/>
    <w:rsid w:val="005201C0"/>
    <w:rsid w:val="005201E9"/>
    <w:rsid w:val="00521B4C"/>
    <w:rsid w:val="00522E2A"/>
    <w:rsid w:val="005256D3"/>
    <w:rsid w:val="005259E7"/>
    <w:rsid w:val="00525CB2"/>
    <w:rsid w:val="005265A5"/>
    <w:rsid w:val="00527760"/>
    <w:rsid w:val="00527B27"/>
    <w:rsid w:val="005316B2"/>
    <w:rsid w:val="00531BEE"/>
    <w:rsid w:val="005323A2"/>
    <w:rsid w:val="005331D5"/>
    <w:rsid w:val="0053470F"/>
    <w:rsid w:val="00535473"/>
    <w:rsid w:val="005358B7"/>
    <w:rsid w:val="005366A1"/>
    <w:rsid w:val="00537DBF"/>
    <w:rsid w:val="00540F01"/>
    <w:rsid w:val="00541534"/>
    <w:rsid w:val="00542878"/>
    <w:rsid w:val="00542AFD"/>
    <w:rsid w:val="00543E68"/>
    <w:rsid w:val="00544BFC"/>
    <w:rsid w:val="0054553F"/>
    <w:rsid w:val="005466DB"/>
    <w:rsid w:val="00547EE5"/>
    <w:rsid w:val="00547F11"/>
    <w:rsid w:val="00550366"/>
    <w:rsid w:val="00551F42"/>
    <w:rsid w:val="00556526"/>
    <w:rsid w:val="005570A7"/>
    <w:rsid w:val="005606DC"/>
    <w:rsid w:val="00561130"/>
    <w:rsid w:val="0056773D"/>
    <w:rsid w:val="00567DEC"/>
    <w:rsid w:val="0057035B"/>
    <w:rsid w:val="0057428A"/>
    <w:rsid w:val="005818E3"/>
    <w:rsid w:val="00582D26"/>
    <w:rsid w:val="0058358B"/>
    <w:rsid w:val="00583A87"/>
    <w:rsid w:val="00585D65"/>
    <w:rsid w:val="00587F86"/>
    <w:rsid w:val="005948EF"/>
    <w:rsid w:val="00597430"/>
    <w:rsid w:val="005A03DD"/>
    <w:rsid w:val="005A0B70"/>
    <w:rsid w:val="005A40A4"/>
    <w:rsid w:val="005A5161"/>
    <w:rsid w:val="005A5A37"/>
    <w:rsid w:val="005A704E"/>
    <w:rsid w:val="005A782D"/>
    <w:rsid w:val="005B0526"/>
    <w:rsid w:val="005B2924"/>
    <w:rsid w:val="005B2D66"/>
    <w:rsid w:val="005C04B1"/>
    <w:rsid w:val="005C2ABA"/>
    <w:rsid w:val="005C524E"/>
    <w:rsid w:val="005C5AB9"/>
    <w:rsid w:val="005C6AB8"/>
    <w:rsid w:val="005D2136"/>
    <w:rsid w:val="005D3E68"/>
    <w:rsid w:val="005D52E5"/>
    <w:rsid w:val="005D5F88"/>
    <w:rsid w:val="005D6057"/>
    <w:rsid w:val="005D778C"/>
    <w:rsid w:val="005E0C8B"/>
    <w:rsid w:val="005E0EC2"/>
    <w:rsid w:val="005E17C2"/>
    <w:rsid w:val="005E1C60"/>
    <w:rsid w:val="005E2CBE"/>
    <w:rsid w:val="005E4870"/>
    <w:rsid w:val="005E50B8"/>
    <w:rsid w:val="005E57C9"/>
    <w:rsid w:val="005F2582"/>
    <w:rsid w:val="005F265B"/>
    <w:rsid w:val="005F4C97"/>
    <w:rsid w:val="005F5311"/>
    <w:rsid w:val="00601339"/>
    <w:rsid w:val="00601861"/>
    <w:rsid w:val="0060197F"/>
    <w:rsid w:val="00601CB2"/>
    <w:rsid w:val="00605902"/>
    <w:rsid w:val="00606105"/>
    <w:rsid w:val="0061124D"/>
    <w:rsid w:val="00611905"/>
    <w:rsid w:val="00613283"/>
    <w:rsid w:val="00613A39"/>
    <w:rsid w:val="006157B3"/>
    <w:rsid w:val="006214B0"/>
    <w:rsid w:val="00622ABC"/>
    <w:rsid w:val="00623204"/>
    <w:rsid w:val="00623F2D"/>
    <w:rsid w:val="00624034"/>
    <w:rsid w:val="00627C05"/>
    <w:rsid w:val="00631D8C"/>
    <w:rsid w:val="00631E24"/>
    <w:rsid w:val="0063347E"/>
    <w:rsid w:val="00637269"/>
    <w:rsid w:val="006442E0"/>
    <w:rsid w:val="006444A9"/>
    <w:rsid w:val="00645D40"/>
    <w:rsid w:val="0064607A"/>
    <w:rsid w:val="00647AEA"/>
    <w:rsid w:val="00652672"/>
    <w:rsid w:val="00653DB1"/>
    <w:rsid w:val="00654FC9"/>
    <w:rsid w:val="0065542B"/>
    <w:rsid w:val="00655625"/>
    <w:rsid w:val="0065594D"/>
    <w:rsid w:val="00655A90"/>
    <w:rsid w:val="00655BA3"/>
    <w:rsid w:val="006562E4"/>
    <w:rsid w:val="0065656E"/>
    <w:rsid w:val="006569D5"/>
    <w:rsid w:val="00656FE2"/>
    <w:rsid w:val="00657AD2"/>
    <w:rsid w:val="00660D6F"/>
    <w:rsid w:val="00664518"/>
    <w:rsid w:val="006645DB"/>
    <w:rsid w:val="00664F22"/>
    <w:rsid w:val="00667A13"/>
    <w:rsid w:val="00670241"/>
    <w:rsid w:val="006702F2"/>
    <w:rsid w:val="00671B55"/>
    <w:rsid w:val="00671DB5"/>
    <w:rsid w:val="00674872"/>
    <w:rsid w:val="00674DE5"/>
    <w:rsid w:val="0067797A"/>
    <w:rsid w:val="00680D8A"/>
    <w:rsid w:val="00682454"/>
    <w:rsid w:val="006832CF"/>
    <w:rsid w:val="00686BB2"/>
    <w:rsid w:val="006878E1"/>
    <w:rsid w:val="0069304A"/>
    <w:rsid w:val="0069590B"/>
    <w:rsid w:val="00695BD5"/>
    <w:rsid w:val="0069684A"/>
    <w:rsid w:val="006969AA"/>
    <w:rsid w:val="00697D6C"/>
    <w:rsid w:val="006A048D"/>
    <w:rsid w:val="006A2ADE"/>
    <w:rsid w:val="006A2DBF"/>
    <w:rsid w:val="006A3EBA"/>
    <w:rsid w:val="006A77BA"/>
    <w:rsid w:val="006B5CAE"/>
    <w:rsid w:val="006B6EA6"/>
    <w:rsid w:val="006B6FF3"/>
    <w:rsid w:val="006C0343"/>
    <w:rsid w:val="006C1704"/>
    <w:rsid w:val="006C1A65"/>
    <w:rsid w:val="006C29A7"/>
    <w:rsid w:val="006C5090"/>
    <w:rsid w:val="006C6261"/>
    <w:rsid w:val="006C6430"/>
    <w:rsid w:val="006C707E"/>
    <w:rsid w:val="006D2BA9"/>
    <w:rsid w:val="006D397E"/>
    <w:rsid w:val="006E1CCD"/>
    <w:rsid w:val="006E2366"/>
    <w:rsid w:val="006E4547"/>
    <w:rsid w:val="006E483B"/>
    <w:rsid w:val="006E492B"/>
    <w:rsid w:val="006E5BE6"/>
    <w:rsid w:val="006E68D0"/>
    <w:rsid w:val="006E6E70"/>
    <w:rsid w:val="006F1D13"/>
    <w:rsid w:val="006F36EF"/>
    <w:rsid w:val="006F47A8"/>
    <w:rsid w:val="006F4986"/>
    <w:rsid w:val="006F6085"/>
    <w:rsid w:val="006F6CBD"/>
    <w:rsid w:val="0070030F"/>
    <w:rsid w:val="007003E3"/>
    <w:rsid w:val="00701598"/>
    <w:rsid w:val="00701639"/>
    <w:rsid w:val="00701893"/>
    <w:rsid w:val="00703430"/>
    <w:rsid w:val="00704A95"/>
    <w:rsid w:val="00706392"/>
    <w:rsid w:val="00706EB2"/>
    <w:rsid w:val="00707C71"/>
    <w:rsid w:val="00707C99"/>
    <w:rsid w:val="0071145A"/>
    <w:rsid w:val="00711C9A"/>
    <w:rsid w:val="00716EE7"/>
    <w:rsid w:val="00716F54"/>
    <w:rsid w:val="00717232"/>
    <w:rsid w:val="0072050F"/>
    <w:rsid w:val="00720DBC"/>
    <w:rsid w:val="00721FD1"/>
    <w:rsid w:val="0072240A"/>
    <w:rsid w:val="00723561"/>
    <w:rsid w:val="007235E4"/>
    <w:rsid w:val="00725493"/>
    <w:rsid w:val="007261FD"/>
    <w:rsid w:val="00726F96"/>
    <w:rsid w:val="0072710D"/>
    <w:rsid w:val="00727198"/>
    <w:rsid w:val="00727302"/>
    <w:rsid w:val="00727DAA"/>
    <w:rsid w:val="00730055"/>
    <w:rsid w:val="007300C4"/>
    <w:rsid w:val="00732260"/>
    <w:rsid w:val="0073378D"/>
    <w:rsid w:val="00733D4C"/>
    <w:rsid w:val="00737844"/>
    <w:rsid w:val="007415C6"/>
    <w:rsid w:val="00741CA9"/>
    <w:rsid w:val="00744447"/>
    <w:rsid w:val="00751717"/>
    <w:rsid w:val="007542CA"/>
    <w:rsid w:val="00754CE1"/>
    <w:rsid w:val="007600A3"/>
    <w:rsid w:val="00760BFE"/>
    <w:rsid w:val="0076127D"/>
    <w:rsid w:val="00761F1D"/>
    <w:rsid w:val="007642C1"/>
    <w:rsid w:val="00764BDD"/>
    <w:rsid w:val="00764EF8"/>
    <w:rsid w:val="00766840"/>
    <w:rsid w:val="007703E9"/>
    <w:rsid w:val="007708AB"/>
    <w:rsid w:val="00771625"/>
    <w:rsid w:val="00772376"/>
    <w:rsid w:val="00772AED"/>
    <w:rsid w:val="00773577"/>
    <w:rsid w:val="00775298"/>
    <w:rsid w:val="00775590"/>
    <w:rsid w:val="0077564F"/>
    <w:rsid w:val="00781235"/>
    <w:rsid w:val="00784355"/>
    <w:rsid w:val="00786117"/>
    <w:rsid w:val="00787327"/>
    <w:rsid w:val="007906AF"/>
    <w:rsid w:val="00790B57"/>
    <w:rsid w:val="00794424"/>
    <w:rsid w:val="00794C89"/>
    <w:rsid w:val="007950DD"/>
    <w:rsid w:val="007965C0"/>
    <w:rsid w:val="007965E2"/>
    <w:rsid w:val="00797191"/>
    <w:rsid w:val="007A09BB"/>
    <w:rsid w:val="007A18B7"/>
    <w:rsid w:val="007A1D74"/>
    <w:rsid w:val="007A20FA"/>
    <w:rsid w:val="007A4108"/>
    <w:rsid w:val="007A4B5F"/>
    <w:rsid w:val="007A4EA9"/>
    <w:rsid w:val="007A7EDD"/>
    <w:rsid w:val="007A7F95"/>
    <w:rsid w:val="007B087C"/>
    <w:rsid w:val="007B1018"/>
    <w:rsid w:val="007B3958"/>
    <w:rsid w:val="007B3BEB"/>
    <w:rsid w:val="007B403D"/>
    <w:rsid w:val="007C14D0"/>
    <w:rsid w:val="007C1EA1"/>
    <w:rsid w:val="007C213D"/>
    <w:rsid w:val="007C3FF2"/>
    <w:rsid w:val="007C4E10"/>
    <w:rsid w:val="007C50F9"/>
    <w:rsid w:val="007C69FE"/>
    <w:rsid w:val="007D13E3"/>
    <w:rsid w:val="007D13F3"/>
    <w:rsid w:val="007D2A4B"/>
    <w:rsid w:val="007D39D3"/>
    <w:rsid w:val="007D51F9"/>
    <w:rsid w:val="007D5BB1"/>
    <w:rsid w:val="007D7213"/>
    <w:rsid w:val="007E0155"/>
    <w:rsid w:val="007E5917"/>
    <w:rsid w:val="007E5F35"/>
    <w:rsid w:val="007F2EC7"/>
    <w:rsid w:val="007F38DF"/>
    <w:rsid w:val="007F5079"/>
    <w:rsid w:val="007F5491"/>
    <w:rsid w:val="007F74F1"/>
    <w:rsid w:val="007F7AC3"/>
    <w:rsid w:val="008010D0"/>
    <w:rsid w:val="00801DAD"/>
    <w:rsid w:val="008020A1"/>
    <w:rsid w:val="008026DC"/>
    <w:rsid w:val="00802949"/>
    <w:rsid w:val="00803E04"/>
    <w:rsid w:val="0080759D"/>
    <w:rsid w:val="008079EC"/>
    <w:rsid w:val="008168DE"/>
    <w:rsid w:val="00816B3F"/>
    <w:rsid w:val="0081754D"/>
    <w:rsid w:val="0081779E"/>
    <w:rsid w:val="008177B9"/>
    <w:rsid w:val="00817F65"/>
    <w:rsid w:val="00821801"/>
    <w:rsid w:val="0082527A"/>
    <w:rsid w:val="00825CD8"/>
    <w:rsid w:val="00827313"/>
    <w:rsid w:val="0083014D"/>
    <w:rsid w:val="00834152"/>
    <w:rsid w:val="008356FF"/>
    <w:rsid w:val="00835AAF"/>
    <w:rsid w:val="00836831"/>
    <w:rsid w:val="00837DDE"/>
    <w:rsid w:val="00850F0A"/>
    <w:rsid w:val="008511DF"/>
    <w:rsid w:val="008523F5"/>
    <w:rsid w:val="008548F9"/>
    <w:rsid w:val="0085547A"/>
    <w:rsid w:val="0085575C"/>
    <w:rsid w:val="0085791F"/>
    <w:rsid w:val="00857988"/>
    <w:rsid w:val="0086244F"/>
    <w:rsid w:val="00871F40"/>
    <w:rsid w:val="00873D99"/>
    <w:rsid w:val="00881AC0"/>
    <w:rsid w:val="0088213F"/>
    <w:rsid w:val="00883121"/>
    <w:rsid w:val="0088392F"/>
    <w:rsid w:val="00884426"/>
    <w:rsid w:val="008863B2"/>
    <w:rsid w:val="00886584"/>
    <w:rsid w:val="00886745"/>
    <w:rsid w:val="00886D60"/>
    <w:rsid w:val="0088746E"/>
    <w:rsid w:val="00887814"/>
    <w:rsid w:val="008916FF"/>
    <w:rsid w:val="008917A4"/>
    <w:rsid w:val="00891DB3"/>
    <w:rsid w:val="00893F99"/>
    <w:rsid w:val="00895A85"/>
    <w:rsid w:val="00896F8E"/>
    <w:rsid w:val="008A0154"/>
    <w:rsid w:val="008A122F"/>
    <w:rsid w:val="008A1D12"/>
    <w:rsid w:val="008A2B54"/>
    <w:rsid w:val="008A36DE"/>
    <w:rsid w:val="008A3A47"/>
    <w:rsid w:val="008A4D5B"/>
    <w:rsid w:val="008A57E8"/>
    <w:rsid w:val="008A6E28"/>
    <w:rsid w:val="008B47F3"/>
    <w:rsid w:val="008B5C61"/>
    <w:rsid w:val="008B760D"/>
    <w:rsid w:val="008C44CB"/>
    <w:rsid w:val="008C458F"/>
    <w:rsid w:val="008C50AF"/>
    <w:rsid w:val="008D1D39"/>
    <w:rsid w:val="008D4E58"/>
    <w:rsid w:val="008D5049"/>
    <w:rsid w:val="008D538C"/>
    <w:rsid w:val="008D6DDF"/>
    <w:rsid w:val="008D6FDB"/>
    <w:rsid w:val="008D721C"/>
    <w:rsid w:val="008E33FD"/>
    <w:rsid w:val="008E44D1"/>
    <w:rsid w:val="008E661B"/>
    <w:rsid w:val="008E75E7"/>
    <w:rsid w:val="008E7F8A"/>
    <w:rsid w:val="008F1161"/>
    <w:rsid w:val="008F479E"/>
    <w:rsid w:val="009011F1"/>
    <w:rsid w:val="00905BA5"/>
    <w:rsid w:val="00910014"/>
    <w:rsid w:val="009117F7"/>
    <w:rsid w:val="009127A6"/>
    <w:rsid w:val="00912ECB"/>
    <w:rsid w:val="00914463"/>
    <w:rsid w:val="0091528B"/>
    <w:rsid w:val="009157B1"/>
    <w:rsid w:val="0091674F"/>
    <w:rsid w:val="00917CAF"/>
    <w:rsid w:val="00921004"/>
    <w:rsid w:val="00924F11"/>
    <w:rsid w:val="00925936"/>
    <w:rsid w:val="009271BE"/>
    <w:rsid w:val="009272D7"/>
    <w:rsid w:val="009305A8"/>
    <w:rsid w:val="00931503"/>
    <w:rsid w:val="00933532"/>
    <w:rsid w:val="00933FD4"/>
    <w:rsid w:val="00941528"/>
    <w:rsid w:val="009416FD"/>
    <w:rsid w:val="00942733"/>
    <w:rsid w:val="00942B53"/>
    <w:rsid w:val="00942C70"/>
    <w:rsid w:val="00943343"/>
    <w:rsid w:val="009439ED"/>
    <w:rsid w:val="009458C9"/>
    <w:rsid w:val="0094610C"/>
    <w:rsid w:val="00946694"/>
    <w:rsid w:val="009467D3"/>
    <w:rsid w:val="00946ECB"/>
    <w:rsid w:val="00950A55"/>
    <w:rsid w:val="00950AD3"/>
    <w:rsid w:val="00951B99"/>
    <w:rsid w:val="00951CDB"/>
    <w:rsid w:val="00951EC0"/>
    <w:rsid w:val="00952A87"/>
    <w:rsid w:val="00952F86"/>
    <w:rsid w:val="00955C03"/>
    <w:rsid w:val="00956DE7"/>
    <w:rsid w:val="0095706F"/>
    <w:rsid w:val="009631EB"/>
    <w:rsid w:val="0096387F"/>
    <w:rsid w:val="00964237"/>
    <w:rsid w:val="009647EC"/>
    <w:rsid w:val="00965812"/>
    <w:rsid w:val="00966813"/>
    <w:rsid w:val="00967B16"/>
    <w:rsid w:val="00970EE4"/>
    <w:rsid w:val="009718FA"/>
    <w:rsid w:val="0097190C"/>
    <w:rsid w:val="0097301B"/>
    <w:rsid w:val="00973FEF"/>
    <w:rsid w:val="00974D2D"/>
    <w:rsid w:val="009754DD"/>
    <w:rsid w:val="009754E1"/>
    <w:rsid w:val="009759AC"/>
    <w:rsid w:val="00977C78"/>
    <w:rsid w:val="00977E06"/>
    <w:rsid w:val="00980C9E"/>
    <w:rsid w:val="0098136F"/>
    <w:rsid w:val="00982B8F"/>
    <w:rsid w:val="00983642"/>
    <w:rsid w:val="00986999"/>
    <w:rsid w:val="00986F0C"/>
    <w:rsid w:val="00987D6D"/>
    <w:rsid w:val="00990B25"/>
    <w:rsid w:val="009923C5"/>
    <w:rsid w:val="0099260C"/>
    <w:rsid w:val="00992BDE"/>
    <w:rsid w:val="0099320E"/>
    <w:rsid w:val="00997308"/>
    <w:rsid w:val="00997863"/>
    <w:rsid w:val="009978D1"/>
    <w:rsid w:val="009978E7"/>
    <w:rsid w:val="00997B70"/>
    <w:rsid w:val="009A31D3"/>
    <w:rsid w:val="009A3BD0"/>
    <w:rsid w:val="009A3D48"/>
    <w:rsid w:val="009A40B3"/>
    <w:rsid w:val="009A54F3"/>
    <w:rsid w:val="009A5B27"/>
    <w:rsid w:val="009A6404"/>
    <w:rsid w:val="009A701F"/>
    <w:rsid w:val="009A71E4"/>
    <w:rsid w:val="009A7279"/>
    <w:rsid w:val="009A7E68"/>
    <w:rsid w:val="009B29C9"/>
    <w:rsid w:val="009B4291"/>
    <w:rsid w:val="009B4F3F"/>
    <w:rsid w:val="009B5519"/>
    <w:rsid w:val="009B559E"/>
    <w:rsid w:val="009B6B40"/>
    <w:rsid w:val="009C05B2"/>
    <w:rsid w:val="009C0809"/>
    <w:rsid w:val="009C1066"/>
    <w:rsid w:val="009C1372"/>
    <w:rsid w:val="009C353B"/>
    <w:rsid w:val="009C5373"/>
    <w:rsid w:val="009C5669"/>
    <w:rsid w:val="009C6404"/>
    <w:rsid w:val="009D0240"/>
    <w:rsid w:val="009D1CF8"/>
    <w:rsid w:val="009D2D03"/>
    <w:rsid w:val="009D3B98"/>
    <w:rsid w:val="009D44A7"/>
    <w:rsid w:val="009D56D8"/>
    <w:rsid w:val="009D5ECD"/>
    <w:rsid w:val="009D6055"/>
    <w:rsid w:val="009D7BF6"/>
    <w:rsid w:val="009E0D31"/>
    <w:rsid w:val="009E10EE"/>
    <w:rsid w:val="009E12A8"/>
    <w:rsid w:val="009E5F11"/>
    <w:rsid w:val="009E6480"/>
    <w:rsid w:val="009E7994"/>
    <w:rsid w:val="009F143B"/>
    <w:rsid w:val="009F1CD1"/>
    <w:rsid w:val="009F2DB4"/>
    <w:rsid w:val="009F2EEB"/>
    <w:rsid w:val="009F2F3F"/>
    <w:rsid w:val="009F56DB"/>
    <w:rsid w:val="009F58BA"/>
    <w:rsid w:val="009F73BD"/>
    <w:rsid w:val="009F75DF"/>
    <w:rsid w:val="00A00055"/>
    <w:rsid w:val="00A00101"/>
    <w:rsid w:val="00A02270"/>
    <w:rsid w:val="00A077D2"/>
    <w:rsid w:val="00A1000C"/>
    <w:rsid w:val="00A16942"/>
    <w:rsid w:val="00A17A72"/>
    <w:rsid w:val="00A20E69"/>
    <w:rsid w:val="00A228F4"/>
    <w:rsid w:val="00A23D9B"/>
    <w:rsid w:val="00A23DD8"/>
    <w:rsid w:val="00A25909"/>
    <w:rsid w:val="00A25F51"/>
    <w:rsid w:val="00A268C5"/>
    <w:rsid w:val="00A27055"/>
    <w:rsid w:val="00A27E33"/>
    <w:rsid w:val="00A30393"/>
    <w:rsid w:val="00A30F1C"/>
    <w:rsid w:val="00A31AB4"/>
    <w:rsid w:val="00A321E2"/>
    <w:rsid w:val="00A32246"/>
    <w:rsid w:val="00A323F4"/>
    <w:rsid w:val="00A328C0"/>
    <w:rsid w:val="00A339A7"/>
    <w:rsid w:val="00A3714C"/>
    <w:rsid w:val="00A405C7"/>
    <w:rsid w:val="00A410BC"/>
    <w:rsid w:val="00A4125F"/>
    <w:rsid w:val="00A427D6"/>
    <w:rsid w:val="00A46E96"/>
    <w:rsid w:val="00A4759A"/>
    <w:rsid w:val="00A47679"/>
    <w:rsid w:val="00A47AAA"/>
    <w:rsid w:val="00A501AE"/>
    <w:rsid w:val="00A507AC"/>
    <w:rsid w:val="00A52030"/>
    <w:rsid w:val="00A5230D"/>
    <w:rsid w:val="00A5538F"/>
    <w:rsid w:val="00A5541B"/>
    <w:rsid w:val="00A5787A"/>
    <w:rsid w:val="00A60633"/>
    <w:rsid w:val="00A60E9F"/>
    <w:rsid w:val="00A62A69"/>
    <w:rsid w:val="00A62BEC"/>
    <w:rsid w:val="00A63A63"/>
    <w:rsid w:val="00A658C1"/>
    <w:rsid w:val="00A66684"/>
    <w:rsid w:val="00A734AD"/>
    <w:rsid w:val="00A74C70"/>
    <w:rsid w:val="00A76050"/>
    <w:rsid w:val="00A76A29"/>
    <w:rsid w:val="00A770E4"/>
    <w:rsid w:val="00A804D9"/>
    <w:rsid w:val="00A81643"/>
    <w:rsid w:val="00A81C21"/>
    <w:rsid w:val="00A82018"/>
    <w:rsid w:val="00A837A0"/>
    <w:rsid w:val="00A83E6A"/>
    <w:rsid w:val="00A84263"/>
    <w:rsid w:val="00A86A62"/>
    <w:rsid w:val="00A90707"/>
    <w:rsid w:val="00A90926"/>
    <w:rsid w:val="00A924D3"/>
    <w:rsid w:val="00A927BE"/>
    <w:rsid w:val="00A928EC"/>
    <w:rsid w:val="00A94273"/>
    <w:rsid w:val="00A951BE"/>
    <w:rsid w:val="00A97287"/>
    <w:rsid w:val="00AA0B0F"/>
    <w:rsid w:val="00AA15E5"/>
    <w:rsid w:val="00AA18F9"/>
    <w:rsid w:val="00AA2AA2"/>
    <w:rsid w:val="00AA2DED"/>
    <w:rsid w:val="00AA4E5D"/>
    <w:rsid w:val="00AA79FD"/>
    <w:rsid w:val="00AB1C66"/>
    <w:rsid w:val="00AB435C"/>
    <w:rsid w:val="00AB7B1D"/>
    <w:rsid w:val="00AB7BFE"/>
    <w:rsid w:val="00AC0CD4"/>
    <w:rsid w:val="00AC4C86"/>
    <w:rsid w:val="00AC4CF3"/>
    <w:rsid w:val="00AC507D"/>
    <w:rsid w:val="00AC5243"/>
    <w:rsid w:val="00AC5A9E"/>
    <w:rsid w:val="00AC74C2"/>
    <w:rsid w:val="00AC7794"/>
    <w:rsid w:val="00AD1FEC"/>
    <w:rsid w:val="00AD2B82"/>
    <w:rsid w:val="00AD2DF1"/>
    <w:rsid w:val="00AD2EA1"/>
    <w:rsid w:val="00AD392D"/>
    <w:rsid w:val="00AD4559"/>
    <w:rsid w:val="00AD772E"/>
    <w:rsid w:val="00AE131E"/>
    <w:rsid w:val="00AE4125"/>
    <w:rsid w:val="00AE58A1"/>
    <w:rsid w:val="00AE6723"/>
    <w:rsid w:val="00AE6BD5"/>
    <w:rsid w:val="00AF19B6"/>
    <w:rsid w:val="00AF1C99"/>
    <w:rsid w:val="00AF3146"/>
    <w:rsid w:val="00AF5E87"/>
    <w:rsid w:val="00AF68BD"/>
    <w:rsid w:val="00AF7193"/>
    <w:rsid w:val="00B00552"/>
    <w:rsid w:val="00B013C6"/>
    <w:rsid w:val="00B02BEE"/>
    <w:rsid w:val="00B06740"/>
    <w:rsid w:val="00B07EF2"/>
    <w:rsid w:val="00B106B7"/>
    <w:rsid w:val="00B10BD5"/>
    <w:rsid w:val="00B11C1C"/>
    <w:rsid w:val="00B12E7A"/>
    <w:rsid w:val="00B13613"/>
    <w:rsid w:val="00B17BD8"/>
    <w:rsid w:val="00B17E56"/>
    <w:rsid w:val="00B256E8"/>
    <w:rsid w:val="00B25C34"/>
    <w:rsid w:val="00B26EEA"/>
    <w:rsid w:val="00B30B53"/>
    <w:rsid w:val="00B313E9"/>
    <w:rsid w:val="00B32325"/>
    <w:rsid w:val="00B328E7"/>
    <w:rsid w:val="00B32AAC"/>
    <w:rsid w:val="00B3379E"/>
    <w:rsid w:val="00B340A4"/>
    <w:rsid w:val="00B340D4"/>
    <w:rsid w:val="00B34434"/>
    <w:rsid w:val="00B355EC"/>
    <w:rsid w:val="00B411A3"/>
    <w:rsid w:val="00B431AF"/>
    <w:rsid w:val="00B443CF"/>
    <w:rsid w:val="00B45C2D"/>
    <w:rsid w:val="00B46D45"/>
    <w:rsid w:val="00B47985"/>
    <w:rsid w:val="00B50F76"/>
    <w:rsid w:val="00B53696"/>
    <w:rsid w:val="00B56649"/>
    <w:rsid w:val="00B625F2"/>
    <w:rsid w:val="00B62982"/>
    <w:rsid w:val="00B62B5B"/>
    <w:rsid w:val="00B64FA2"/>
    <w:rsid w:val="00B65520"/>
    <w:rsid w:val="00B663DC"/>
    <w:rsid w:val="00B67430"/>
    <w:rsid w:val="00B710D8"/>
    <w:rsid w:val="00B73629"/>
    <w:rsid w:val="00B7466E"/>
    <w:rsid w:val="00B74AE3"/>
    <w:rsid w:val="00B75E89"/>
    <w:rsid w:val="00B779BD"/>
    <w:rsid w:val="00B8021E"/>
    <w:rsid w:val="00B8028F"/>
    <w:rsid w:val="00B81A69"/>
    <w:rsid w:val="00B833BE"/>
    <w:rsid w:val="00B86538"/>
    <w:rsid w:val="00B87B08"/>
    <w:rsid w:val="00B90F2F"/>
    <w:rsid w:val="00B91E2B"/>
    <w:rsid w:val="00B921E4"/>
    <w:rsid w:val="00B93C7A"/>
    <w:rsid w:val="00B94AD0"/>
    <w:rsid w:val="00B956C4"/>
    <w:rsid w:val="00BA1D13"/>
    <w:rsid w:val="00BA303A"/>
    <w:rsid w:val="00BA4C54"/>
    <w:rsid w:val="00BA7FF0"/>
    <w:rsid w:val="00BB02FF"/>
    <w:rsid w:val="00BB2152"/>
    <w:rsid w:val="00BB2BE0"/>
    <w:rsid w:val="00BB3529"/>
    <w:rsid w:val="00BB405B"/>
    <w:rsid w:val="00BB4B19"/>
    <w:rsid w:val="00BB68F9"/>
    <w:rsid w:val="00BB7FC6"/>
    <w:rsid w:val="00BC29D0"/>
    <w:rsid w:val="00BC4043"/>
    <w:rsid w:val="00BC4FD6"/>
    <w:rsid w:val="00BC7548"/>
    <w:rsid w:val="00BD128D"/>
    <w:rsid w:val="00BD6F2D"/>
    <w:rsid w:val="00BD797F"/>
    <w:rsid w:val="00BD7F12"/>
    <w:rsid w:val="00BE1470"/>
    <w:rsid w:val="00BE7C72"/>
    <w:rsid w:val="00BF1421"/>
    <w:rsid w:val="00BF2468"/>
    <w:rsid w:val="00BF414E"/>
    <w:rsid w:val="00BF78BF"/>
    <w:rsid w:val="00C00BBF"/>
    <w:rsid w:val="00C02CC4"/>
    <w:rsid w:val="00C03B68"/>
    <w:rsid w:val="00C04AA4"/>
    <w:rsid w:val="00C04EC8"/>
    <w:rsid w:val="00C05445"/>
    <w:rsid w:val="00C06BE9"/>
    <w:rsid w:val="00C112C9"/>
    <w:rsid w:val="00C12CBD"/>
    <w:rsid w:val="00C13469"/>
    <w:rsid w:val="00C134DB"/>
    <w:rsid w:val="00C16D8A"/>
    <w:rsid w:val="00C20847"/>
    <w:rsid w:val="00C222E3"/>
    <w:rsid w:val="00C25B78"/>
    <w:rsid w:val="00C264DC"/>
    <w:rsid w:val="00C26907"/>
    <w:rsid w:val="00C32068"/>
    <w:rsid w:val="00C33FEF"/>
    <w:rsid w:val="00C34017"/>
    <w:rsid w:val="00C355DF"/>
    <w:rsid w:val="00C4007D"/>
    <w:rsid w:val="00C4163B"/>
    <w:rsid w:val="00C41F24"/>
    <w:rsid w:val="00C43FD0"/>
    <w:rsid w:val="00C4691E"/>
    <w:rsid w:val="00C47619"/>
    <w:rsid w:val="00C51445"/>
    <w:rsid w:val="00C5168E"/>
    <w:rsid w:val="00C51D2A"/>
    <w:rsid w:val="00C52848"/>
    <w:rsid w:val="00C6074A"/>
    <w:rsid w:val="00C61FF5"/>
    <w:rsid w:val="00C63606"/>
    <w:rsid w:val="00C6662D"/>
    <w:rsid w:val="00C671F5"/>
    <w:rsid w:val="00C67588"/>
    <w:rsid w:val="00C67ADF"/>
    <w:rsid w:val="00C67E5D"/>
    <w:rsid w:val="00C67F17"/>
    <w:rsid w:val="00C70DB9"/>
    <w:rsid w:val="00C72528"/>
    <w:rsid w:val="00C74025"/>
    <w:rsid w:val="00C748FF"/>
    <w:rsid w:val="00C74DA7"/>
    <w:rsid w:val="00C767DA"/>
    <w:rsid w:val="00C805FB"/>
    <w:rsid w:val="00C80CA7"/>
    <w:rsid w:val="00C8227D"/>
    <w:rsid w:val="00C8269C"/>
    <w:rsid w:val="00C83750"/>
    <w:rsid w:val="00C8675B"/>
    <w:rsid w:val="00C86CD7"/>
    <w:rsid w:val="00C86F17"/>
    <w:rsid w:val="00C86F88"/>
    <w:rsid w:val="00C87AD2"/>
    <w:rsid w:val="00C91865"/>
    <w:rsid w:val="00C9376B"/>
    <w:rsid w:val="00C9581A"/>
    <w:rsid w:val="00C960BE"/>
    <w:rsid w:val="00C9791B"/>
    <w:rsid w:val="00CA27CB"/>
    <w:rsid w:val="00CA3682"/>
    <w:rsid w:val="00CA5B5C"/>
    <w:rsid w:val="00CB0040"/>
    <w:rsid w:val="00CB4013"/>
    <w:rsid w:val="00CB44BB"/>
    <w:rsid w:val="00CB4580"/>
    <w:rsid w:val="00CC2A7C"/>
    <w:rsid w:val="00CC4AEF"/>
    <w:rsid w:val="00CC6C0C"/>
    <w:rsid w:val="00CC719D"/>
    <w:rsid w:val="00CD0D1C"/>
    <w:rsid w:val="00CD38AE"/>
    <w:rsid w:val="00CD44B9"/>
    <w:rsid w:val="00CD482D"/>
    <w:rsid w:val="00CD4BE8"/>
    <w:rsid w:val="00CE2834"/>
    <w:rsid w:val="00CE7264"/>
    <w:rsid w:val="00CF158B"/>
    <w:rsid w:val="00CF5301"/>
    <w:rsid w:val="00CF534A"/>
    <w:rsid w:val="00CF55D6"/>
    <w:rsid w:val="00CF6484"/>
    <w:rsid w:val="00CF78D3"/>
    <w:rsid w:val="00D016C5"/>
    <w:rsid w:val="00D02312"/>
    <w:rsid w:val="00D10177"/>
    <w:rsid w:val="00D10B27"/>
    <w:rsid w:val="00D11264"/>
    <w:rsid w:val="00D121FA"/>
    <w:rsid w:val="00D12B6B"/>
    <w:rsid w:val="00D12CFF"/>
    <w:rsid w:val="00D14AF4"/>
    <w:rsid w:val="00D153C3"/>
    <w:rsid w:val="00D156AF"/>
    <w:rsid w:val="00D15A86"/>
    <w:rsid w:val="00D16367"/>
    <w:rsid w:val="00D16699"/>
    <w:rsid w:val="00D202C6"/>
    <w:rsid w:val="00D2092C"/>
    <w:rsid w:val="00D228DE"/>
    <w:rsid w:val="00D22DC3"/>
    <w:rsid w:val="00D25683"/>
    <w:rsid w:val="00D27042"/>
    <w:rsid w:val="00D322D9"/>
    <w:rsid w:val="00D333A4"/>
    <w:rsid w:val="00D35DD1"/>
    <w:rsid w:val="00D40191"/>
    <w:rsid w:val="00D4077C"/>
    <w:rsid w:val="00D422AF"/>
    <w:rsid w:val="00D4253A"/>
    <w:rsid w:val="00D43982"/>
    <w:rsid w:val="00D43EB8"/>
    <w:rsid w:val="00D45148"/>
    <w:rsid w:val="00D46C5C"/>
    <w:rsid w:val="00D50B42"/>
    <w:rsid w:val="00D513C0"/>
    <w:rsid w:val="00D5307F"/>
    <w:rsid w:val="00D56587"/>
    <w:rsid w:val="00D56939"/>
    <w:rsid w:val="00D57228"/>
    <w:rsid w:val="00D618A4"/>
    <w:rsid w:val="00D61C6D"/>
    <w:rsid w:val="00D61F22"/>
    <w:rsid w:val="00D62940"/>
    <w:rsid w:val="00D64034"/>
    <w:rsid w:val="00D6481C"/>
    <w:rsid w:val="00D65726"/>
    <w:rsid w:val="00D70B4C"/>
    <w:rsid w:val="00D7246B"/>
    <w:rsid w:val="00D724FF"/>
    <w:rsid w:val="00D726ED"/>
    <w:rsid w:val="00D72832"/>
    <w:rsid w:val="00D73109"/>
    <w:rsid w:val="00D73C0A"/>
    <w:rsid w:val="00D76C43"/>
    <w:rsid w:val="00D80C4B"/>
    <w:rsid w:val="00D810EC"/>
    <w:rsid w:val="00D835B6"/>
    <w:rsid w:val="00D84464"/>
    <w:rsid w:val="00D8548C"/>
    <w:rsid w:val="00D91782"/>
    <w:rsid w:val="00D92107"/>
    <w:rsid w:val="00D94999"/>
    <w:rsid w:val="00D95040"/>
    <w:rsid w:val="00D9620F"/>
    <w:rsid w:val="00DA0540"/>
    <w:rsid w:val="00DA2840"/>
    <w:rsid w:val="00DA35E1"/>
    <w:rsid w:val="00DA35EF"/>
    <w:rsid w:val="00DA4030"/>
    <w:rsid w:val="00DA6819"/>
    <w:rsid w:val="00DB15FD"/>
    <w:rsid w:val="00DB2E84"/>
    <w:rsid w:val="00DB3DD5"/>
    <w:rsid w:val="00DB5079"/>
    <w:rsid w:val="00DB58EC"/>
    <w:rsid w:val="00DB7393"/>
    <w:rsid w:val="00DC156F"/>
    <w:rsid w:val="00DC399B"/>
    <w:rsid w:val="00DC501B"/>
    <w:rsid w:val="00DC7518"/>
    <w:rsid w:val="00DD0F92"/>
    <w:rsid w:val="00DD3F06"/>
    <w:rsid w:val="00DD49F4"/>
    <w:rsid w:val="00DD5700"/>
    <w:rsid w:val="00DD5E2B"/>
    <w:rsid w:val="00DE2966"/>
    <w:rsid w:val="00DE6DA2"/>
    <w:rsid w:val="00DF0424"/>
    <w:rsid w:val="00DF3781"/>
    <w:rsid w:val="00DF567D"/>
    <w:rsid w:val="00DF6291"/>
    <w:rsid w:val="00DF6E69"/>
    <w:rsid w:val="00DF779F"/>
    <w:rsid w:val="00E0140B"/>
    <w:rsid w:val="00E01785"/>
    <w:rsid w:val="00E01BEC"/>
    <w:rsid w:val="00E03F92"/>
    <w:rsid w:val="00E06847"/>
    <w:rsid w:val="00E06EE2"/>
    <w:rsid w:val="00E107CA"/>
    <w:rsid w:val="00E1216B"/>
    <w:rsid w:val="00E1477F"/>
    <w:rsid w:val="00E16C63"/>
    <w:rsid w:val="00E22E8D"/>
    <w:rsid w:val="00E23093"/>
    <w:rsid w:val="00E25D54"/>
    <w:rsid w:val="00E2709A"/>
    <w:rsid w:val="00E30E76"/>
    <w:rsid w:val="00E31E0C"/>
    <w:rsid w:val="00E3322A"/>
    <w:rsid w:val="00E341F5"/>
    <w:rsid w:val="00E3654E"/>
    <w:rsid w:val="00E36DE4"/>
    <w:rsid w:val="00E37F93"/>
    <w:rsid w:val="00E4176F"/>
    <w:rsid w:val="00E43171"/>
    <w:rsid w:val="00E43B5E"/>
    <w:rsid w:val="00E43D94"/>
    <w:rsid w:val="00E45B51"/>
    <w:rsid w:val="00E52515"/>
    <w:rsid w:val="00E52518"/>
    <w:rsid w:val="00E531B9"/>
    <w:rsid w:val="00E53BC5"/>
    <w:rsid w:val="00E5758B"/>
    <w:rsid w:val="00E57869"/>
    <w:rsid w:val="00E6191D"/>
    <w:rsid w:val="00E61DBC"/>
    <w:rsid w:val="00E637A7"/>
    <w:rsid w:val="00E64057"/>
    <w:rsid w:val="00E664B4"/>
    <w:rsid w:val="00E66AFF"/>
    <w:rsid w:val="00E66FE2"/>
    <w:rsid w:val="00E6771C"/>
    <w:rsid w:val="00E70381"/>
    <w:rsid w:val="00E705E6"/>
    <w:rsid w:val="00E70EAE"/>
    <w:rsid w:val="00E70F8F"/>
    <w:rsid w:val="00E729DC"/>
    <w:rsid w:val="00E73DEF"/>
    <w:rsid w:val="00E753EC"/>
    <w:rsid w:val="00E76B37"/>
    <w:rsid w:val="00E77D87"/>
    <w:rsid w:val="00E80D65"/>
    <w:rsid w:val="00E8259B"/>
    <w:rsid w:val="00E8557F"/>
    <w:rsid w:val="00E864E4"/>
    <w:rsid w:val="00E900E2"/>
    <w:rsid w:val="00E91723"/>
    <w:rsid w:val="00E93B5C"/>
    <w:rsid w:val="00E968FC"/>
    <w:rsid w:val="00EA0220"/>
    <w:rsid w:val="00EA0ADC"/>
    <w:rsid w:val="00EA21E9"/>
    <w:rsid w:val="00EA4C4B"/>
    <w:rsid w:val="00EA77BE"/>
    <w:rsid w:val="00EB0FDD"/>
    <w:rsid w:val="00EB2090"/>
    <w:rsid w:val="00EB23CD"/>
    <w:rsid w:val="00EB5299"/>
    <w:rsid w:val="00EB5D75"/>
    <w:rsid w:val="00EB6F2C"/>
    <w:rsid w:val="00EC1316"/>
    <w:rsid w:val="00EC19C1"/>
    <w:rsid w:val="00EC25F1"/>
    <w:rsid w:val="00EC283A"/>
    <w:rsid w:val="00EC3551"/>
    <w:rsid w:val="00EC6BD8"/>
    <w:rsid w:val="00EC7271"/>
    <w:rsid w:val="00EC7673"/>
    <w:rsid w:val="00ED1FD0"/>
    <w:rsid w:val="00ED2086"/>
    <w:rsid w:val="00ED2615"/>
    <w:rsid w:val="00ED38AF"/>
    <w:rsid w:val="00ED60A1"/>
    <w:rsid w:val="00ED6123"/>
    <w:rsid w:val="00ED69A0"/>
    <w:rsid w:val="00EE184B"/>
    <w:rsid w:val="00EE1C4A"/>
    <w:rsid w:val="00EE6052"/>
    <w:rsid w:val="00EE6D21"/>
    <w:rsid w:val="00F01B55"/>
    <w:rsid w:val="00F0237B"/>
    <w:rsid w:val="00F03C15"/>
    <w:rsid w:val="00F04BDE"/>
    <w:rsid w:val="00F06498"/>
    <w:rsid w:val="00F06E99"/>
    <w:rsid w:val="00F0723B"/>
    <w:rsid w:val="00F0786F"/>
    <w:rsid w:val="00F116DC"/>
    <w:rsid w:val="00F11E0A"/>
    <w:rsid w:val="00F13013"/>
    <w:rsid w:val="00F14D9E"/>
    <w:rsid w:val="00F14F22"/>
    <w:rsid w:val="00F16104"/>
    <w:rsid w:val="00F16CF9"/>
    <w:rsid w:val="00F20B09"/>
    <w:rsid w:val="00F21BC5"/>
    <w:rsid w:val="00F221E2"/>
    <w:rsid w:val="00F24EDD"/>
    <w:rsid w:val="00F25216"/>
    <w:rsid w:val="00F25CB6"/>
    <w:rsid w:val="00F26D2D"/>
    <w:rsid w:val="00F3167E"/>
    <w:rsid w:val="00F324DD"/>
    <w:rsid w:val="00F3335E"/>
    <w:rsid w:val="00F33742"/>
    <w:rsid w:val="00F33829"/>
    <w:rsid w:val="00F349E0"/>
    <w:rsid w:val="00F368DD"/>
    <w:rsid w:val="00F36AB3"/>
    <w:rsid w:val="00F36BF0"/>
    <w:rsid w:val="00F37DF8"/>
    <w:rsid w:val="00F4248B"/>
    <w:rsid w:val="00F439B5"/>
    <w:rsid w:val="00F43D2A"/>
    <w:rsid w:val="00F44002"/>
    <w:rsid w:val="00F45F80"/>
    <w:rsid w:val="00F52E75"/>
    <w:rsid w:val="00F54303"/>
    <w:rsid w:val="00F54C75"/>
    <w:rsid w:val="00F57DED"/>
    <w:rsid w:val="00F63F49"/>
    <w:rsid w:val="00F6477C"/>
    <w:rsid w:val="00F65837"/>
    <w:rsid w:val="00F663F6"/>
    <w:rsid w:val="00F6707C"/>
    <w:rsid w:val="00F70C4B"/>
    <w:rsid w:val="00F713A4"/>
    <w:rsid w:val="00F715EA"/>
    <w:rsid w:val="00F72D00"/>
    <w:rsid w:val="00F771DE"/>
    <w:rsid w:val="00F81150"/>
    <w:rsid w:val="00F833B7"/>
    <w:rsid w:val="00F83A22"/>
    <w:rsid w:val="00F84CF9"/>
    <w:rsid w:val="00F87C6C"/>
    <w:rsid w:val="00F87E38"/>
    <w:rsid w:val="00F9075C"/>
    <w:rsid w:val="00F91A73"/>
    <w:rsid w:val="00F92849"/>
    <w:rsid w:val="00F92DBC"/>
    <w:rsid w:val="00F94424"/>
    <w:rsid w:val="00F97EA2"/>
    <w:rsid w:val="00FA155E"/>
    <w:rsid w:val="00FA2322"/>
    <w:rsid w:val="00FA244A"/>
    <w:rsid w:val="00FA31B9"/>
    <w:rsid w:val="00FB297F"/>
    <w:rsid w:val="00FB4B0C"/>
    <w:rsid w:val="00FB638E"/>
    <w:rsid w:val="00FC0980"/>
    <w:rsid w:val="00FC0D10"/>
    <w:rsid w:val="00FC1934"/>
    <w:rsid w:val="00FC3CCB"/>
    <w:rsid w:val="00FC5555"/>
    <w:rsid w:val="00FD78D4"/>
    <w:rsid w:val="00FE1D8F"/>
    <w:rsid w:val="00FE2169"/>
    <w:rsid w:val="00FE38F0"/>
    <w:rsid w:val="00FE400D"/>
    <w:rsid w:val="00FE43A9"/>
    <w:rsid w:val="00FE6588"/>
    <w:rsid w:val="00FE70D2"/>
    <w:rsid w:val="00FE73F3"/>
    <w:rsid w:val="00FE7A9C"/>
    <w:rsid w:val="00FF41F3"/>
    <w:rsid w:val="00FF548B"/>
    <w:rsid w:val="0C364A79"/>
    <w:rsid w:val="0D7D75FE"/>
    <w:rsid w:val="1133363F"/>
    <w:rsid w:val="1583A849"/>
    <w:rsid w:val="174519A6"/>
    <w:rsid w:val="1BF3F411"/>
    <w:rsid w:val="200F727D"/>
    <w:rsid w:val="2023034F"/>
    <w:rsid w:val="2654E581"/>
    <w:rsid w:val="28608E83"/>
    <w:rsid w:val="2A32961F"/>
    <w:rsid w:val="2B7872D8"/>
    <w:rsid w:val="2EE7B224"/>
    <w:rsid w:val="31CAF109"/>
    <w:rsid w:val="3A24D73C"/>
    <w:rsid w:val="42101427"/>
    <w:rsid w:val="48E6BDA0"/>
    <w:rsid w:val="4FF2CD2A"/>
    <w:rsid w:val="500DFB38"/>
    <w:rsid w:val="55D259B3"/>
    <w:rsid w:val="569B5966"/>
    <w:rsid w:val="5F3806AB"/>
    <w:rsid w:val="6B0C86CA"/>
    <w:rsid w:val="70B19FA0"/>
    <w:rsid w:val="7401F897"/>
    <w:rsid w:val="755C6F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EC507C6-5EBF-483C-AE51-CFADB771905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41CA9"/>
  </w:style>
  <w:style w:type="paragraph" w:styleId="Ttulo1">
    <w:name w:val="heading 1"/>
    <w:basedOn w:val="Normal"/>
    <w:link w:val="Ttulo1Car"/>
    <w:uiPriority w:val="9"/>
    <w:qFormat/>
    <w:rsid w:val="009978E7"/>
    <w:pPr>
      <w:spacing w:before="100" w:beforeAutospacing="1" w:after="100" w:afterAutospacing="1" w:line="240" w:lineRule="auto"/>
      <w:outlineLvl w:val="0"/>
    </w:pPr>
    <w:rPr>
      <w:rFonts w:ascii="Times New Roman" w:hAnsi="Times New Roman" w:eastAsia="Times New Roman" w:cs="Times New Roman"/>
      <w:b/>
      <w:bCs/>
      <w:kern w:val="36"/>
      <w:sz w:val="48"/>
      <w:szCs w:val="48"/>
      <w:lang w:val="es-PE" w:eastAsia="es-PE"/>
    </w:rPr>
  </w:style>
  <w:style w:type="paragraph" w:styleId="Ttulo2">
    <w:name w:val="heading 2"/>
    <w:basedOn w:val="Normal"/>
    <w:next w:val="Normal"/>
    <w:link w:val="Ttulo2Car"/>
    <w:uiPriority w:val="9"/>
    <w:semiHidden/>
    <w:unhideWhenUsed/>
    <w:qFormat/>
    <w:rsid w:val="002019FA"/>
    <w:pPr>
      <w:keepNext/>
      <w:keepLines/>
      <w:spacing w:before="40" w:after="0"/>
      <w:outlineLvl w:val="1"/>
    </w:pPr>
    <w:rPr>
      <w:rFonts w:asciiTheme="majorHAnsi" w:hAnsiTheme="majorHAnsi" w:eastAsiaTheme="majorEastAsia"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FC0980"/>
    <w:pPr>
      <w:keepNext/>
      <w:keepLines/>
      <w:spacing w:before="40" w:after="0"/>
      <w:outlineLvl w:val="2"/>
    </w:pPr>
    <w:rPr>
      <w:rFonts w:asciiTheme="majorHAnsi" w:hAnsiTheme="majorHAnsi" w:eastAsiaTheme="majorEastAsia"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2019FA"/>
    <w:pPr>
      <w:keepNext/>
      <w:keepLines/>
      <w:spacing w:before="40" w:after="0"/>
      <w:outlineLvl w:val="3"/>
    </w:pPr>
    <w:rPr>
      <w:rFonts w:asciiTheme="majorHAnsi" w:hAnsiTheme="majorHAnsi" w:eastAsiaTheme="majorEastAsia" w:cstheme="majorBidi"/>
      <w:i/>
      <w:iCs/>
      <w:color w:val="2E74B5" w:themeColor="accent1" w:themeShade="BF"/>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aliases w:val="Number List 1"/>
    <w:basedOn w:val="Normal"/>
    <w:link w:val="PrrafodelistaCar"/>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qFormat/>
    <w:rsid w:val="000619A2"/>
    <w:rPr>
      <w:b/>
      <w:bCs w:val="0"/>
    </w:rPr>
  </w:style>
  <w:style w:type="character" w:styleId="Ttulo1Car" w:customStyle="1">
    <w:name w:val="Título 1 Car"/>
    <w:basedOn w:val="Fuentedeprrafopredeter"/>
    <w:link w:val="Ttulo1"/>
    <w:uiPriority w:val="9"/>
    <w:rsid w:val="009978E7"/>
    <w:rPr>
      <w:rFonts w:ascii="Times New Roman" w:hAnsi="Times New Roman" w:eastAsia="Times New Roman" w:cs="Times New Roman"/>
      <w:b/>
      <w:bCs/>
      <w:kern w:val="36"/>
      <w:sz w:val="48"/>
      <w:szCs w:val="48"/>
      <w:lang w:val="es-PE" w:eastAsia="es-PE"/>
    </w:rPr>
  </w:style>
  <w:style w:type="character" w:styleId="Mencinsinresolver">
    <w:name w:val="Unresolved Mention"/>
    <w:basedOn w:val="Fuentedeprrafopredeter"/>
    <w:uiPriority w:val="99"/>
    <w:semiHidden/>
    <w:unhideWhenUsed/>
    <w:rsid w:val="00310C00"/>
    <w:rPr>
      <w:color w:val="605E5C"/>
      <w:shd w:val="clear" w:color="auto" w:fill="E1DFDD"/>
    </w:rPr>
  </w:style>
  <w:style w:type="paragraph" w:styleId="Textonotapie">
    <w:name w:val="footnote text"/>
    <w:basedOn w:val="Normal"/>
    <w:link w:val="TextonotapieCar"/>
    <w:uiPriority w:val="99"/>
    <w:unhideWhenUsed/>
    <w:rsid w:val="00F37DF8"/>
    <w:pPr>
      <w:spacing w:after="0" w:line="240" w:lineRule="auto"/>
    </w:pPr>
    <w:rPr>
      <w:sz w:val="20"/>
      <w:szCs w:val="20"/>
    </w:rPr>
  </w:style>
  <w:style w:type="character" w:styleId="TextonotapieCar" w:customStyle="1">
    <w:name w:val="Texto nota pie Car"/>
    <w:basedOn w:val="Fuentedeprrafopredeter"/>
    <w:link w:val="Textonotapie"/>
    <w:uiPriority w:val="99"/>
    <w:rsid w:val="00F37DF8"/>
    <w:rPr>
      <w:sz w:val="20"/>
      <w:szCs w:val="20"/>
    </w:rPr>
  </w:style>
  <w:style w:type="character" w:styleId="Refdenotaalpie">
    <w:name w:val="footnote reference"/>
    <w:basedOn w:val="Fuentedeprrafopredeter"/>
    <w:uiPriority w:val="99"/>
    <w:semiHidden/>
    <w:unhideWhenUsed/>
    <w:rsid w:val="00F37DF8"/>
    <w:rPr>
      <w:vertAlign w:val="superscript"/>
    </w:rPr>
  </w:style>
  <w:style w:type="paragraph" w:styleId="NormalWeb">
    <w:name w:val="Normal (Web)"/>
    <w:basedOn w:val="Normal"/>
    <w:uiPriority w:val="99"/>
    <w:rsid w:val="0000543A"/>
    <w:pPr>
      <w:spacing w:before="100" w:beforeAutospacing="1" w:after="100" w:afterAutospacing="1" w:line="240" w:lineRule="auto"/>
    </w:pPr>
    <w:rPr>
      <w:rFonts w:ascii="Arial Unicode MS" w:hAnsi="Arial Unicode MS" w:eastAsia="Arial Unicode MS" w:cs="Arial Unicode MS"/>
      <w:sz w:val="24"/>
      <w:szCs w:val="24"/>
      <w:lang w:val="es-ES" w:eastAsia="es-ES"/>
    </w:rPr>
  </w:style>
  <w:style w:type="character" w:styleId="nfasis">
    <w:name w:val="Emphasis"/>
    <w:basedOn w:val="Fuentedeprrafopredeter"/>
    <w:uiPriority w:val="20"/>
    <w:qFormat/>
    <w:rsid w:val="00A47679"/>
    <w:rPr>
      <w:i/>
      <w:iCs/>
    </w:rPr>
  </w:style>
  <w:style w:type="character" w:styleId="modartculofecha" w:customStyle="1">
    <w:name w:val="modartculofecha"/>
    <w:basedOn w:val="Fuentedeprrafopredeter"/>
    <w:rsid w:val="007F5491"/>
  </w:style>
  <w:style w:type="character" w:styleId="crva" w:customStyle="1">
    <w:name w:val="crva"/>
    <w:basedOn w:val="Fuentedeprrafopredeter"/>
    <w:rsid w:val="00CF534A"/>
  </w:style>
  <w:style w:type="character" w:styleId="Textodelmarcadordeposicin">
    <w:name w:val="Placeholder Text"/>
    <w:basedOn w:val="Fuentedeprrafopredeter"/>
    <w:uiPriority w:val="99"/>
    <w:semiHidden/>
    <w:rsid w:val="00F44002"/>
    <w:rPr>
      <w:color w:val="808080"/>
    </w:rPr>
  </w:style>
  <w:style w:type="character" w:styleId="Ttulo3Car" w:customStyle="1">
    <w:name w:val="Título 3 Car"/>
    <w:basedOn w:val="Fuentedeprrafopredeter"/>
    <w:link w:val="Ttulo3"/>
    <w:uiPriority w:val="9"/>
    <w:semiHidden/>
    <w:rsid w:val="00FC0980"/>
    <w:rPr>
      <w:rFonts w:asciiTheme="majorHAnsi" w:hAnsiTheme="majorHAnsi" w:eastAsiaTheme="majorEastAsia" w:cstheme="majorBidi"/>
      <w:color w:val="1F4D78" w:themeColor="accent1" w:themeShade="7F"/>
      <w:sz w:val="24"/>
      <w:szCs w:val="24"/>
    </w:rPr>
  </w:style>
  <w:style w:type="paragraph" w:styleId="Ttulo">
    <w:name w:val="Title"/>
    <w:basedOn w:val="Normal"/>
    <w:link w:val="TtuloCar"/>
    <w:qFormat/>
    <w:rsid w:val="002019FA"/>
    <w:pPr>
      <w:spacing w:after="0" w:line="240" w:lineRule="auto"/>
      <w:jc w:val="center"/>
    </w:pPr>
    <w:rPr>
      <w:rFonts w:ascii="Times New Roman" w:hAnsi="Times New Roman" w:eastAsia="Times New Roman" w:cs="Times New Roman"/>
      <w:b/>
      <w:bCs/>
      <w:sz w:val="24"/>
      <w:szCs w:val="24"/>
      <w:lang w:val="es-MX" w:eastAsia="es-ES"/>
    </w:rPr>
  </w:style>
  <w:style w:type="character" w:styleId="TtuloCar" w:customStyle="1">
    <w:name w:val="Título Car"/>
    <w:basedOn w:val="Fuentedeprrafopredeter"/>
    <w:link w:val="Ttulo"/>
    <w:rsid w:val="002019FA"/>
    <w:rPr>
      <w:rFonts w:ascii="Times New Roman" w:hAnsi="Times New Roman" w:eastAsia="Times New Roman" w:cs="Times New Roman"/>
      <w:b/>
      <w:bCs/>
      <w:sz w:val="24"/>
      <w:szCs w:val="24"/>
      <w:lang w:val="es-MX" w:eastAsia="es-ES"/>
    </w:rPr>
  </w:style>
  <w:style w:type="paragraph" w:styleId="ng-scope" w:customStyle="1">
    <w:name w:val="ng-scope"/>
    <w:basedOn w:val="Normal"/>
    <w:rsid w:val="002019FA"/>
    <w:pPr>
      <w:spacing w:before="100" w:beforeAutospacing="1" w:after="100" w:afterAutospacing="1" w:line="240" w:lineRule="auto"/>
    </w:pPr>
    <w:rPr>
      <w:rFonts w:ascii="Times New Roman" w:hAnsi="Times New Roman" w:eastAsia="Times New Roman" w:cs="Times New Roman"/>
      <w:sz w:val="24"/>
      <w:szCs w:val="24"/>
      <w:lang w:val="es-PE" w:eastAsia="es-PE"/>
    </w:rPr>
  </w:style>
  <w:style w:type="character" w:styleId="Ttulo2Car" w:customStyle="1">
    <w:name w:val="Título 2 Car"/>
    <w:basedOn w:val="Fuentedeprrafopredeter"/>
    <w:link w:val="Ttulo2"/>
    <w:uiPriority w:val="9"/>
    <w:semiHidden/>
    <w:rsid w:val="002019FA"/>
    <w:rPr>
      <w:rFonts w:asciiTheme="majorHAnsi" w:hAnsiTheme="majorHAnsi" w:eastAsiaTheme="majorEastAsia" w:cstheme="majorBidi"/>
      <w:color w:val="2E74B5" w:themeColor="accent1" w:themeShade="BF"/>
      <w:sz w:val="26"/>
      <w:szCs w:val="26"/>
    </w:rPr>
  </w:style>
  <w:style w:type="character" w:styleId="Ttulo4Car" w:customStyle="1">
    <w:name w:val="Título 4 Car"/>
    <w:basedOn w:val="Fuentedeprrafopredeter"/>
    <w:link w:val="Ttulo4"/>
    <w:uiPriority w:val="9"/>
    <w:semiHidden/>
    <w:rsid w:val="002019FA"/>
    <w:rPr>
      <w:rFonts w:asciiTheme="majorHAnsi" w:hAnsiTheme="majorHAnsi" w:eastAsiaTheme="majorEastAsia" w:cstheme="majorBidi"/>
      <w:i/>
      <w:iCs/>
      <w:color w:val="2E74B5" w:themeColor="accent1" w:themeShade="BF"/>
    </w:rPr>
  </w:style>
  <w:style w:type="character" w:styleId="uv3um" w:customStyle="1">
    <w:name w:val="uv3um"/>
    <w:basedOn w:val="Fuentedeprrafopredeter"/>
    <w:rsid w:val="002019FA"/>
  </w:style>
  <w:style w:type="paragraph" w:styleId="k3ksmc" w:customStyle="1">
    <w:name w:val="k3ksmc"/>
    <w:basedOn w:val="Normal"/>
    <w:rsid w:val="002019FA"/>
    <w:pPr>
      <w:spacing w:before="100" w:beforeAutospacing="1" w:after="100" w:afterAutospacing="1" w:line="240" w:lineRule="auto"/>
    </w:pPr>
    <w:rPr>
      <w:rFonts w:ascii="Times New Roman" w:hAnsi="Times New Roman" w:eastAsia="Times New Roman" w:cs="Times New Roman"/>
      <w:sz w:val="24"/>
      <w:szCs w:val="24"/>
      <w:lang w:val="es-PE" w:eastAsia="es-PE"/>
    </w:rPr>
  </w:style>
  <w:style w:type="character" w:styleId="field-name-field-definicion" w:customStyle="1">
    <w:name w:val="field-name-field-definicion"/>
    <w:basedOn w:val="Fuentedeprrafopredeter"/>
    <w:rsid w:val="00973FEF"/>
  </w:style>
  <w:style w:type="character" w:styleId="field-name-field-rama" w:customStyle="1">
    <w:name w:val="field-name-field-rama"/>
    <w:basedOn w:val="Fuentedeprrafopredeter"/>
    <w:rsid w:val="00014849"/>
  </w:style>
  <w:style w:type="paragraph" w:styleId="Revisin">
    <w:name w:val="Revision"/>
    <w:hidden/>
    <w:uiPriority w:val="99"/>
    <w:semiHidden/>
    <w:rsid w:val="00B411A3"/>
    <w:pPr>
      <w:spacing w:after="0" w:line="240" w:lineRule="auto"/>
    </w:pPr>
  </w:style>
  <w:style w:type="character" w:styleId="decretossupremos" w:customStyle="1">
    <w:name w:val="decretossupremos"/>
    <w:basedOn w:val="Fuentedeprrafopredeter"/>
    <w:rsid w:val="00BA303A"/>
  </w:style>
  <w:style w:type="paragraph" w:styleId="Puesto" w:customStyle="1">
    <w:name w:val="Puesto"/>
    <w:basedOn w:val="Normal"/>
    <w:next w:val="Subttulo"/>
    <w:qFormat/>
    <w:rsid w:val="00601339"/>
    <w:pPr>
      <w:suppressAutoHyphens/>
      <w:spacing w:after="0" w:line="240" w:lineRule="auto"/>
      <w:jc w:val="center"/>
    </w:pPr>
    <w:rPr>
      <w:rFonts w:ascii="Times New Roman" w:hAnsi="Times New Roman" w:eastAsia="Times New Roman" w:cs="Times New Roman"/>
      <w:b/>
      <w:bCs/>
      <w:sz w:val="24"/>
      <w:szCs w:val="24"/>
      <w:lang w:val="es-MX" w:eastAsia="ar-SA"/>
    </w:rPr>
  </w:style>
  <w:style w:type="paragraph" w:styleId="Subttulo">
    <w:name w:val="Subtitle"/>
    <w:basedOn w:val="Normal"/>
    <w:next w:val="Normal"/>
    <w:link w:val="SubttuloCar"/>
    <w:uiPriority w:val="11"/>
    <w:qFormat/>
    <w:rsid w:val="00601339"/>
    <w:pPr>
      <w:numPr>
        <w:ilvl w:val="1"/>
      </w:numPr>
    </w:pPr>
    <w:rPr>
      <w:rFonts w:eastAsiaTheme="minorEastAsia"/>
      <w:color w:val="5A5A5A" w:themeColor="text1" w:themeTint="A5"/>
      <w:spacing w:val="15"/>
    </w:rPr>
  </w:style>
  <w:style w:type="character" w:styleId="SubttuloCar" w:customStyle="1">
    <w:name w:val="Subtítulo Car"/>
    <w:basedOn w:val="Fuentedeprrafopredeter"/>
    <w:link w:val="Subttulo"/>
    <w:uiPriority w:val="11"/>
    <w:rsid w:val="00601339"/>
    <w:rPr>
      <w:rFonts w:eastAsiaTheme="minorEastAsia"/>
      <w:color w:val="5A5A5A" w:themeColor="text1" w:themeTint="A5"/>
      <w:spacing w:val="15"/>
    </w:rPr>
  </w:style>
  <w:style w:type="character" w:styleId="spelle" w:customStyle="1">
    <w:name w:val="spelle"/>
    <w:basedOn w:val="Fuentedeprrafopredeter"/>
    <w:rsid w:val="00D7246B"/>
  </w:style>
  <w:style w:type="character" w:styleId="PrrafodelistaCar" w:customStyle="1">
    <w:name w:val="Párrafo de lista Car"/>
    <w:aliases w:val="Number List 1 Car"/>
    <w:link w:val="Prrafodelista"/>
    <w:uiPriority w:val="34"/>
    <w:rsid w:val="003534E0"/>
  </w:style>
  <w:style w:type="table" w:styleId="Tablaconcuadrcula">
    <w:name w:val="Table Grid"/>
    <w:basedOn w:val="Tablanormal"/>
    <w:uiPriority w:val="39"/>
    <w:rsid w:val="00741CA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23245">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96949174">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12542833">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352341079">
      <w:bodyDiv w:val="1"/>
      <w:marLeft w:val="0"/>
      <w:marRight w:val="0"/>
      <w:marTop w:val="0"/>
      <w:marBottom w:val="0"/>
      <w:divBdr>
        <w:top w:val="none" w:sz="0" w:space="0" w:color="auto"/>
        <w:left w:val="none" w:sz="0" w:space="0" w:color="auto"/>
        <w:bottom w:val="none" w:sz="0" w:space="0" w:color="auto"/>
        <w:right w:val="none" w:sz="0" w:space="0" w:color="auto"/>
      </w:divBdr>
      <w:divsChild>
        <w:div w:id="783697812">
          <w:marLeft w:val="0"/>
          <w:marRight w:val="0"/>
          <w:marTop w:val="0"/>
          <w:marBottom w:val="0"/>
          <w:divBdr>
            <w:top w:val="none" w:sz="0" w:space="0" w:color="auto"/>
            <w:left w:val="none" w:sz="0" w:space="0" w:color="auto"/>
            <w:bottom w:val="none" w:sz="0" w:space="0" w:color="auto"/>
            <w:right w:val="none" w:sz="0" w:space="0" w:color="auto"/>
          </w:divBdr>
          <w:divsChild>
            <w:div w:id="2017997512">
              <w:marLeft w:val="0"/>
              <w:marRight w:val="0"/>
              <w:marTop w:val="0"/>
              <w:marBottom w:val="0"/>
              <w:divBdr>
                <w:top w:val="none" w:sz="0" w:space="0" w:color="auto"/>
                <w:left w:val="none" w:sz="0" w:space="0" w:color="auto"/>
                <w:bottom w:val="none" w:sz="0" w:space="0" w:color="auto"/>
                <w:right w:val="none" w:sz="0" w:space="0" w:color="auto"/>
              </w:divBdr>
              <w:divsChild>
                <w:div w:id="1292053166">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933057093">
          <w:marLeft w:val="0"/>
          <w:marRight w:val="0"/>
          <w:marTop w:val="0"/>
          <w:marBottom w:val="0"/>
          <w:divBdr>
            <w:top w:val="none" w:sz="0" w:space="0" w:color="auto"/>
            <w:left w:val="none" w:sz="0" w:space="0" w:color="auto"/>
            <w:bottom w:val="none" w:sz="0" w:space="0" w:color="auto"/>
            <w:right w:val="none" w:sz="0" w:space="0" w:color="auto"/>
          </w:divBdr>
          <w:divsChild>
            <w:div w:id="1476558832">
              <w:marLeft w:val="0"/>
              <w:marRight w:val="0"/>
              <w:marTop w:val="0"/>
              <w:marBottom w:val="0"/>
              <w:divBdr>
                <w:top w:val="none" w:sz="0" w:space="0" w:color="auto"/>
                <w:left w:val="none" w:sz="0" w:space="0" w:color="auto"/>
                <w:bottom w:val="none" w:sz="0" w:space="0" w:color="auto"/>
                <w:right w:val="none" w:sz="0" w:space="0" w:color="auto"/>
              </w:divBdr>
              <w:divsChild>
                <w:div w:id="537085465">
                  <w:marLeft w:val="-420"/>
                  <w:marRight w:val="0"/>
                  <w:marTop w:val="0"/>
                  <w:marBottom w:val="0"/>
                  <w:divBdr>
                    <w:top w:val="none" w:sz="0" w:space="0" w:color="auto"/>
                    <w:left w:val="none" w:sz="0" w:space="0" w:color="auto"/>
                    <w:bottom w:val="none" w:sz="0" w:space="0" w:color="auto"/>
                    <w:right w:val="none" w:sz="0" w:space="0" w:color="auto"/>
                  </w:divBdr>
                  <w:divsChild>
                    <w:div w:id="1439179649">
                      <w:marLeft w:val="0"/>
                      <w:marRight w:val="0"/>
                      <w:marTop w:val="0"/>
                      <w:marBottom w:val="0"/>
                      <w:divBdr>
                        <w:top w:val="none" w:sz="0" w:space="0" w:color="auto"/>
                        <w:left w:val="none" w:sz="0" w:space="0" w:color="auto"/>
                        <w:bottom w:val="none" w:sz="0" w:space="0" w:color="auto"/>
                        <w:right w:val="none" w:sz="0" w:space="0" w:color="auto"/>
                      </w:divBdr>
                      <w:divsChild>
                        <w:div w:id="2016109073">
                          <w:marLeft w:val="0"/>
                          <w:marRight w:val="0"/>
                          <w:marTop w:val="0"/>
                          <w:marBottom w:val="0"/>
                          <w:divBdr>
                            <w:top w:val="none" w:sz="0" w:space="0" w:color="auto"/>
                            <w:left w:val="none" w:sz="0" w:space="0" w:color="auto"/>
                            <w:bottom w:val="none" w:sz="0" w:space="0" w:color="auto"/>
                            <w:right w:val="none" w:sz="0" w:space="0" w:color="auto"/>
                          </w:divBdr>
                          <w:divsChild>
                            <w:div w:id="132212301">
                              <w:marLeft w:val="0"/>
                              <w:marRight w:val="0"/>
                              <w:marTop w:val="0"/>
                              <w:marBottom w:val="0"/>
                              <w:divBdr>
                                <w:top w:val="none" w:sz="0" w:space="0" w:color="auto"/>
                                <w:left w:val="none" w:sz="0" w:space="0" w:color="auto"/>
                                <w:bottom w:val="none" w:sz="0" w:space="0" w:color="auto"/>
                                <w:right w:val="none" w:sz="0" w:space="0" w:color="auto"/>
                              </w:divBdr>
                            </w:div>
                            <w:div w:id="811219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553329">
                  <w:marLeft w:val="-420"/>
                  <w:marRight w:val="0"/>
                  <w:marTop w:val="0"/>
                  <w:marBottom w:val="0"/>
                  <w:divBdr>
                    <w:top w:val="none" w:sz="0" w:space="0" w:color="auto"/>
                    <w:left w:val="none" w:sz="0" w:space="0" w:color="auto"/>
                    <w:bottom w:val="none" w:sz="0" w:space="0" w:color="auto"/>
                    <w:right w:val="none" w:sz="0" w:space="0" w:color="auto"/>
                  </w:divBdr>
                  <w:divsChild>
                    <w:div w:id="115487048">
                      <w:marLeft w:val="0"/>
                      <w:marRight w:val="0"/>
                      <w:marTop w:val="0"/>
                      <w:marBottom w:val="0"/>
                      <w:divBdr>
                        <w:top w:val="none" w:sz="0" w:space="0" w:color="auto"/>
                        <w:left w:val="none" w:sz="0" w:space="0" w:color="auto"/>
                        <w:bottom w:val="none" w:sz="0" w:space="0" w:color="auto"/>
                        <w:right w:val="none" w:sz="0" w:space="0" w:color="auto"/>
                      </w:divBdr>
                      <w:divsChild>
                        <w:div w:id="1211919881">
                          <w:marLeft w:val="0"/>
                          <w:marRight w:val="0"/>
                          <w:marTop w:val="0"/>
                          <w:marBottom w:val="0"/>
                          <w:divBdr>
                            <w:top w:val="none" w:sz="0" w:space="0" w:color="auto"/>
                            <w:left w:val="none" w:sz="0" w:space="0" w:color="auto"/>
                            <w:bottom w:val="none" w:sz="0" w:space="0" w:color="auto"/>
                            <w:right w:val="none" w:sz="0" w:space="0" w:color="auto"/>
                          </w:divBdr>
                          <w:divsChild>
                            <w:div w:id="291985486">
                              <w:marLeft w:val="0"/>
                              <w:marRight w:val="0"/>
                              <w:marTop w:val="0"/>
                              <w:marBottom w:val="0"/>
                              <w:divBdr>
                                <w:top w:val="none" w:sz="0" w:space="0" w:color="auto"/>
                                <w:left w:val="none" w:sz="0" w:space="0" w:color="auto"/>
                                <w:bottom w:val="none" w:sz="0" w:space="0" w:color="auto"/>
                                <w:right w:val="none" w:sz="0" w:space="0" w:color="auto"/>
                              </w:divBdr>
                            </w:div>
                            <w:div w:id="1666206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639152">
                  <w:marLeft w:val="-420"/>
                  <w:marRight w:val="0"/>
                  <w:marTop w:val="0"/>
                  <w:marBottom w:val="0"/>
                  <w:divBdr>
                    <w:top w:val="none" w:sz="0" w:space="0" w:color="auto"/>
                    <w:left w:val="none" w:sz="0" w:space="0" w:color="auto"/>
                    <w:bottom w:val="none" w:sz="0" w:space="0" w:color="auto"/>
                    <w:right w:val="none" w:sz="0" w:space="0" w:color="auto"/>
                  </w:divBdr>
                  <w:divsChild>
                    <w:div w:id="966274960">
                      <w:marLeft w:val="0"/>
                      <w:marRight w:val="0"/>
                      <w:marTop w:val="0"/>
                      <w:marBottom w:val="0"/>
                      <w:divBdr>
                        <w:top w:val="none" w:sz="0" w:space="0" w:color="auto"/>
                        <w:left w:val="none" w:sz="0" w:space="0" w:color="auto"/>
                        <w:bottom w:val="none" w:sz="0" w:space="0" w:color="auto"/>
                        <w:right w:val="none" w:sz="0" w:space="0" w:color="auto"/>
                      </w:divBdr>
                      <w:divsChild>
                        <w:div w:id="1188643653">
                          <w:marLeft w:val="0"/>
                          <w:marRight w:val="0"/>
                          <w:marTop w:val="0"/>
                          <w:marBottom w:val="0"/>
                          <w:divBdr>
                            <w:top w:val="none" w:sz="0" w:space="0" w:color="auto"/>
                            <w:left w:val="none" w:sz="0" w:space="0" w:color="auto"/>
                            <w:bottom w:val="none" w:sz="0" w:space="0" w:color="auto"/>
                            <w:right w:val="none" w:sz="0" w:space="0" w:color="auto"/>
                          </w:divBdr>
                          <w:divsChild>
                            <w:div w:id="1250961586">
                              <w:marLeft w:val="0"/>
                              <w:marRight w:val="0"/>
                              <w:marTop w:val="0"/>
                              <w:marBottom w:val="0"/>
                              <w:divBdr>
                                <w:top w:val="none" w:sz="0" w:space="0" w:color="auto"/>
                                <w:left w:val="none" w:sz="0" w:space="0" w:color="auto"/>
                                <w:bottom w:val="none" w:sz="0" w:space="0" w:color="auto"/>
                                <w:right w:val="none" w:sz="0" w:space="0" w:color="auto"/>
                              </w:divBdr>
                            </w:div>
                            <w:div w:id="174175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549456">
                  <w:marLeft w:val="-420"/>
                  <w:marRight w:val="0"/>
                  <w:marTop w:val="0"/>
                  <w:marBottom w:val="0"/>
                  <w:divBdr>
                    <w:top w:val="none" w:sz="0" w:space="0" w:color="auto"/>
                    <w:left w:val="none" w:sz="0" w:space="0" w:color="auto"/>
                    <w:bottom w:val="none" w:sz="0" w:space="0" w:color="auto"/>
                    <w:right w:val="none" w:sz="0" w:space="0" w:color="auto"/>
                  </w:divBdr>
                  <w:divsChild>
                    <w:div w:id="860899375">
                      <w:marLeft w:val="0"/>
                      <w:marRight w:val="0"/>
                      <w:marTop w:val="0"/>
                      <w:marBottom w:val="0"/>
                      <w:divBdr>
                        <w:top w:val="none" w:sz="0" w:space="0" w:color="auto"/>
                        <w:left w:val="none" w:sz="0" w:space="0" w:color="auto"/>
                        <w:bottom w:val="none" w:sz="0" w:space="0" w:color="auto"/>
                        <w:right w:val="none" w:sz="0" w:space="0" w:color="auto"/>
                      </w:divBdr>
                      <w:divsChild>
                        <w:div w:id="1215657286">
                          <w:marLeft w:val="0"/>
                          <w:marRight w:val="0"/>
                          <w:marTop w:val="0"/>
                          <w:marBottom w:val="0"/>
                          <w:divBdr>
                            <w:top w:val="none" w:sz="0" w:space="0" w:color="auto"/>
                            <w:left w:val="none" w:sz="0" w:space="0" w:color="auto"/>
                            <w:bottom w:val="none" w:sz="0" w:space="0" w:color="auto"/>
                            <w:right w:val="none" w:sz="0" w:space="0" w:color="auto"/>
                          </w:divBdr>
                          <w:divsChild>
                            <w:div w:id="1253473901">
                              <w:marLeft w:val="0"/>
                              <w:marRight w:val="0"/>
                              <w:marTop w:val="0"/>
                              <w:marBottom w:val="0"/>
                              <w:divBdr>
                                <w:top w:val="none" w:sz="0" w:space="0" w:color="auto"/>
                                <w:left w:val="none" w:sz="0" w:space="0" w:color="auto"/>
                                <w:bottom w:val="none" w:sz="0" w:space="0" w:color="auto"/>
                                <w:right w:val="none" w:sz="0" w:space="0" w:color="auto"/>
                              </w:divBdr>
                            </w:div>
                            <w:div w:id="188960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301013">
                  <w:marLeft w:val="-420"/>
                  <w:marRight w:val="0"/>
                  <w:marTop w:val="0"/>
                  <w:marBottom w:val="0"/>
                  <w:divBdr>
                    <w:top w:val="none" w:sz="0" w:space="0" w:color="auto"/>
                    <w:left w:val="none" w:sz="0" w:space="0" w:color="auto"/>
                    <w:bottom w:val="none" w:sz="0" w:space="0" w:color="auto"/>
                    <w:right w:val="none" w:sz="0" w:space="0" w:color="auto"/>
                  </w:divBdr>
                  <w:divsChild>
                    <w:div w:id="524442783">
                      <w:marLeft w:val="0"/>
                      <w:marRight w:val="0"/>
                      <w:marTop w:val="0"/>
                      <w:marBottom w:val="0"/>
                      <w:divBdr>
                        <w:top w:val="none" w:sz="0" w:space="0" w:color="auto"/>
                        <w:left w:val="none" w:sz="0" w:space="0" w:color="auto"/>
                        <w:bottom w:val="none" w:sz="0" w:space="0" w:color="auto"/>
                        <w:right w:val="none" w:sz="0" w:space="0" w:color="auto"/>
                      </w:divBdr>
                      <w:divsChild>
                        <w:div w:id="1785540572">
                          <w:marLeft w:val="0"/>
                          <w:marRight w:val="0"/>
                          <w:marTop w:val="0"/>
                          <w:marBottom w:val="0"/>
                          <w:divBdr>
                            <w:top w:val="none" w:sz="0" w:space="0" w:color="auto"/>
                            <w:left w:val="none" w:sz="0" w:space="0" w:color="auto"/>
                            <w:bottom w:val="none" w:sz="0" w:space="0" w:color="auto"/>
                            <w:right w:val="none" w:sz="0" w:space="0" w:color="auto"/>
                          </w:divBdr>
                          <w:divsChild>
                            <w:div w:id="964846317">
                              <w:marLeft w:val="0"/>
                              <w:marRight w:val="0"/>
                              <w:marTop w:val="0"/>
                              <w:marBottom w:val="0"/>
                              <w:divBdr>
                                <w:top w:val="none" w:sz="0" w:space="0" w:color="auto"/>
                                <w:left w:val="none" w:sz="0" w:space="0" w:color="auto"/>
                                <w:bottom w:val="none" w:sz="0" w:space="0" w:color="auto"/>
                                <w:right w:val="none" w:sz="0" w:space="0" w:color="auto"/>
                              </w:divBdr>
                            </w:div>
                            <w:div w:id="139338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5554617">
          <w:marLeft w:val="0"/>
          <w:marRight w:val="0"/>
          <w:marTop w:val="0"/>
          <w:marBottom w:val="0"/>
          <w:divBdr>
            <w:top w:val="none" w:sz="0" w:space="0" w:color="auto"/>
            <w:left w:val="none" w:sz="0" w:space="0" w:color="auto"/>
            <w:bottom w:val="none" w:sz="0" w:space="0" w:color="auto"/>
            <w:right w:val="none" w:sz="0" w:space="0" w:color="auto"/>
          </w:divBdr>
          <w:divsChild>
            <w:div w:id="428166031">
              <w:marLeft w:val="0"/>
              <w:marRight w:val="0"/>
              <w:marTop w:val="0"/>
              <w:marBottom w:val="0"/>
              <w:divBdr>
                <w:top w:val="none" w:sz="0" w:space="0" w:color="auto"/>
                <w:left w:val="none" w:sz="0" w:space="0" w:color="auto"/>
                <w:bottom w:val="none" w:sz="0" w:space="0" w:color="auto"/>
                <w:right w:val="none" w:sz="0" w:space="0" w:color="auto"/>
              </w:divBdr>
              <w:divsChild>
                <w:div w:id="75944544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843739066">
          <w:marLeft w:val="0"/>
          <w:marRight w:val="0"/>
          <w:marTop w:val="0"/>
          <w:marBottom w:val="0"/>
          <w:divBdr>
            <w:top w:val="none" w:sz="0" w:space="0" w:color="auto"/>
            <w:left w:val="none" w:sz="0" w:space="0" w:color="auto"/>
            <w:bottom w:val="none" w:sz="0" w:space="0" w:color="auto"/>
            <w:right w:val="none" w:sz="0" w:space="0" w:color="auto"/>
          </w:divBdr>
          <w:divsChild>
            <w:div w:id="1674719982">
              <w:marLeft w:val="0"/>
              <w:marRight w:val="0"/>
              <w:marTop w:val="0"/>
              <w:marBottom w:val="0"/>
              <w:divBdr>
                <w:top w:val="none" w:sz="0" w:space="0" w:color="auto"/>
                <w:left w:val="none" w:sz="0" w:space="0" w:color="auto"/>
                <w:bottom w:val="none" w:sz="0" w:space="0" w:color="auto"/>
                <w:right w:val="none" w:sz="0" w:space="0" w:color="auto"/>
              </w:divBdr>
              <w:divsChild>
                <w:div w:id="105677931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33680628">
      <w:bodyDiv w:val="1"/>
      <w:marLeft w:val="0"/>
      <w:marRight w:val="0"/>
      <w:marTop w:val="0"/>
      <w:marBottom w:val="0"/>
      <w:divBdr>
        <w:top w:val="none" w:sz="0" w:space="0" w:color="auto"/>
        <w:left w:val="none" w:sz="0" w:space="0" w:color="auto"/>
        <w:bottom w:val="none" w:sz="0" w:space="0" w:color="auto"/>
        <w:right w:val="none" w:sz="0" w:space="0" w:color="auto"/>
      </w:divBdr>
    </w:div>
    <w:div w:id="638614123">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64359809">
      <w:bodyDiv w:val="1"/>
      <w:marLeft w:val="0"/>
      <w:marRight w:val="0"/>
      <w:marTop w:val="0"/>
      <w:marBottom w:val="0"/>
      <w:divBdr>
        <w:top w:val="none" w:sz="0" w:space="0" w:color="auto"/>
        <w:left w:val="none" w:sz="0" w:space="0" w:color="auto"/>
        <w:bottom w:val="none" w:sz="0" w:space="0" w:color="auto"/>
        <w:right w:val="none" w:sz="0" w:space="0" w:color="auto"/>
      </w:divBdr>
    </w:div>
    <w:div w:id="67491673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686566628">
      <w:bodyDiv w:val="1"/>
      <w:marLeft w:val="0"/>
      <w:marRight w:val="0"/>
      <w:marTop w:val="0"/>
      <w:marBottom w:val="0"/>
      <w:divBdr>
        <w:top w:val="none" w:sz="0" w:space="0" w:color="auto"/>
        <w:left w:val="none" w:sz="0" w:space="0" w:color="auto"/>
        <w:bottom w:val="none" w:sz="0" w:space="0" w:color="auto"/>
        <w:right w:val="none" w:sz="0" w:space="0" w:color="auto"/>
      </w:divBdr>
    </w:div>
    <w:div w:id="699550355">
      <w:bodyDiv w:val="1"/>
      <w:marLeft w:val="0"/>
      <w:marRight w:val="0"/>
      <w:marTop w:val="0"/>
      <w:marBottom w:val="0"/>
      <w:divBdr>
        <w:top w:val="none" w:sz="0" w:space="0" w:color="auto"/>
        <w:left w:val="none" w:sz="0" w:space="0" w:color="auto"/>
        <w:bottom w:val="none" w:sz="0" w:space="0" w:color="auto"/>
        <w:right w:val="none" w:sz="0" w:space="0" w:color="auto"/>
      </w:divBdr>
      <w:divsChild>
        <w:div w:id="895972868">
          <w:marLeft w:val="0"/>
          <w:marRight w:val="0"/>
          <w:marTop w:val="0"/>
          <w:marBottom w:val="225"/>
          <w:divBdr>
            <w:top w:val="none" w:sz="0" w:space="0" w:color="auto"/>
            <w:left w:val="none" w:sz="0" w:space="0" w:color="auto"/>
            <w:bottom w:val="none" w:sz="0" w:space="0" w:color="auto"/>
            <w:right w:val="none" w:sz="0" w:space="0" w:color="auto"/>
          </w:divBdr>
        </w:div>
      </w:divsChild>
    </w:div>
    <w:div w:id="727537372">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15688721">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887061732">
      <w:bodyDiv w:val="1"/>
      <w:marLeft w:val="0"/>
      <w:marRight w:val="0"/>
      <w:marTop w:val="0"/>
      <w:marBottom w:val="0"/>
      <w:divBdr>
        <w:top w:val="none" w:sz="0" w:space="0" w:color="auto"/>
        <w:left w:val="none" w:sz="0" w:space="0" w:color="auto"/>
        <w:bottom w:val="none" w:sz="0" w:space="0" w:color="auto"/>
        <w:right w:val="none" w:sz="0" w:space="0" w:color="auto"/>
      </w:divBdr>
    </w:div>
    <w:div w:id="919873822">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33055243">
      <w:bodyDiv w:val="1"/>
      <w:marLeft w:val="0"/>
      <w:marRight w:val="0"/>
      <w:marTop w:val="0"/>
      <w:marBottom w:val="0"/>
      <w:divBdr>
        <w:top w:val="none" w:sz="0" w:space="0" w:color="auto"/>
        <w:left w:val="none" w:sz="0" w:space="0" w:color="auto"/>
        <w:bottom w:val="none" w:sz="0" w:space="0" w:color="auto"/>
        <w:right w:val="none" w:sz="0" w:space="0" w:color="auto"/>
      </w:divBdr>
    </w:div>
    <w:div w:id="950894120">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962157079">
      <w:bodyDiv w:val="1"/>
      <w:marLeft w:val="0"/>
      <w:marRight w:val="0"/>
      <w:marTop w:val="0"/>
      <w:marBottom w:val="0"/>
      <w:divBdr>
        <w:top w:val="none" w:sz="0" w:space="0" w:color="auto"/>
        <w:left w:val="none" w:sz="0" w:space="0" w:color="auto"/>
        <w:bottom w:val="none" w:sz="0" w:space="0" w:color="auto"/>
        <w:right w:val="none" w:sz="0" w:space="0" w:color="auto"/>
      </w:divBdr>
    </w:div>
    <w:div w:id="1021321575">
      <w:bodyDiv w:val="1"/>
      <w:marLeft w:val="0"/>
      <w:marRight w:val="0"/>
      <w:marTop w:val="0"/>
      <w:marBottom w:val="0"/>
      <w:divBdr>
        <w:top w:val="none" w:sz="0" w:space="0" w:color="auto"/>
        <w:left w:val="none" w:sz="0" w:space="0" w:color="auto"/>
        <w:bottom w:val="none" w:sz="0" w:space="0" w:color="auto"/>
        <w:right w:val="none" w:sz="0" w:space="0" w:color="auto"/>
      </w:divBdr>
      <w:divsChild>
        <w:div w:id="537620520">
          <w:marLeft w:val="-420"/>
          <w:marRight w:val="0"/>
          <w:marTop w:val="0"/>
          <w:marBottom w:val="0"/>
          <w:divBdr>
            <w:top w:val="none" w:sz="0" w:space="0" w:color="auto"/>
            <w:left w:val="none" w:sz="0" w:space="0" w:color="auto"/>
            <w:bottom w:val="none" w:sz="0" w:space="0" w:color="auto"/>
            <w:right w:val="none" w:sz="0" w:space="0" w:color="auto"/>
          </w:divBdr>
          <w:divsChild>
            <w:div w:id="781999822">
              <w:marLeft w:val="0"/>
              <w:marRight w:val="0"/>
              <w:marTop w:val="0"/>
              <w:marBottom w:val="0"/>
              <w:divBdr>
                <w:top w:val="none" w:sz="0" w:space="0" w:color="auto"/>
                <w:left w:val="none" w:sz="0" w:space="0" w:color="auto"/>
                <w:bottom w:val="none" w:sz="0" w:space="0" w:color="auto"/>
                <w:right w:val="none" w:sz="0" w:space="0" w:color="auto"/>
              </w:divBdr>
              <w:divsChild>
                <w:div w:id="1935702346">
                  <w:marLeft w:val="0"/>
                  <w:marRight w:val="0"/>
                  <w:marTop w:val="0"/>
                  <w:marBottom w:val="0"/>
                  <w:divBdr>
                    <w:top w:val="none" w:sz="0" w:space="0" w:color="auto"/>
                    <w:left w:val="none" w:sz="0" w:space="0" w:color="auto"/>
                    <w:bottom w:val="none" w:sz="0" w:space="0" w:color="auto"/>
                    <w:right w:val="none" w:sz="0" w:space="0" w:color="auto"/>
                  </w:divBdr>
                  <w:divsChild>
                    <w:div w:id="205609290">
                      <w:marLeft w:val="0"/>
                      <w:marRight w:val="0"/>
                      <w:marTop w:val="0"/>
                      <w:marBottom w:val="0"/>
                      <w:divBdr>
                        <w:top w:val="none" w:sz="0" w:space="0" w:color="auto"/>
                        <w:left w:val="none" w:sz="0" w:space="0" w:color="auto"/>
                        <w:bottom w:val="none" w:sz="0" w:space="0" w:color="auto"/>
                        <w:right w:val="none" w:sz="0" w:space="0" w:color="auto"/>
                      </w:divBdr>
                    </w:div>
                    <w:div w:id="51465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871882">
          <w:marLeft w:val="-420"/>
          <w:marRight w:val="0"/>
          <w:marTop w:val="0"/>
          <w:marBottom w:val="0"/>
          <w:divBdr>
            <w:top w:val="none" w:sz="0" w:space="0" w:color="auto"/>
            <w:left w:val="none" w:sz="0" w:space="0" w:color="auto"/>
            <w:bottom w:val="none" w:sz="0" w:space="0" w:color="auto"/>
            <w:right w:val="none" w:sz="0" w:space="0" w:color="auto"/>
          </w:divBdr>
          <w:divsChild>
            <w:div w:id="1049304611">
              <w:marLeft w:val="0"/>
              <w:marRight w:val="0"/>
              <w:marTop w:val="0"/>
              <w:marBottom w:val="0"/>
              <w:divBdr>
                <w:top w:val="none" w:sz="0" w:space="0" w:color="auto"/>
                <w:left w:val="none" w:sz="0" w:space="0" w:color="auto"/>
                <w:bottom w:val="none" w:sz="0" w:space="0" w:color="auto"/>
                <w:right w:val="none" w:sz="0" w:space="0" w:color="auto"/>
              </w:divBdr>
              <w:divsChild>
                <w:div w:id="29767278">
                  <w:marLeft w:val="0"/>
                  <w:marRight w:val="0"/>
                  <w:marTop w:val="0"/>
                  <w:marBottom w:val="0"/>
                  <w:divBdr>
                    <w:top w:val="none" w:sz="0" w:space="0" w:color="auto"/>
                    <w:left w:val="none" w:sz="0" w:space="0" w:color="auto"/>
                    <w:bottom w:val="none" w:sz="0" w:space="0" w:color="auto"/>
                    <w:right w:val="none" w:sz="0" w:space="0" w:color="auto"/>
                  </w:divBdr>
                  <w:divsChild>
                    <w:div w:id="1670967">
                      <w:marLeft w:val="0"/>
                      <w:marRight w:val="0"/>
                      <w:marTop w:val="0"/>
                      <w:marBottom w:val="0"/>
                      <w:divBdr>
                        <w:top w:val="none" w:sz="0" w:space="0" w:color="auto"/>
                        <w:left w:val="none" w:sz="0" w:space="0" w:color="auto"/>
                        <w:bottom w:val="none" w:sz="0" w:space="0" w:color="auto"/>
                        <w:right w:val="none" w:sz="0" w:space="0" w:color="auto"/>
                      </w:divBdr>
                    </w:div>
                    <w:div w:id="559708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634192">
          <w:marLeft w:val="-420"/>
          <w:marRight w:val="0"/>
          <w:marTop w:val="0"/>
          <w:marBottom w:val="0"/>
          <w:divBdr>
            <w:top w:val="none" w:sz="0" w:space="0" w:color="auto"/>
            <w:left w:val="none" w:sz="0" w:space="0" w:color="auto"/>
            <w:bottom w:val="none" w:sz="0" w:space="0" w:color="auto"/>
            <w:right w:val="none" w:sz="0" w:space="0" w:color="auto"/>
          </w:divBdr>
          <w:divsChild>
            <w:div w:id="708527508">
              <w:marLeft w:val="0"/>
              <w:marRight w:val="0"/>
              <w:marTop w:val="0"/>
              <w:marBottom w:val="0"/>
              <w:divBdr>
                <w:top w:val="none" w:sz="0" w:space="0" w:color="auto"/>
                <w:left w:val="none" w:sz="0" w:space="0" w:color="auto"/>
                <w:bottom w:val="none" w:sz="0" w:space="0" w:color="auto"/>
                <w:right w:val="none" w:sz="0" w:space="0" w:color="auto"/>
              </w:divBdr>
              <w:divsChild>
                <w:div w:id="60568093">
                  <w:marLeft w:val="0"/>
                  <w:marRight w:val="0"/>
                  <w:marTop w:val="0"/>
                  <w:marBottom w:val="0"/>
                  <w:divBdr>
                    <w:top w:val="none" w:sz="0" w:space="0" w:color="auto"/>
                    <w:left w:val="none" w:sz="0" w:space="0" w:color="auto"/>
                    <w:bottom w:val="none" w:sz="0" w:space="0" w:color="auto"/>
                    <w:right w:val="none" w:sz="0" w:space="0" w:color="auto"/>
                  </w:divBdr>
                  <w:divsChild>
                    <w:div w:id="1008942608">
                      <w:marLeft w:val="0"/>
                      <w:marRight w:val="0"/>
                      <w:marTop w:val="0"/>
                      <w:marBottom w:val="0"/>
                      <w:divBdr>
                        <w:top w:val="none" w:sz="0" w:space="0" w:color="auto"/>
                        <w:left w:val="none" w:sz="0" w:space="0" w:color="auto"/>
                        <w:bottom w:val="none" w:sz="0" w:space="0" w:color="auto"/>
                        <w:right w:val="none" w:sz="0" w:space="0" w:color="auto"/>
                      </w:divBdr>
                    </w:div>
                    <w:div w:id="12462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897629">
          <w:marLeft w:val="-420"/>
          <w:marRight w:val="0"/>
          <w:marTop w:val="0"/>
          <w:marBottom w:val="0"/>
          <w:divBdr>
            <w:top w:val="none" w:sz="0" w:space="0" w:color="auto"/>
            <w:left w:val="none" w:sz="0" w:space="0" w:color="auto"/>
            <w:bottom w:val="none" w:sz="0" w:space="0" w:color="auto"/>
            <w:right w:val="none" w:sz="0" w:space="0" w:color="auto"/>
          </w:divBdr>
          <w:divsChild>
            <w:div w:id="1570580592">
              <w:marLeft w:val="0"/>
              <w:marRight w:val="0"/>
              <w:marTop w:val="0"/>
              <w:marBottom w:val="0"/>
              <w:divBdr>
                <w:top w:val="none" w:sz="0" w:space="0" w:color="auto"/>
                <w:left w:val="none" w:sz="0" w:space="0" w:color="auto"/>
                <w:bottom w:val="none" w:sz="0" w:space="0" w:color="auto"/>
                <w:right w:val="none" w:sz="0" w:space="0" w:color="auto"/>
              </w:divBdr>
              <w:divsChild>
                <w:div w:id="192545184">
                  <w:marLeft w:val="0"/>
                  <w:marRight w:val="0"/>
                  <w:marTop w:val="0"/>
                  <w:marBottom w:val="0"/>
                  <w:divBdr>
                    <w:top w:val="none" w:sz="0" w:space="0" w:color="auto"/>
                    <w:left w:val="none" w:sz="0" w:space="0" w:color="auto"/>
                    <w:bottom w:val="none" w:sz="0" w:space="0" w:color="auto"/>
                    <w:right w:val="none" w:sz="0" w:space="0" w:color="auto"/>
                  </w:divBdr>
                  <w:divsChild>
                    <w:div w:id="131219918">
                      <w:marLeft w:val="0"/>
                      <w:marRight w:val="0"/>
                      <w:marTop w:val="0"/>
                      <w:marBottom w:val="0"/>
                      <w:divBdr>
                        <w:top w:val="none" w:sz="0" w:space="0" w:color="auto"/>
                        <w:left w:val="none" w:sz="0" w:space="0" w:color="auto"/>
                        <w:bottom w:val="none" w:sz="0" w:space="0" w:color="auto"/>
                        <w:right w:val="none" w:sz="0" w:space="0" w:color="auto"/>
                      </w:divBdr>
                    </w:div>
                    <w:div w:id="173499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964452">
          <w:marLeft w:val="-420"/>
          <w:marRight w:val="0"/>
          <w:marTop w:val="0"/>
          <w:marBottom w:val="0"/>
          <w:divBdr>
            <w:top w:val="none" w:sz="0" w:space="0" w:color="auto"/>
            <w:left w:val="none" w:sz="0" w:space="0" w:color="auto"/>
            <w:bottom w:val="none" w:sz="0" w:space="0" w:color="auto"/>
            <w:right w:val="none" w:sz="0" w:space="0" w:color="auto"/>
          </w:divBdr>
          <w:divsChild>
            <w:div w:id="1227032453">
              <w:marLeft w:val="0"/>
              <w:marRight w:val="0"/>
              <w:marTop w:val="0"/>
              <w:marBottom w:val="0"/>
              <w:divBdr>
                <w:top w:val="none" w:sz="0" w:space="0" w:color="auto"/>
                <w:left w:val="none" w:sz="0" w:space="0" w:color="auto"/>
                <w:bottom w:val="none" w:sz="0" w:space="0" w:color="auto"/>
                <w:right w:val="none" w:sz="0" w:space="0" w:color="auto"/>
              </w:divBdr>
              <w:divsChild>
                <w:div w:id="1188789706">
                  <w:marLeft w:val="0"/>
                  <w:marRight w:val="0"/>
                  <w:marTop w:val="0"/>
                  <w:marBottom w:val="0"/>
                  <w:divBdr>
                    <w:top w:val="none" w:sz="0" w:space="0" w:color="auto"/>
                    <w:left w:val="none" w:sz="0" w:space="0" w:color="auto"/>
                    <w:bottom w:val="none" w:sz="0" w:space="0" w:color="auto"/>
                    <w:right w:val="none" w:sz="0" w:space="0" w:color="auto"/>
                  </w:divBdr>
                  <w:divsChild>
                    <w:div w:id="461925482">
                      <w:marLeft w:val="0"/>
                      <w:marRight w:val="0"/>
                      <w:marTop w:val="0"/>
                      <w:marBottom w:val="0"/>
                      <w:divBdr>
                        <w:top w:val="none" w:sz="0" w:space="0" w:color="auto"/>
                        <w:left w:val="none" w:sz="0" w:space="0" w:color="auto"/>
                        <w:bottom w:val="none" w:sz="0" w:space="0" w:color="auto"/>
                        <w:right w:val="none" w:sz="0" w:space="0" w:color="auto"/>
                      </w:divBdr>
                    </w:div>
                    <w:div w:id="69265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61446667">
      <w:bodyDiv w:val="1"/>
      <w:marLeft w:val="0"/>
      <w:marRight w:val="0"/>
      <w:marTop w:val="0"/>
      <w:marBottom w:val="0"/>
      <w:divBdr>
        <w:top w:val="none" w:sz="0" w:space="0" w:color="auto"/>
        <w:left w:val="none" w:sz="0" w:space="0" w:color="auto"/>
        <w:bottom w:val="none" w:sz="0" w:space="0" w:color="auto"/>
        <w:right w:val="none" w:sz="0" w:space="0" w:color="auto"/>
      </w:divBdr>
    </w:div>
    <w:div w:id="1106389152">
      <w:bodyDiv w:val="1"/>
      <w:marLeft w:val="0"/>
      <w:marRight w:val="0"/>
      <w:marTop w:val="0"/>
      <w:marBottom w:val="0"/>
      <w:divBdr>
        <w:top w:val="none" w:sz="0" w:space="0" w:color="auto"/>
        <w:left w:val="none" w:sz="0" w:space="0" w:color="auto"/>
        <w:bottom w:val="none" w:sz="0" w:space="0" w:color="auto"/>
        <w:right w:val="none" w:sz="0" w:space="0" w:color="auto"/>
      </w:divBdr>
    </w:div>
    <w:div w:id="1147087078">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306399039">
      <w:bodyDiv w:val="1"/>
      <w:marLeft w:val="0"/>
      <w:marRight w:val="0"/>
      <w:marTop w:val="0"/>
      <w:marBottom w:val="0"/>
      <w:divBdr>
        <w:top w:val="none" w:sz="0" w:space="0" w:color="auto"/>
        <w:left w:val="none" w:sz="0" w:space="0" w:color="auto"/>
        <w:bottom w:val="none" w:sz="0" w:space="0" w:color="auto"/>
        <w:right w:val="none" w:sz="0" w:space="0" w:color="auto"/>
      </w:divBdr>
      <w:divsChild>
        <w:div w:id="426075215">
          <w:marLeft w:val="0"/>
          <w:marRight w:val="0"/>
          <w:marTop w:val="0"/>
          <w:marBottom w:val="0"/>
          <w:divBdr>
            <w:top w:val="none" w:sz="0" w:space="0" w:color="auto"/>
            <w:left w:val="none" w:sz="0" w:space="0" w:color="auto"/>
            <w:bottom w:val="none" w:sz="0" w:space="0" w:color="auto"/>
            <w:right w:val="none" w:sz="0" w:space="0" w:color="auto"/>
          </w:divBdr>
          <w:divsChild>
            <w:div w:id="452401918">
              <w:marLeft w:val="0"/>
              <w:marRight w:val="0"/>
              <w:marTop w:val="0"/>
              <w:marBottom w:val="0"/>
              <w:divBdr>
                <w:top w:val="none" w:sz="0" w:space="0" w:color="auto"/>
                <w:left w:val="none" w:sz="0" w:space="0" w:color="auto"/>
                <w:bottom w:val="none" w:sz="0" w:space="0" w:color="auto"/>
                <w:right w:val="none" w:sz="0" w:space="0" w:color="auto"/>
              </w:divBdr>
            </w:div>
            <w:div w:id="462620447">
              <w:marLeft w:val="0"/>
              <w:marRight w:val="0"/>
              <w:marTop w:val="0"/>
              <w:marBottom w:val="0"/>
              <w:divBdr>
                <w:top w:val="none" w:sz="0" w:space="0" w:color="auto"/>
                <w:left w:val="none" w:sz="0" w:space="0" w:color="auto"/>
                <w:bottom w:val="none" w:sz="0" w:space="0" w:color="auto"/>
                <w:right w:val="none" w:sz="0" w:space="0" w:color="auto"/>
              </w:divBdr>
            </w:div>
            <w:div w:id="1027944244">
              <w:marLeft w:val="0"/>
              <w:marRight w:val="0"/>
              <w:marTop w:val="0"/>
              <w:marBottom w:val="0"/>
              <w:divBdr>
                <w:top w:val="none" w:sz="0" w:space="0" w:color="auto"/>
                <w:left w:val="none" w:sz="0" w:space="0" w:color="auto"/>
                <w:bottom w:val="none" w:sz="0" w:space="0" w:color="auto"/>
                <w:right w:val="none" w:sz="0" w:space="0" w:color="auto"/>
              </w:divBdr>
            </w:div>
            <w:div w:id="2133474976">
              <w:marLeft w:val="0"/>
              <w:marRight w:val="0"/>
              <w:marTop w:val="0"/>
              <w:marBottom w:val="0"/>
              <w:divBdr>
                <w:top w:val="none" w:sz="0" w:space="0" w:color="auto"/>
                <w:left w:val="none" w:sz="0" w:space="0" w:color="auto"/>
                <w:bottom w:val="none" w:sz="0" w:space="0" w:color="auto"/>
                <w:right w:val="none" w:sz="0" w:space="0" w:color="auto"/>
              </w:divBdr>
            </w:div>
          </w:divsChild>
        </w:div>
        <w:div w:id="1090657721">
          <w:marLeft w:val="0"/>
          <w:marRight w:val="0"/>
          <w:marTop w:val="0"/>
          <w:marBottom w:val="0"/>
          <w:divBdr>
            <w:top w:val="none" w:sz="0" w:space="0" w:color="auto"/>
            <w:left w:val="none" w:sz="0" w:space="0" w:color="auto"/>
            <w:bottom w:val="none" w:sz="0" w:space="0" w:color="auto"/>
            <w:right w:val="none" w:sz="0" w:space="0" w:color="auto"/>
          </w:divBdr>
        </w:div>
        <w:div w:id="1309868835">
          <w:marLeft w:val="0"/>
          <w:marRight w:val="0"/>
          <w:marTop w:val="0"/>
          <w:marBottom w:val="0"/>
          <w:divBdr>
            <w:top w:val="none" w:sz="0" w:space="0" w:color="auto"/>
            <w:left w:val="none" w:sz="0" w:space="0" w:color="auto"/>
            <w:bottom w:val="none" w:sz="0" w:space="0" w:color="auto"/>
            <w:right w:val="none" w:sz="0" w:space="0" w:color="auto"/>
          </w:divBdr>
        </w:div>
      </w:divsChild>
    </w:div>
    <w:div w:id="1374498453">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74323222">
      <w:bodyDiv w:val="1"/>
      <w:marLeft w:val="0"/>
      <w:marRight w:val="0"/>
      <w:marTop w:val="0"/>
      <w:marBottom w:val="0"/>
      <w:divBdr>
        <w:top w:val="none" w:sz="0" w:space="0" w:color="auto"/>
        <w:left w:val="none" w:sz="0" w:space="0" w:color="auto"/>
        <w:bottom w:val="none" w:sz="0" w:space="0" w:color="auto"/>
        <w:right w:val="none" w:sz="0" w:space="0" w:color="auto"/>
      </w:divBdr>
    </w:div>
    <w:div w:id="1476220565">
      <w:bodyDiv w:val="1"/>
      <w:marLeft w:val="0"/>
      <w:marRight w:val="0"/>
      <w:marTop w:val="0"/>
      <w:marBottom w:val="0"/>
      <w:divBdr>
        <w:top w:val="none" w:sz="0" w:space="0" w:color="auto"/>
        <w:left w:val="none" w:sz="0" w:space="0" w:color="auto"/>
        <w:bottom w:val="none" w:sz="0" w:space="0" w:color="auto"/>
        <w:right w:val="none" w:sz="0" w:space="0" w:color="auto"/>
      </w:divBdr>
    </w:div>
    <w:div w:id="1493448158">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15738321">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30105695">
      <w:bodyDiv w:val="1"/>
      <w:marLeft w:val="0"/>
      <w:marRight w:val="0"/>
      <w:marTop w:val="0"/>
      <w:marBottom w:val="0"/>
      <w:divBdr>
        <w:top w:val="none" w:sz="0" w:space="0" w:color="auto"/>
        <w:left w:val="none" w:sz="0" w:space="0" w:color="auto"/>
        <w:bottom w:val="none" w:sz="0" w:space="0" w:color="auto"/>
        <w:right w:val="none" w:sz="0" w:space="0" w:color="auto"/>
      </w:divBdr>
    </w:div>
    <w:div w:id="1751345307">
      <w:bodyDiv w:val="1"/>
      <w:marLeft w:val="0"/>
      <w:marRight w:val="0"/>
      <w:marTop w:val="0"/>
      <w:marBottom w:val="0"/>
      <w:divBdr>
        <w:top w:val="none" w:sz="0" w:space="0" w:color="auto"/>
        <w:left w:val="none" w:sz="0" w:space="0" w:color="auto"/>
        <w:bottom w:val="none" w:sz="0" w:space="0" w:color="auto"/>
        <w:right w:val="none" w:sz="0" w:space="0" w:color="auto"/>
      </w:divBdr>
    </w:div>
    <w:div w:id="1774283631">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931770563">
      <w:bodyDiv w:val="1"/>
      <w:marLeft w:val="0"/>
      <w:marRight w:val="0"/>
      <w:marTop w:val="0"/>
      <w:marBottom w:val="0"/>
      <w:divBdr>
        <w:top w:val="none" w:sz="0" w:space="0" w:color="auto"/>
        <w:left w:val="none" w:sz="0" w:space="0" w:color="auto"/>
        <w:bottom w:val="none" w:sz="0" w:space="0" w:color="auto"/>
        <w:right w:val="none" w:sz="0" w:space="0" w:color="auto"/>
      </w:divBdr>
    </w:div>
    <w:div w:id="193489911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1971589778">
      <w:bodyDiv w:val="1"/>
      <w:marLeft w:val="0"/>
      <w:marRight w:val="0"/>
      <w:marTop w:val="0"/>
      <w:marBottom w:val="0"/>
      <w:divBdr>
        <w:top w:val="none" w:sz="0" w:space="0" w:color="auto"/>
        <w:left w:val="none" w:sz="0" w:space="0" w:color="auto"/>
        <w:bottom w:val="none" w:sz="0" w:space="0" w:color="auto"/>
        <w:right w:val="none" w:sz="0" w:space="0" w:color="auto"/>
      </w:divBdr>
    </w:div>
    <w:div w:id="200030210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31754240">
      <w:bodyDiv w:val="1"/>
      <w:marLeft w:val="0"/>
      <w:marRight w:val="0"/>
      <w:marTop w:val="0"/>
      <w:marBottom w:val="0"/>
      <w:divBdr>
        <w:top w:val="none" w:sz="0" w:space="0" w:color="auto"/>
        <w:left w:val="none" w:sz="0" w:space="0" w:color="auto"/>
        <w:bottom w:val="none" w:sz="0" w:space="0" w:color="auto"/>
        <w:right w:val="none" w:sz="0" w:space="0" w:color="auto"/>
      </w:divBdr>
    </w:div>
    <w:div w:id="204409562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250747864">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 w:id="4798072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3455528">
      <w:bodyDiv w:val="1"/>
      <w:marLeft w:val="0"/>
      <w:marRight w:val="0"/>
      <w:marTop w:val="0"/>
      <w:marBottom w:val="0"/>
      <w:divBdr>
        <w:top w:val="none" w:sz="0" w:space="0" w:color="auto"/>
        <w:left w:val="none" w:sz="0" w:space="0" w:color="auto"/>
        <w:bottom w:val="none" w:sz="0" w:space="0" w:color="auto"/>
        <w:right w:val="none" w:sz="0" w:space="0" w:color="auto"/>
      </w:divBdr>
    </w:div>
    <w:div w:id="2106027218">
      <w:bodyDiv w:val="1"/>
      <w:marLeft w:val="0"/>
      <w:marRight w:val="0"/>
      <w:marTop w:val="0"/>
      <w:marBottom w:val="0"/>
      <w:divBdr>
        <w:top w:val="none" w:sz="0" w:space="0" w:color="auto"/>
        <w:left w:val="none" w:sz="0" w:space="0" w:color="auto"/>
        <w:bottom w:val="none" w:sz="0" w:space="0" w:color="auto"/>
        <w:right w:val="none" w:sz="0" w:space="0" w:color="auto"/>
      </w:divBdr>
    </w:div>
    <w:div w:id="2119178537">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26"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5" Type="http://schemas.openxmlformats.org/officeDocument/2006/relationships/header" Target="header1.xml"/><Relationship Id="rId2" Type="http://schemas.openxmlformats.org/officeDocument/2006/relationships/numbering" Target="numbering.xml"/><Relationship Id="rId29"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28" Type="http://schemas.openxmlformats.org/officeDocument/2006/relationships/theme" Target="theme/theme1.xml"/><Relationship Id="rId31" Type="http://schemas.openxmlformats.org/officeDocument/2006/relationships/customXml" Target="../customXml/item4.xml"/><Relationship Id="rId4" Type="http://schemas.openxmlformats.org/officeDocument/2006/relationships/settings" Target="settings.xml"/><Relationship Id="rId27" Type="http://schemas.openxmlformats.org/officeDocument/2006/relationships/fontTable" Target="fontTable.xml"/><Relationship Id="rId30"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5.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7423508D-7EB8-40D7-B398-2E6B8F90070A}"/>
</file>

<file path=customXml/itemProps3.xml><?xml version="1.0" encoding="utf-8"?>
<ds:datastoreItem xmlns:ds="http://schemas.openxmlformats.org/officeDocument/2006/customXml" ds:itemID="{A26CBABD-347F-486E-8611-EE15FDAE0DD8}"/>
</file>

<file path=customXml/itemProps4.xml><?xml version="1.0" encoding="utf-8"?>
<ds:datastoreItem xmlns:ds="http://schemas.openxmlformats.org/officeDocument/2006/customXml" ds:itemID="{325ECEB4-B101-4A46-9CBE-E4E86BA785B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dserna@apeseg.org.pe</cp:lastModifiedBy>
  <cp:revision>37</cp:revision>
  <cp:lastPrinted>2025-09-08T19:36:00Z</cp:lastPrinted>
  <dcterms:created xsi:type="dcterms:W3CDTF">2025-09-08T17:06:00Z</dcterms:created>
  <dcterms:modified xsi:type="dcterms:W3CDTF">2026-05-05T15:50:28Z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