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35770" w:rsidR="00D12B6B" w:rsidP="001546A4" w:rsidRDefault="00D12B6B" w14:paraId="450BB199" w14:textId="77777777">
      <w:pPr>
        <w:spacing w:after="0" w:line="240" w:lineRule="auto"/>
        <w:jc w:val="center"/>
        <w:rPr>
          <w:rFonts w:ascii="Times New Roman" w:hAnsi="Times New Roman" w:cs="Times New Roman"/>
          <w:b/>
          <w:sz w:val="24"/>
          <w:szCs w:val="24"/>
          <w:lang w:val="es-PE" w:eastAsia="ar-SA"/>
        </w:rPr>
      </w:pPr>
    </w:p>
    <w:p w:rsidRPr="00460623" w:rsidR="00460623" w:rsidP="00B00DFA" w:rsidRDefault="00201C0D" w14:paraId="733C086F" w14:textId="152780CC">
      <w:pPr>
        <w:spacing w:after="0" w:line="240" w:lineRule="auto"/>
        <w:jc w:val="center"/>
        <w:rPr>
          <w:rFonts w:ascii="Times New Roman" w:hAnsi="Times New Roman" w:cs="Times New Roman"/>
          <w:b/>
          <w:sz w:val="23"/>
          <w:szCs w:val="23"/>
          <w:lang w:val="es-PE" w:eastAsia="ar-SA"/>
        </w:rPr>
      </w:pPr>
      <w:r w:rsidRPr="00AD2EE7">
        <w:rPr>
          <w:rFonts w:ascii="Times New Roman" w:hAnsi="Times New Roman" w:cs="Times New Roman"/>
          <w:b/>
          <w:sz w:val="23"/>
          <w:szCs w:val="23"/>
          <w:lang w:val="es-PE" w:eastAsia="ar-SA"/>
        </w:rPr>
        <w:t xml:space="preserve">RESOLUCIÓN </w:t>
      </w:r>
      <w:r w:rsidRPr="00AD2EE7" w:rsidR="00D12B6B">
        <w:rPr>
          <w:rFonts w:ascii="Times New Roman" w:hAnsi="Times New Roman" w:cs="Times New Roman"/>
          <w:b/>
          <w:sz w:val="23"/>
          <w:szCs w:val="23"/>
          <w:lang w:val="es-PE" w:eastAsia="ar-SA"/>
        </w:rPr>
        <w:t>N</w:t>
      </w:r>
      <w:r w:rsidRPr="00AD2EE7" w:rsidR="000026A3">
        <w:rPr>
          <w:rFonts w:ascii="Times New Roman" w:hAnsi="Times New Roman" w:cs="Times New Roman"/>
          <w:b/>
          <w:sz w:val="23"/>
          <w:szCs w:val="23"/>
          <w:lang w:val="es-PE" w:eastAsia="ar-SA"/>
        </w:rPr>
        <w:t>°1</w:t>
      </w:r>
      <w:r w:rsidRPr="00AD2EE7" w:rsidR="00A8505A">
        <w:rPr>
          <w:rFonts w:ascii="Times New Roman" w:hAnsi="Times New Roman" w:cs="Times New Roman"/>
          <w:b/>
          <w:sz w:val="23"/>
          <w:szCs w:val="23"/>
          <w:lang w:val="es-PE" w:eastAsia="ar-SA"/>
        </w:rPr>
        <w:t>4</w:t>
      </w:r>
      <w:r w:rsidR="00AE5E6E">
        <w:rPr>
          <w:rFonts w:ascii="Times New Roman" w:hAnsi="Times New Roman" w:cs="Times New Roman"/>
          <w:b/>
          <w:sz w:val="23"/>
          <w:szCs w:val="23"/>
          <w:lang w:val="es-PE" w:eastAsia="ar-SA"/>
        </w:rPr>
        <w:t>7</w:t>
      </w:r>
      <w:r w:rsidRPr="00AD2EE7" w:rsidR="00AA2AA2">
        <w:rPr>
          <w:rFonts w:ascii="Times New Roman" w:hAnsi="Times New Roman" w:cs="Times New Roman"/>
          <w:b/>
          <w:sz w:val="23"/>
          <w:szCs w:val="23"/>
          <w:lang w:val="es-PE" w:eastAsia="ar-SA"/>
        </w:rPr>
        <w:t>/25</w:t>
      </w:r>
      <w:bookmarkStart w:name="_Hlk198053358" w:id="0"/>
    </w:p>
    <w:p w:rsidRPr="00460623" w:rsidR="00460623" w:rsidP="00460623" w:rsidRDefault="00460623" w14:paraId="1CCD9ECF" w14:textId="61B390C8">
      <w:pPr>
        <w:spacing w:after="200" w:line="240" w:lineRule="auto"/>
        <w:jc w:val="both"/>
        <w:rPr>
          <w:rFonts w:ascii="Times New Roman" w:hAnsi="Times New Roman" w:cs="Times New Roman"/>
          <w:b/>
          <w:bCs/>
          <w:sz w:val="23"/>
          <w:szCs w:val="23"/>
          <w:lang w:val="es-PE"/>
        </w:rPr>
      </w:pPr>
      <w:r w:rsidRPr="00460623">
        <w:rPr>
          <w:rFonts w:ascii="Times New Roman" w:hAnsi="Times New Roman" w:cs="Times New Roman"/>
          <w:b/>
          <w:bCs/>
          <w:sz w:val="23"/>
          <w:szCs w:val="23"/>
          <w:lang w:val="es-PE"/>
        </w:rPr>
        <w:t>Vistos:</w:t>
      </w:r>
    </w:p>
    <w:p w:rsidRPr="00460623" w:rsidR="00460623" w:rsidP="54D64809" w:rsidRDefault="00460623" w14:paraId="47D69D55" w14:textId="55CBF37C">
      <w:pPr>
        <w:pStyle w:val="Normal"/>
        <w:spacing w:after="200" w:line="240" w:lineRule="auto"/>
        <w:jc w:val="both"/>
        <w:rPr>
          <w:rFonts w:ascii="Times New Roman" w:hAnsi="Times New Roman" w:cs="Times New Roman"/>
          <w:sz w:val="23"/>
          <w:szCs w:val="23"/>
          <w:lang w:val="es-PE"/>
        </w:rPr>
      </w:pPr>
      <w:r w:rsidRPr="54D64809" w:rsidR="00460623">
        <w:rPr>
          <w:rFonts w:ascii="Times New Roman" w:hAnsi="Times New Roman" w:cs="Times New Roman"/>
          <w:sz w:val="23"/>
          <w:szCs w:val="23"/>
          <w:lang w:val="es-PE"/>
        </w:rPr>
        <w:t xml:space="preserve">Que, con fecha 02 de junio de 2025 doña </w:t>
      </w:r>
      <w:r w:rsidRPr="54D64809" w:rsidR="26ECBCF5">
        <w:rPr>
          <w:rFonts w:ascii="Times New Roman" w:hAnsi="Times New Roman" w:cs="Times New Roman"/>
          <w:sz w:val="23"/>
          <w:szCs w:val="23"/>
          <w:lang w:val="es-PE"/>
        </w:rPr>
        <w:t>...................................................................................</w:t>
      </w:r>
      <w:r w:rsidRPr="54D64809" w:rsidR="00460623">
        <w:rPr>
          <w:rFonts w:ascii="Times New Roman" w:hAnsi="Times New Roman" w:cs="Times New Roman"/>
          <w:sz w:val="23"/>
          <w:szCs w:val="23"/>
          <w:lang w:val="es-PE"/>
        </w:rPr>
        <w:t xml:space="preserve"> interpone reclamación ante esta Defensoría del Asegurado (DEFASEG) solicitando que </w:t>
      </w:r>
      <w:r w:rsidRPr="54D64809" w:rsidR="7BC7BF9F">
        <w:rPr>
          <w:rFonts w:ascii="Times New Roman" w:hAnsi="Times New Roman" w:cs="Times New Roman"/>
          <w:sz w:val="23"/>
          <w:szCs w:val="23"/>
          <w:lang w:val="es-PE"/>
        </w:rPr>
        <w:t>...................................................................................</w:t>
      </w:r>
      <w:r w:rsidRPr="54D64809" w:rsidR="00460623">
        <w:rPr>
          <w:rFonts w:ascii="Times New Roman" w:hAnsi="Times New Roman" w:cs="Times New Roman"/>
          <w:sz w:val="23"/>
          <w:szCs w:val="23"/>
          <w:lang w:val="es-PE"/>
        </w:rPr>
        <w:t xml:space="preserve"> (</w:t>
      </w:r>
      <w:r w:rsidRPr="54D64809" w:rsidR="27F29FC3">
        <w:rPr>
          <w:rFonts w:ascii="Times New Roman" w:hAnsi="Times New Roman" w:cs="Times New Roman"/>
          <w:sz w:val="23"/>
          <w:szCs w:val="23"/>
          <w:lang w:val="es-PE"/>
        </w:rPr>
        <w:t>........................</w:t>
      </w:r>
      <w:r w:rsidRPr="54D64809" w:rsidR="00460623">
        <w:rPr>
          <w:rFonts w:ascii="Times New Roman" w:hAnsi="Times New Roman" w:cs="Times New Roman"/>
          <w:sz w:val="23"/>
          <w:szCs w:val="23"/>
          <w:lang w:val="es-PE"/>
        </w:rPr>
        <w:t>) otorgue cobertura por invalidez total y permanente conforme a la póliza de seguro de desgravamen contratada a través de Financiera OH.</w:t>
      </w:r>
    </w:p>
    <w:p w:rsidRPr="00460623" w:rsidR="00460623" w:rsidP="00460623" w:rsidRDefault="00460623" w14:paraId="3EA8EA6B" w14:textId="37378012">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Que, la señalada reclamación cumple con los requisitos de materia, cuantía y oportunidad establecidos en el Reglamento de la DEFASEG (http://www.defaseg.com.pe/reglamento);</w:t>
      </w:r>
    </w:p>
    <w:p w:rsidRPr="00460623" w:rsidR="00460623" w:rsidP="00460623" w:rsidRDefault="00460623" w14:paraId="3A8897D1" w14:textId="3725B4B3">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 xml:space="preserve">Que, habiéndosele corrido traslado de la respectiva reclamación, la aseguradora solicitó un plazo adicional para presentar sus descargos, los cuales finalmente presenta el 16 de julio de 2025 y amplía con fecha 05 de agosto de 2025. </w:t>
      </w:r>
    </w:p>
    <w:p w:rsidRPr="00460623" w:rsidR="00460623" w:rsidP="00460623" w:rsidRDefault="00460623" w14:paraId="7E34A02A" w14:textId="69B2417C">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 xml:space="preserve">Que, el 15 de setiembre de 2025 se realizó la audiencia virtual de vista con la participación de ambas partes a través de la plataforma habilitada para dicho efecto, oportunidad en la cual cada parte sustentó su respectiva posición, absolviendo las diversas preguntas formuladas por este colegiado, conforme consta de la correspondiente acta; </w:t>
      </w:r>
    </w:p>
    <w:p w:rsidRPr="00460623" w:rsidR="00460623" w:rsidP="00460623" w:rsidRDefault="00460623" w14:paraId="20105B7A" w14:textId="29288B03">
      <w:pPr>
        <w:spacing w:after="200" w:line="240" w:lineRule="auto"/>
        <w:jc w:val="both"/>
        <w:rPr>
          <w:rFonts w:ascii="Times New Roman" w:hAnsi="Times New Roman" w:cs="Times New Roman"/>
          <w:sz w:val="23"/>
          <w:szCs w:val="23"/>
          <w:lang w:val="es-ES"/>
        </w:rPr>
      </w:pPr>
      <w:r w:rsidRPr="54D64809" w:rsidR="00460623">
        <w:rPr>
          <w:rFonts w:ascii="Times New Roman" w:hAnsi="Times New Roman" w:cs="Times New Roman"/>
          <w:sz w:val="23"/>
          <w:szCs w:val="23"/>
          <w:lang w:val="es-PE"/>
        </w:rPr>
        <w:t xml:space="preserve">Que, la reclamante sustenta su pretensión resumidamente en lo siguiente: </w:t>
      </w:r>
      <w:r w:rsidRPr="54D64809" w:rsidR="00460623">
        <w:rPr>
          <w:rFonts w:ascii="Times New Roman" w:hAnsi="Times New Roman" w:cs="Times New Roman"/>
          <w:sz w:val="23"/>
          <w:szCs w:val="23"/>
          <w:lang w:val="es-ES"/>
        </w:rPr>
        <w:t xml:space="preserve">a) Con fecha 12.08.22 le ofrecieron una tarjeta de crédito por S/2,500 con seguro de protección de tarjeta; posteriormente en marzo 2023 le ofrecieron un préstamo por S/14,800 en 36 cuotas, el cual aceptó por motivos de salud ya que tuvo una intervención quirúrgica, llegando a pagar 17 cuotas del citado préstamo (el cual figura como un crédito efectivo en el estado de cuenta de su tarjeta de crédito); ello originó un seguro de desgravamen cuyo contenido no desconoce; b) al verse complicado su estado de salud en setiembre de 2024 fue evaluada por la Comisión Médica del Hospital San José de Chincha del Ministerio de Salud, asignándole una discapacidad severa y un porcentaje de restricción en la participación del 16.67%; dicho documento fue remitido a </w:t>
      </w:r>
      <w:r w:rsidRPr="54D64809" w:rsidR="27F29FC3">
        <w:rPr>
          <w:rFonts w:ascii="Times New Roman" w:hAnsi="Times New Roman" w:cs="Times New Roman"/>
          <w:sz w:val="23"/>
          <w:szCs w:val="23"/>
          <w:lang w:val="es-ES"/>
        </w:rPr>
        <w:t>........................</w:t>
      </w:r>
      <w:r w:rsidRPr="54D64809" w:rsidR="00460623">
        <w:rPr>
          <w:rFonts w:ascii="Times New Roman" w:hAnsi="Times New Roman" w:cs="Times New Roman"/>
          <w:sz w:val="23"/>
          <w:szCs w:val="23"/>
          <w:lang w:val="es-ES"/>
        </w:rPr>
        <w:t xml:space="preserve"> (Financiera OH) junto con el carné de CONADIS; c) después de reiteradas llamadas, el 06.12.2024 le indican que su solicitud es improcedente dado que no cumple con los criterios necesarios para una invalidez total y permanente conforme a la póliza de seguro; d) aclara que el SPP califica la naturaleza de la invalidez con su propio formato y política, mientras que </w:t>
      </w:r>
      <w:r w:rsidRPr="54D64809" w:rsidR="00460623">
        <w:rPr>
          <w:rFonts w:ascii="Times New Roman" w:hAnsi="Times New Roman" w:cs="Times New Roman"/>
          <w:sz w:val="23"/>
          <w:szCs w:val="23"/>
          <w:lang w:val="es-ES"/>
        </w:rPr>
        <w:t>Essalud</w:t>
      </w:r>
      <w:r w:rsidRPr="54D64809" w:rsidR="00460623">
        <w:rPr>
          <w:rFonts w:ascii="Times New Roman" w:hAnsi="Times New Roman" w:cs="Times New Roman"/>
          <w:sz w:val="23"/>
          <w:szCs w:val="23"/>
          <w:lang w:val="es-ES"/>
        </w:rPr>
        <w:t xml:space="preserve"> califica el grado de limitación en la vida diaria y cuenta con otro formato;  e) la aseguradora la está obligando a presentar un dictamen de COMAFP o COMEC que indique grado de invalidez del 66.66% ignorando el certificado de discapacidad; es decir, se está interpretando la cobertura de invalidez como mejor les conviene, ya que en la póliza dice que puede presentarse un certificado de </w:t>
      </w:r>
      <w:r w:rsidRPr="54D64809" w:rsidR="00460623">
        <w:rPr>
          <w:rFonts w:ascii="Times New Roman" w:hAnsi="Times New Roman" w:cs="Times New Roman"/>
          <w:sz w:val="23"/>
          <w:szCs w:val="23"/>
          <w:lang w:val="es-ES"/>
        </w:rPr>
        <w:t>Essalud</w:t>
      </w:r>
      <w:r w:rsidRPr="54D64809" w:rsidR="00460623">
        <w:rPr>
          <w:rFonts w:ascii="Times New Roman" w:hAnsi="Times New Roman" w:cs="Times New Roman"/>
          <w:sz w:val="23"/>
          <w:szCs w:val="23"/>
          <w:lang w:val="es-ES"/>
        </w:rPr>
        <w:t xml:space="preserve"> o Ministerio de Salud; y, no es lo mismo “restricción en la participación” que “menoscabo”, la restricción se refiere a las dificultades que tiene la persona al involucrase en situaciones vitales y entornos sociales, es una consecuencia de las limitaciones en la actividad diaria y los factores contextuales; mientras que menoscabo se refiere a una pérdida o anormalidad de una estructura o función psicológica, fisiológica o anatómica, es decir, un aspecto biológico o estructural; f) añade que a tanta insistencia de la aseguradora solicitó ante la SBS el dictamen médico expedido por COMAFP o COMEC para lo cual adjunta su respuesta; agrega que las personas con discapacidad tienen derecho a servicios bancarios en igualdad de condiciones, sin discriminación; y que se les debe garantizar la accesibilidad a los servicios y productos incluyendo ajustes razonables para facilitar su participación g) asimismo, indica que  visualiza con sorpresa en el estado de cuenta de su tarjeta de crédito, que su deuda se canceló en setiembre 2024 (figura traslado por castigo), pero luego aumentaron intereses elevados sin explicación alguna y hasta el día de hoy aluden que su deuda es de S/14,000, cuando 17 cuotas fueron pagadas; por tal motivo y por encontrarse con suspensión imperfecta ya no puede seguir </w:t>
      </w:r>
      <w:r w:rsidRPr="54D64809" w:rsidR="00460623">
        <w:rPr>
          <w:rFonts w:ascii="Times New Roman" w:hAnsi="Times New Roman" w:cs="Times New Roman"/>
          <w:sz w:val="23"/>
          <w:szCs w:val="23"/>
          <w:lang w:val="es-ES"/>
        </w:rPr>
        <w:t>cumplimiento sus compromisos económicos, lo que fue de conocimiento de Financiera Oh y la aseguradora; h) por lo tanto recurre a la DEFASEG y solicita lo siguiente: (i) que se declare procedente la activación de su seguro de desgravamen ya que presenta una discapacidad severa y cese la marginación con su persona; (</w:t>
      </w:r>
      <w:r w:rsidRPr="54D64809" w:rsidR="00460623">
        <w:rPr>
          <w:rFonts w:ascii="Times New Roman" w:hAnsi="Times New Roman" w:cs="Times New Roman"/>
          <w:sz w:val="23"/>
          <w:szCs w:val="23"/>
          <w:lang w:val="es-ES"/>
        </w:rPr>
        <w:t>ii</w:t>
      </w:r>
      <w:r w:rsidRPr="54D64809" w:rsidR="00460623">
        <w:rPr>
          <w:rFonts w:ascii="Times New Roman" w:hAnsi="Times New Roman" w:cs="Times New Roman"/>
          <w:sz w:val="23"/>
          <w:szCs w:val="23"/>
          <w:lang w:val="es-ES"/>
        </w:rPr>
        <w:t xml:space="preserve">) solicita la devolución de prima por S/584.60 (adjunta una constancia de cancelación del seguro Desempleo Involuntario e Incapacidad Temporal Póliza </w:t>
      </w:r>
      <w:r w:rsidRPr="54D64809" w:rsidR="00460623">
        <w:rPr>
          <w:rFonts w:ascii="Times New Roman" w:hAnsi="Times New Roman" w:cs="Times New Roman"/>
          <w:sz w:val="23"/>
          <w:szCs w:val="23"/>
          <w:lang w:val="es-ES"/>
        </w:rPr>
        <w:t>N°</w:t>
      </w:r>
      <w:r w:rsidRPr="54D64809" w:rsidR="00460623">
        <w:rPr>
          <w:rFonts w:ascii="Times New Roman" w:hAnsi="Times New Roman" w:cs="Times New Roman"/>
          <w:sz w:val="23"/>
          <w:szCs w:val="23"/>
          <w:lang w:val="es-ES"/>
        </w:rPr>
        <w:t xml:space="preserve"> </w:t>
      </w:r>
      <w:r w:rsidRPr="54D64809" w:rsidR="589273A8">
        <w:rPr>
          <w:rFonts w:ascii="Times New Roman" w:hAnsi="Times New Roman" w:cs="Times New Roman"/>
          <w:sz w:val="23"/>
          <w:szCs w:val="23"/>
          <w:lang w:val="es-ES"/>
        </w:rPr>
        <w:t>........................</w:t>
      </w:r>
      <w:r w:rsidRPr="54D64809" w:rsidR="00460623">
        <w:rPr>
          <w:rFonts w:ascii="Times New Roman" w:hAnsi="Times New Roman" w:cs="Times New Roman"/>
          <w:sz w:val="23"/>
          <w:szCs w:val="23"/>
          <w:lang w:val="es-ES"/>
        </w:rPr>
        <w:t xml:space="preserve"> cuya prima era de S/584.60 anulada el 08.07.2024; (</w:t>
      </w:r>
      <w:r w:rsidRPr="54D64809" w:rsidR="00460623">
        <w:rPr>
          <w:rFonts w:ascii="Times New Roman" w:hAnsi="Times New Roman" w:cs="Times New Roman"/>
          <w:sz w:val="23"/>
          <w:szCs w:val="23"/>
          <w:lang w:val="es-ES"/>
        </w:rPr>
        <w:t>iii</w:t>
      </w:r>
      <w:r w:rsidRPr="54D64809" w:rsidR="00460623">
        <w:rPr>
          <w:rFonts w:ascii="Times New Roman" w:hAnsi="Times New Roman" w:cs="Times New Roman"/>
          <w:sz w:val="23"/>
          <w:szCs w:val="23"/>
          <w:lang w:val="es-ES"/>
        </w:rPr>
        <w:t>) devolución del depósito del 16.07.2024 por S/333.60 que fuera descontando injustamente (adjunta una comunicación de Financiera OH, donde le indican que se procedió con la devolución proporcional del monto de S/333.60);  relacionado al Seguro de Protección Financiera OH por los días no coberturas del producto, en atención a un reclamo ingresado el 29.10.24; (</w:t>
      </w:r>
      <w:r w:rsidRPr="54D64809" w:rsidR="00460623">
        <w:rPr>
          <w:rFonts w:ascii="Times New Roman" w:hAnsi="Times New Roman" w:cs="Times New Roman"/>
          <w:sz w:val="23"/>
          <w:szCs w:val="23"/>
          <w:lang w:val="es-ES"/>
        </w:rPr>
        <w:t>iv</w:t>
      </w:r>
      <w:r w:rsidRPr="54D64809" w:rsidR="00460623">
        <w:rPr>
          <w:rFonts w:ascii="Times New Roman" w:hAnsi="Times New Roman" w:cs="Times New Roman"/>
          <w:sz w:val="23"/>
          <w:szCs w:val="23"/>
          <w:lang w:val="es-ES"/>
        </w:rPr>
        <w:t xml:space="preserve">) solicita el seguro de protección de tarjeta que </w:t>
      </w:r>
      <w:r w:rsidRPr="54D64809" w:rsidR="27F29FC3">
        <w:rPr>
          <w:rFonts w:ascii="Times New Roman" w:hAnsi="Times New Roman" w:cs="Times New Roman"/>
          <w:sz w:val="23"/>
          <w:szCs w:val="23"/>
          <w:lang w:val="es-ES"/>
        </w:rPr>
        <w:t>........................</w:t>
      </w:r>
      <w:r w:rsidRPr="54D64809" w:rsidR="00460623">
        <w:rPr>
          <w:rFonts w:ascii="Times New Roman" w:hAnsi="Times New Roman" w:cs="Times New Roman"/>
          <w:sz w:val="23"/>
          <w:szCs w:val="23"/>
          <w:lang w:val="es-ES"/>
        </w:rPr>
        <w:t xml:space="preserve"> está negando, por cuanto le indican que no cuenta con este seguro, lo que es falso pues se le estuvo descontando; (v) solicita se verifiquen los estados de cuenta de manera detallada, pues en ellos se aprecia la cancelación del crédito y los descuentos por el seguro de protección de tarjeta.</w:t>
      </w:r>
    </w:p>
    <w:p w:rsidRPr="00460623" w:rsidR="00460623" w:rsidP="00460623" w:rsidRDefault="00460623" w14:paraId="37EAF549" w14:textId="2ADE8450">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Que, conforme se desprende de los descargos presentados por la aseguradora y de lo expuesto en la audiencia de vista, la aseguradora sustenta el rechazo de siniestro en lo siguiente:</w:t>
      </w:r>
      <w:r w:rsidRPr="00460623">
        <w:rPr>
          <w:rFonts w:ascii="Times New Roman" w:hAnsi="Times New Roman" w:cs="Times New Roman"/>
          <w:b/>
          <w:bCs/>
          <w:sz w:val="23"/>
          <w:szCs w:val="23"/>
          <w:lang w:val="es-PE"/>
        </w:rPr>
        <w:t xml:space="preserve"> </w:t>
      </w:r>
      <w:r w:rsidRPr="00460623">
        <w:rPr>
          <w:rFonts w:ascii="Times New Roman" w:hAnsi="Times New Roman" w:cs="Times New Roman"/>
          <w:sz w:val="23"/>
          <w:szCs w:val="23"/>
          <w:lang w:val="es-PE"/>
        </w:rPr>
        <w:t xml:space="preserve">a) </w:t>
      </w:r>
      <w:r w:rsidRPr="00460623">
        <w:rPr>
          <w:rFonts w:ascii="Times New Roman" w:hAnsi="Times New Roman" w:cs="Times New Roman"/>
          <w:sz w:val="23"/>
          <w:szCs w:val="23"/>
          <w:lang w:val="es-ES"/>
        </w:rPr>
        <w:t>con fecha 12.08.22 la reclamante adquirió una tarjeta de crédito, motivo por el cual contrató el seguro de desgravamen; b) a consecuencia de los diagnósticos de trastorno de disco lumbar con radiculopatía y artrosis primaria generalizada, le es expedido a la reclamante el Certificado de Discapacidad N° 0705422 del Ministerio de Salud, de fecha 29.10.2024, en el cual se indica que el porcentaje de restricción en la participación asciende al 16.67%; c) la póliza solo cubre la invalidez total permanente y definitiva cuando el menoscabo es igual o superior al 66.66%, por lo que la condición que presenta la reclamante no llega al umbral requerido por la póliza y en consecuencia, no se encuentra cubierta por la póliza de seguros; d) de acuerdo a la ley del contrato de seguros, la cobertura y en general la extensión del riesgo se interpreta literalmente, por lo que han rechazado la cobertura de seguro conforme a derecho.</w:t>
      </w:r>
    </w:p>
    <w:p w:rsidRPr="00460623" w:rsidR="00460623" w:rsidP="00460623" w:rsidRDefault="00460623" w14:paraId="22644DA0" w14:textId="7F082BE9">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b/>
          <w:bCs/>
          <w:sz w:val="23"/>
          <w:szCs w:val="23"/>
          <w:lang w:val="es-PE"/>
        </w:rPr>
        <w:t>Considerando:</w:t>
      </w:r>
    </w:p>
    <w:p w:rsidRPr="00460623" w:rsidR="00460623" w:rsidP="00460623" w:rsidRDefault="00460623" w14:paraId="6AF1C5C7" w14:textId="37CE5F83">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b/>
          <w:sz w:val="23"/>
          <w:szCs w:val="23"/>
          <w:u w:val="single"/>
          <w:lang w:val="es-PE"/>
        </w:rPr>
        <w:t>Primero</w:t>
      </w:r>
      <w:r w:rsidRPr="00460623">
        <w:rPr>
          <w:rFonts w:ascii="Times New Roman" w:hAnsi="Times New Roman" w:cs="Times New Roman"/>
          <w:b/>
          <w:sz w:val="23"/>
          <w:szCs w:val="23"/>
          <w:lang w:val="es-PE"/>
        </w:rPr>
        <w:t xml:space="preserve">: </w:t>
      </w:r>
      <w:r w:rsidRPr="00460623">
        <w:rPr>
          <w:rFonts w:ascii="Times New Roman" w:hAnsi="Times New Roman" w:cs="Times New Roman"/>
          <w:sz w:val="23"/>
          <w:szCs w:val="23"/>
          <w:lang w:val="es-PE"/>
        </w:rPr>
        <w:t>Conforme a su Reglamento, la</w:t>
      </w:r>
      <w:r w:rsidRPr="00460623">
        <w:rPr>
          <w:rFonts w:ascii="Times New Roman" w:hAnsi="Times New Roman" w:cs="Times New Roman"/>
          <w:b/>
          <w:bCs/>
          <w:sz w:val="23"/>
          <w:szCs w:val="23"/>
          <w:lang w:val="es-PE"/>
        </w:rPr>
        <w:t xml:space="preserve"> </w:t>
      </w:r>
      <w:r w:rsidRPr="00460623">
        <w:rPr>
          <w:rFonts w:ascii="Times New Roman" w:hAnsi="Times New Roman" w:cs="Times New Roman"/>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60623" w:rsidR="00460623" w:rsidP="00460623" w:rsidRDefault="00460623" w14:paraId="583D502A" w14:textId="77777777">
      <w:pPr>
        <w:spacing w:after="200" w:line="240" w:lineRule="auto"/>
        <w:jc w:val="both"/>
        <w:rPr>
          <w:rFonts w:ascii="Times New Roman" w:hAnsi="Times New Roman" w:cs="Times New Roman"/>
          <w:bCs/>
          <w:sz w:val="23"/>
          <w:szCs w:val="23"/>
          <w:lang w:val="es-PE"/>
        </w:rPr>
      </w:pPr>
      <w:r w:rsidRPr="00460623">
        <w:rPr>
          <w:rFonts w:ascii="Times New Roman" w:hAnsi="Times New Roman" w:cs="Times New Roman"/>
          <w:b/>
          <w:bCs/>
          <w:sz w:val="23"/>
          <w:szCs w:val="23"/>
          <w:u w:val="single"/>
          <w:lang w:val="es-PE"/>
        </w:rPr>
        <w:t>Segundo</w:t>
      </w:r>
      <w:r w:rsidRPr="00460623">
        <w:rPr>
          <w:rFonts w:ascii="Times New Roman" w:hAnsi="Times New Roman" w:cs="Times New Roman"/>
          <w:b/>
          <w:bCs/>
          <w:sz w:val="23"/>
          <w:szCs w:val="23"/>
          <w:lang w:val="es-PE"/>
        </w:rPr>
        <w:t>:</w:t>
      </w:r>
      <w:r w:rsidRPr="00460623">
        <w:rPr>
          <w:rFonts w:ascii="Times New Roman" w:hAnsi="Times New Roman" w:cs="Times New Roman"/>
          <w:bCs/>
          <w:sz w:val="23"/>
          <w:szCs w:val="23"/>
          <w:lang w:val="es-PE"/>
        </w:rPr>
        <w:t xml:space="preserve"> </w:t>
      </w:r>
      <w:r w:rsidRPr="00460623">
        <w:rPr>
          <w:rFonts w:ascii="Times New Roman" w:hAnsi="Times New Roman" w:cs="Times New Roman"/>
          <w:sz w:val="23"/>
          <w:szCs w:val="23"/>
          <w:lang w:val="es-PE"/>
        </w:rPr>
        <w:t xml:space="preserve">Asimismo, de acuerdo a </w:t>
      </w:r>
      <w:r w:rsidRPr="00460623">
        <w:rPr>
          <w:rFonts w:ascii="Times New Roman" w:hAnsi="Times New Roman" w:cs="Times New Roman"/>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60623" w:rsidR="00460623" w:rsidP="00460623" w:rsidRDefault="00460623" w14:paraId="43393240" w14:textId="77777777">
      <w:pPr>
        <w:spacing w:after="200" w:line="240" w:lineRule="auto"/>
        <w:jc w:val="both"/>
        <w:rPr>
          <w:rFonts w:ascii="Times New Roman" w:hAnsi="Times New Roman" w:cs="Times New Roman"/>
          <w:sz w:val="23"/>
          <w:szCs w:val="23"/>
          <w:lang w:val="es-PE"/>
        </w:rPr>
      </w:pPr>
    </w:p>
    <w:p w:rsidRPr="00460623" w:rsidR="00460623" w:rsidP="00460623" w:rsidRDefault="00460623" w14:paraId="1625FAA9" w14:textId="00631781">
      <w:pPr>
        <w:spacing w:after="200" w:line="240" w:lineRule="auto"/>
        <w:jc w:val="both"/>
        <w:rPr>
          <w:rFonts w:ascii="Times New Roman" w:hAnsi="Times New Roman" w:cs="Times New Roman"/>
          <w:sz w:val="23"/>
          <w:szCs w:val="23"/>
          <w:lang w:val="es-ES"/>
        </w:rPr>
      </w:pPr>
      <w:r w:rsidRPr="00460623">
        <w:rPr>
          <w:rFonts w:ascii="Times New Roman" w:hAnsi="Times New Roman" w:cs="Times New Roman"/>
          <w:b/>
          <w:bCs/>
          <w:sz w:val="23"/>
          <w:szCs w:val="23"/>
          <w:u w:val="single"/>
          <w:lang w:val="es-PE"/>
        </w:rPr>
        <w:t>Tercero</w:t>
      </w:r>
      <w:r w:rsidRPr="00460623">
        <w:rPr>
          <w:rFonts w:ascii="Times New Roman" w:hAnsi="Times New Roman" w:cs="Times New Roman"/>
          <w:b/>
          <w:bCs/>
          <w:sz w:val="23"/>
          <w:szCs w:val="23"/>
          <w:lang w:val="es-PE"/>
        </w:rPr>
        <w:t>:</w:t>
      </w:r>
      <w:r w:rsidRPr="00460623">
        <w:rPr>
          <w:rFonts w:ascii="Times New Roman" w:hAnsi="Times New Roman" w:cs="Times New Roman"/>
          <w:sz w:val="23"/>
          <w:szCs w:val="23"/>
          <w:lang w:val="es-PE"/>
        </w:rPr>
        <w:t xml:space="preserve"> Que, de acuerdo a la Ley Nro. </w:t>
      </w:r>
      <w:r w:rsidRPr="00460623">
        <w:rPr>
          <w:rFonts w:ascii="Times New Roman" w:hAnsi="Times New Roman" w:cs="Times New Roman"/>
          <w:sz w:val="23"/>
          <w:szCs w:val="23"/>
          <w:lang w:val="es-ES"/>
        </w:rPr>
        <w:t xml:space="preserve">29946 – Ley del Contrato de Seguro, norma legal vigente con ocasión de la celebración del contrato al cual se contrae el presente caso, </w:t>
      </w:r>
      <w:r w:rsidRPr="00460623">
        <w:rPr>
          <w:rFonts w:ascii="Times New Roman" w:hAnsi="Times New Roman" w:cs="Times New Roman"/>
          <w:sz w:val="23"/>
          <w:szCs w:val="23"/>
          <w:lang w:val="es-PE"/>
        </w:rPr>
        <w:t xml:space="preserve">todas las cuestiones jurídicas se rigen por lo dispuesto en dicha ley y por las que reglas que se acuerden </w:t>
      </w:r>
      <w:r w:rsidRPr="00460623">
        <w:rPr>
          <w:rFonts w:ascii="Times New Roman" w:hAnsi="Times New Roman" w:cs="Times New Roman"/>
          <w:sz w:val="23"/>
          <w:szCs w:val="23"/>
          <w:lang w:val="es-PE"/>
        </w:rPr>
        <w:lastRenderedPageBreak/>
        <w:t>convencionalmente, en cuanto no vulneren los principios esenciales de la naturaleza jurídica del seguro, siendo que sólo se aplica el derecho común a falta de disposiciones del derecho de seguros o de protección al consumidor.</w:t>
      </w:r>
    </w:p>
    <w:p w:rsidRPr="00460623" w:rsidR="00460623" w:rsidP="00460623" w:rsidRDefault="00460623" w14:paraId="1225BF17" w14:textId="1B24F631">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b/>
          <w:sz w:val="23"/>
          <w:szCs w:val="23"/>
          <w:u w:val="single"/>
          <w:lang w:val="es-PE"/>
        </w:rPr>
        <w:t>Cuarto</w:t>
      </w:r>
      <w:r w:rsidRPr="00460623">
        <w:rPr>
          <w:rFonts w:ascii="Times New Roman" w:hAnsi="Times New Roman" w:cs="Times New Roman"/>
          <w:b/>
          <w:sz w:val="23"/>
          <w:szCs w:val="23"/>
          <w:lang w:val="es-PE"/>
        </w:rPr>
        <w:t>:</w:t>
      </w:r>
      <w:r w:rsidRPr="00460623">
        <w:rPr>
          <w:rFonts w:ascii="Times New Roman" w:hAnsi="Times New Roman" w:cs="Times New Roman"/>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60623" w:rsidR="00460623" w:rsidP="00460623" w:rsidRDefault="00460623" w14:paraId="747601D1" w14:textId="3E273DC6">
      <w:pPr>
        <w:spacing w:after="200" w:line="240" w:lineRule="auto"/>
        <w:jc w:val="both"/>
        <w:rPr>
          <w:rFonts w:ascii="Times New Roman" w:hAnsi="Times New Roman" w:cs="Times New Roman"/>
          <w:sz w:val="23"/>
          <w:szCs w:val="23"/>
        </w:rPr>
      </w:pPr>
      <w:r w:rsidRPr="00460623">
        <w:rPr>
          <w:rFonts w:ascii="Times New Roman" w:hAnsi="Times New Roman" w:cs="Times New Roman"/>
          <w:b/>
          <w:bCs/>
          <w:sz w:val="23"/>
          <w:szCs w:val="23"/>
          <w:u w:val="single"/>
          <w:lang w:val="es-PE"/>
        </w:rPr>
        <w:t>Quinto</w:t>
      </w:r>
      <w:r w:rsidRPr="00460623">
        <w:rPr>
          <w:rFonts w:ascii="Times New Roman" w:hAnsi="Times New Roman" w:cs="Times New Roman"/>
          <w:b/>
          <w:bCs/>
          <w:sz w:val="23"/>
          <w:szCs w:val="23"/>
          <w:lang w:val="es-PE"/>
        </w:rPr>
        <w:t xml:space="preserve">: </w:t>
      </w:r>
      <w:r w:rsidRPr="00460623">
        <w:rPr>
          <w:rFonts w:ascii="Times New Roman" w:hAnsi="Times New Roman" w:cs="Times New Roman"/>
          <w:sz w:val="23"/>
          <w:szCs w:val="23"/>
          <w:lang w:val="es-PE"/>
        </w:rPr>
        <w:t>Que, conforme al</w:t>
      </w:r>
      <w:r w:rsidRPr="00460623">
        <w:rPr>
          <w:rFonts w:ascii="Times New Roman" w:hAnsi="Times New Roman" w:cs="Times New Roman"/>
          <w:b/>
          <w:bCs/>
          <w:sz w:val="23"/>
          <w:szCs w:val="23"/>
          <w:lang w:val="es-PE"/>
        </w:rPr>
        <w:t xml:space="preserve"> </w:t>
      </w:r>
      <w:r w:rsidRPr="00460623">
        <w:rPr>
          <w:rFonts w:ascii="Times New Roman" w:hAnsi="Times New Roman" w:cs="Times New Roman"/>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60623" w:rsidR="00460623" w:rsidP="00460623" w:rsidRDefault="00460623" w14:paraId="58B924FA" w14:textId="2572B0FC">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b/>
          <w:sz w:val="23"/>
          <w:szCs w:val="23"/>
          <w:u w:val="single"/>
          <w:lang w:val="es-ES"/>
        </w:rPr>
        <w:t>Sexto</w:t>
      </w:r>
      <w:r w:rsidRPr="00460623">
        <w:rPr>
          <w:rFonts w:ascii="Times New Roman" w:hAnsi="Times New Roman" w:cs="Times New Roman"/>
          <w:b/>
          <w:sz w:val="23"/>
          <w:szCs w:val="23"/>
          <w:lang w:val="es-ES"/>
        </w:rPr>
        <w:t>:</w:t>
      </w:r>
      <w:r w:rsidRPr="00460623">
        <w:rPr>
          <w:rFonts w:ascii="Times New Roman" w:hAnsi="Times New Roman" w:cs="Times New Roman"/>
          <w:b/>
          <w:sz w:val="23"/>
          <w:szCs w:val="23"/>
          <w:lang w:val="es-PE"/>
        </w:rPr>
        <w:t xml:space="preserve"> </w:t>
      </w:r>
      <w:r w:rsidRPr="00460623">
        <w:rPr>
          <w:rFonts w:ascii="Times New Roman" w:hAnsi="Times New Roman" w:cs="Times New Roman"/>
          <w:sz w:val="23"/>
          <w:szCs w:val="23"/>
          <w:lang w:val="es-PE"/>
        </w:rPr>
        <w:t>Sobre la base de los términos contenidos en la reclamación, en la absolución de la misma, y a lo tratado en la audiencia de vista, la cuestión controvertida radica en determinar si el rechazo de cobertura informado por la aseguradora consistente en que la asegurada no ha acreditado que la discapacidad que presenta corresponde a una invalidez total y permanente, es legítimo o no.</w:t>
      </w:r>
    </w:p>
    <w:p w:rsidRPr="00460623" w:rsidR="00460623" w:rsidP="00460623" w:rsidRDefault="00460623" w14:paraId="2D494A83" w14:textId="2C0A977E">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b/>
          <w:sz w:val="23"/>
          <w:szCs w:val="23"/>
          <w:u w:val="single"/>
          <w:lang w:val="es-PE"/>
        </w:rPr>
        <w:t>Sétimo:</w:t>
      </w:r>
      <w:r w:rsidRPr="00460623">
        <w:rPr>
          <w:rFonts w:ascii="Times New Roman" w:hAnsi="Times New Roman" w:cs="Times New Roman"/>
          <w:sz w:val="23"/>
          <w:szCs w:val="23"/>
          <w:lang w:val="es-PE"/>
        </w:rPr>
        <w:t xml:space="preserve">  Conforme a lo establecido en la póliza, el seguro no se cubre cualquier condición de invalidez, sino solo aquella que supere los 2/3 (66.6%) de la capacidad de trabajo, conforme a lo siguiente:</w:t>
      </w:r>
    </w:p>
    <w:p w:rsidRPr="00460623" w:rsidR="00460623" w:rsidP="00460623" w:rsidRDefault="00460623" w14:paraId="246B03E6" w14:textId="02F3D00D">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drawing>
          <wp:inline distT="0" distB="0" distL="0" distR="0" wp14:anchorId="11479A0D" wp14:editId="1B8206E1">
            <wp:extent cx="5581650" cy="1772920"/>
            <wp:effectExtent l="0" t="0" r="0" b="0"/>
            <wp:docPr id="160328016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1772920"/>
                    </a:xfrm>
                    <a:prstGeom prst="rect">
                      <a:avLst/>
                    </a:prstGeom>
                    <a:noFill/>
                    <a:ln>
                      <a:noFill/>
                    </a:ln>
                  </pic:spPr>
                </pic:pic>
              </a:graphicData>
            </a:graphic>
          </wp:inline>
        </w:drawing>
      </w:r>
    </w:p>
    <w:p w:rsidRPr="00460623" w:rsidR="00460623" w:rsidP="00460623" w:rsidRDefault="00460623" w14:paraId="552D57C8" w14:textId="39D72F28">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 xml:space="preserve">De acuerdo a los documentos que obran en el expediente, concretamente al Certificado de Discapacidad N° 00705422 de fecha 21 de octubre de 2024 emitido por el Hospital San Jose Chincha (Ministerio de Salud) la reclamante presenta un diagnóstico de daño de “otras anormalidades de la marcha y de la movilidad y las no especificadas” y “otras gonartrosis secundarias” y un diagnóstico etiológico de “trastornos de disco lumbar y otros con radiculopatía” y “(osteo)artrosis primaria generalizada. En cuanto a la gravedad el Certificado indica que la Discapacidad es Severa; y en lo que respecta al porcentaje de restricción en la participación se indica que el mismo es del 16.67%. Todo lo cual no constituye un hecho controvertido. </w:t>
      </w:r>
    </w:p>
    <w:p w:rsidRPr="00460623" w:rsidR="00460623" w:rsidP="00460623" w:rsidRDefault="00460623" w14:paraId="478D645B" w14:textId="77777777">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A continuación, se muestra parte pertinente del Certificado, donde además se da cuenta que este tiene una vigencia de 60 meses y se recomienda la reevaluación de la paciente en 60 meses.</w:t>
      </w:r>
    </w:p>
    <w:p w:rsidRPr="00460623" w:rsidR="00460623" w:rsidP="00460623" w:rsidRDefault="00460623" w14:paraId="164FC297" w14:textId="77777777">
      <w:pPr>
        <w:spacing w:after="200" w:line="240" w:lineRule="auto"/>
        <w:jc w:val="both"/>
        <w:rPr>
          <w:rFonts w:ascii="Times New Roman" w:hAnsi="Times New Roman" w:cs="Times New Roman"/>
          <w:sz w:val="23"/>
          <w:szCs w:val="23"/>
          <w:lang w:val="es-PE"/>
        </w:rPr>
      </w:pPr>
    </w:p>
    <w:p w:rsidRPr="00460623" w:rsidR="00460623" w:rsidP="001523A6" w:rsidRDefault="00460623" w14:paraId="2092295E" w14:textId="429A5220">
      <w:pPr>
        <w:spacing w:after="200" w:line="240" w:lineRule="auto"/>
        <w:jc w:val="center"/>
      </w:pPr>
      <w:r w:rsidR="5448B3DA">
        <w:rPr/>
        <w:t>................................................................................................................................................................</w:t>
      </w:r>
    </w:p>
    <w:p w:rsidRPr="00460623" w:rsidR="00460623" w:rsidP="00460623" w:rsidRDefault="00460623" w14:paraId="00B156CF" w14:textId="35B943F2">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 xml:space="preserve">Lo controvertido en este caso, es que la aseguradora considera que ese porcentaje de restricción en la participación del 16.67% es menor al porcentaje que la póliza establece para que se configure una invalidez total y permanente cubierta por el seguro, la cual expresamente se señala debe ser igual o superior al 66.66%; mientras que la reclamante sostiene que dicho porcentaje corresponde a un concepto diferente al menoscabo que se usa en el caso del sistema privado de pensiones, y se refiere a limitaciones en la actividad diaria y entornos sociales. </w:t>
      </w:r>
    </w:p>
    <w:p w:rsidRPr="00460623" w:rsidR="00460623" w:rsidP="00460623" w:rsidRDefault="00460623" w14:paraId="184145F7" w14:textId="69C74690">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 xml:space="preserve">En este caso, no se desconoce que la reclamante presenta una discapacidad severa, con una restricción en la participación del 16.67%; sin embargo, dicho porcentaje dista mucho del establecido en la póliza de seguros, más aun cuando el propio certificado de discapacidad señala que se recomienda una reevaluación, y que tiene una vigencia determinada. </w:t>
      </w:r>
    </w:p>
    <w:p w:rsidRPr="00460623" w:rsidR="00460623" w:rsidP="00460623" w:rsidRDefault="00460623" w14:paraId="143D9254" w14:textId="6C8CF4C4">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 xml:space="preserve">Es importante destacar que de acuerdo a lo establecido en la Séptima Regla de Interpretación del Contrato de Seguro, señalada en la Ley del Contrato de Seguro, Ley 29946, </w:t>
      </w:r>
      <w:r w:rsidRPr="00460623">
        <w:rPr>
          <w:rFonts w:ascii="Times New Roman" w:hAnsi="Times New Roman" w:cs="Times New Roman"/>
          <w:i/>
          <w:iCs/>
          <w:sz w:val="23"/>
          <w:szCs w:val="23"/>
          <w:lang w:val="es-PE"/>
        </w:rPr>
        <w:t>“La cobertura, exclusiones y, en general, la extensión del riesgo así como los derechos de los beneficiarios, previstos en el contrato de seguro, deben interpretarse literalmente”.</w:t>
      </w:r>
    </w:p>
    <w:p w:rsidRPr="00460623" w:rsidR="00460623" w:rsidP="00460623" w:rsidRDefault="00460623" w14:paraId="7D55621E" w14:textId="6245D57B">
      <w:pPr>
        <w:spacing w:after="200" w:line="240" w:lineRule="auto"/>
        <w:jc w:val="both"/>
        <w:rPr>
          <w:rFonts w:ascii="Times New Roman" w:hAnsi="Times New Roman" w:cs="Times New Roman"/>
          <w:i/>
          <w:iCs/>
          <w:sz w:val="23"/>
          <w:szCs w:val="23"/>
          <w:lang w:val="es-PE"/>
        </w:rPr>
      </w:pPr>
      <w:r w:rsidRPr="00460623">
        <w:rPr>
          <w:rFonts w:ascii="Times New Roman" w:hAnsi="Times New Roman" w:cs="Times New Roman"/>
          <w:sz w:val="23"/>
          <w:szCs w:val="23"/>
          <w:lang w:val="es-PE"/>
        </w:rPr>
        <w:t xml:space="preserve">Asimismo, de acuerdo a lo previsto en el artículo 77 de la Ley del Contrato de Seguro: </w:t>
      </w:r>
      <w:r w:rsidRPr="00460623">
        <w:rPr>
          <w:rFonts w:ascii="Times New Roman" w:hAnsi="Times New Roman" w:cs="Times New Roman"/>
          <w:i/>
          <w:iCs/>
          <w:sz w:val="23"/>
          <w:szCs w:val="23"/>
          <w:lang w:val="es-PE"/>
        </w:rPr>
        <w:t>“Corresponde al asegurado demostrar la ocurrencia del siniestro, así como la cuantía de la pérdida si fuera el caso, y al asegurador la carga de demostrar las causas que lo liberan de su prestación indemnizatoria.”</w:t>
      </w:r>
    </w:p>
    <w:p w:rsidRPr="00460623" w:rsidR="00460623" w:rsidP="00460623" w:rsidRDefault="00460623" w14:paraId="15F39B64" w14:textId="2B8B19B0">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ES"/>
        </w:rPr>
        <w:t>En consecuencia, se aprecia que de la documentación que obra en autos, no existe prueba de que la discapacidad que presenta la reclamante corresponda al supuesto indemnizado por la póliza de desgravamen</w:t>
      </w:r>
      <w:r w:rsidRPr="00460623">
        <w:rPr>
          <w:rFonts w:ascii="Times New Roman" w:hAnsi="Times New Roman" w:cs="Times New Roman"/>
          <w:sz w:val="23"/>
          <w:szCs w:val="23"/>
          <w:lang w:val="es-PE"/>
        </w:rPr>
        <w:t>; y en consecuencia, el rechazo de cobertura resulta legítimo.</w:t>
      </w:r>
    </w:p>
    <w:p w:rsidRPr="00460623" w:rsidR="00460623" w:rsidP="00460623" w:rsidRDefault="00460623" w14:paraId="4B079516" w14:textId="48063C0A">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Ello no obsta, sin embargo, a que, si en el futuro la discapacidad de la reclamante alcanzara el grado requerido para acceder a la cobertura, y la póliza se mantiene vigente, pueda solicitar la cobertura conforme lo prevé la póliza; en cuyo caso se analizará teniendo en cuenta los términos y condiciones previstas en la misma.</w:t>
      </w:r>
    </w:p>
    <w:p w:rsidRPr="00460623" w:rsidR="00460623" w:rsidP="00460623" w:rsidRDefault="00460623" w14:paraId="016097DC" w14:textId="09B78A70">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De otro lado, la reclamante hace referencia a un seguro de protección de tarjeta. Al respecto dicho seguro es uno distinto al de desgravamen que nos ocupa; y no otorga indemnización por invalidez, sino coberturas vinculadas al uso indebido de una tarjeta de crédito o débito bancaria, conforme a lo que establece su respectiva póliza de seguros. Por lo que, a través de este proceso, no corresponde que este colegiado se pronuncie sobre dicho seguro de protección de tarjeta.</w:t>
      </w:r>
    </w:p>
    <w:p w:rsidRPr="00460623" w:rsidR="00460623" w:rsidP="00460623" w:rsidRDefault="00460623" w14:paraId="71AE7802" w14:textId="77777777">
      <w:pPr>
        <w:spacing w:after="200" w:line="240" w:lineRule="auto"/>
        <w:jc w:val="both"/>
        <w:rPr>
          <w:rFonts w:ascii="Times New Roman" w:hAnsi="Times New Roman" w:cs="Times New Roman"/>
          <w:sz w:val="23"/>
          <w:szCs w:val="23"/>
          <w:lang w:val="es-PE"/>
        </w:rPr>
      </w:pPr>
      <w:r w:rsidRPr="00460623">
        <w:rPr>
          <w:rFonts w:ascii="Times New Roman" w:hAnsi="Times New Roman" w:cs="Times New Roman"/>
          <w:sz w:val="23"/>
          <w:szCs w:val="23"/>
          <w:lang w:val="es-PE"/>
        </w:rPr>
        <w:t>Finalmente, en lo que respecta a las devoluciones de prima mencionadas en su reclamo, dicho aspecto no se encuentra dentro de la competencia de esta Defensoría, la que únicamente es competente para pronunciarse sobre si un rechazo de cobertura es o no legítimo; y/o sobre la controversia que pudiera suscitarse durante la liquidación de un siniestro.</w:t>
      </w:r>
    </w:p>
    <w:p w:rsidRPr="00460623" w:rsidR="00460623" w:rsidP="00460623" w:rsidRDefault="00460623" w14:paraId="4D3EE18F" w14:textId="77777777">
      <w:pPr>
        <w:spacing w:after="200" w:line="240" w:lineRule="auto"/>
        <w:jc w:val="both"/>
        <w:rPr>
          <w:rFonts w:ascii="Times New Roman" w:hAnsi="Times New Roman" w:cs="Times New Roman"/>
          <w:sz w:val="23"/>
          <w:szCs w:val="23"/>
          <w:lang w:val="es-PE"/>
        </w:rPr>
      </w:pPr>
    </w:p>
    <w:p w:rsidRPr="00460623" w:rsidR="00460623" w:rsidP="00460623" w:rsidRDefault="00460623" w14:paraId="7E2610BE" w14:textId="0520C982">
      <w:pPr>
        <w:spacing w:after="200" w:line="240" w:lineRule="auto"/>
        <w:jc w:val="both"/>
        <w:rPr>
          <w:rFonts w:ascii="Times New Roman" w:hAnsi="Times New Roman" w:cs="Times New Roman"/>
          <w:sz w:val="23"/>
          <w:szCs w:val="23"/>
          <w:lang w:val="es-MX"/>
        </w:rPr>
      </w:pPr>
      <w:r w:rsidRPr="00460623">
        <w:rPr>
          <w:rFonts w:ascii="Times New Roman" w:hAnsi="Times New Roman" w:cs="Times New Roman"/>
          <w:sz w:val="23"/>
          <w:szCs w:val="23"/>
          <w:lang w:val="es-PE"/>
        </w:rPr>
        <w:lastRenderedPageBreak/>
        <w:t xml:space="preserve">Este colegiado </w:t>
      </w:r>
      <w:r w:rsidRPr="00460623">
        <w:rPr>
          <w:rFonts w:ascii="Times New Roman" w:hAnsi="Times New Roman" w:cs="Times New Roman"/>
          <w:sz w:val="23"/>
          <w:szCs w:val="23"/>
          <w:lang w:val="es-ES"/>
        </w:rPr>
        <w:t>concluye su apreciación razonada y conjunta al amparo de lo establecido en su Reglamento estimando que existen razones fundadas para calificar como legítimo el rechazo de cobertura al cual se contrae la presente reclamación por lo que</w:t>
      </w:r>
      <w:r w:rsidRPr="00460623">
        <w:rPr>
          <w:rFonts w:ascii="Times New Roman" w:hAnsi="Times New Roman" w:cs="Times New Roman"/>
          <w:sz w:val="23"/>
          <w:szCs w:val="23"/>
          <w:lang w:val="es-PE"/>
        </w:rPr>
        <w:t>;</w:t>
      </w:r>
    </w:p>
    <w:p w:rsidRPr="00460623" w:rsidR="00460623" w:rsidP="00460623" w:rsidRDefault="00460623" w14:paraId="352B6916" w14:textId="14BF5855">
      <w:pPr>
        <w:spacing w:after="200" w:line="240" w:lineRule="auto"/>
        <w:jc w:val="both"/>
        <w:rPr>
          <w:rFonts w:ascii="Times New Roman" w:hAnsi="Times New Roman" w:cs="Times New Roman"/>
          <w:b/>
          <w:sz w:val="23"/>
          <w:szCs w:val="23"/>
          <w:lang w:val="es-PE"/>
        </w:rPr>
      </w:pPr>
      <w:r w:rsidRPr="00460623">
        <w:rPr>
          <w:rFonts w:ascii="Times New Roman" w:hAnsi="Times New Roman" w:cs="Times New Roman"/>
          <w:b/>
          <w:sz w:val="23"/>
          <w:szCs w:val="23"/>
          <w:lang w:val="es-PE"/>
        </w:rPr>
        <w:t>RESUELVE:</w:t>
      </w:r>
    </w:p>
    <w:p w:rsidRPr="000135A5" w:rsidR="001546A4" w:rsidP="54D64809" w:rsidRDefault="00460623" w14:paraId="03F7077B" w14:textId="06B4047E">
      <w:pPr>
        <w:spacing w:after="200" w:line="240" w:lineRule="auto"/>
        <w:jc w:val="both"/>
        <w:rPr>
          <w:rFonts w:ascii="Times New Roman" w:hAnsi="Times New Roman" w:cs="Times New Roman"/>
          <w:sz w:val="23"/>
          <w:szCs w:val="23"/>
          <w:lang w:val="es-MX"/>
        </w:rPr>
      </w:pPr>
      <w:r w:rsidRPr="54D64809" w:rsidR="00460623">
        <w:rPr>
          <w:rFonts w:ascii="Times New Roman" w:hAnsi="Times New Roman" w:cs="Times New Roman"/>
          <w:sz w:val="23"/>
          <w:szCs w:val="23"/>
          <w:lang w:val="es-PE"/>
        </w:rPr>
        <w:t>Declarar INFUNDADA la reclamación interpuesta por</w:t>
      </w:r>
      <w:r w:rsidRPr="54D64809" w:rsidR="00460623">
        <w:rPr>
          <w:rFonts w:ascii="Times New Roman" w:hAnsi="Times New Roman" w:cs="Times New Roman"/>
          <w:sz w:val="23"/>
          <w:szCs w:val="23"/>
          <w:lang w:val="es-MX"/>
        </w:rPr>
        <w:t xml:space="preserve"> doña </w:t>
      </w:r>
      <w:r w:rsidRPr="54D64809" w:rsidR="26ECBCF5">
        <w:rPr>
          <w:rFonts w:ascii="Times New Roman" w:hAnsi="Times New Roman" w:cs="Times New Roman"/>
          <w:sz w:val="23"/>
          <w:szCs w:val="23"/>
          <w:lang w:val="es-PE"/>
        </w:rPr>
        <w:t>...................................................................................</w:t>
      </w:r>
      <w:r w:rsidRPr="54D64809" w:rsidR="00460623">
        <w:rPr>
          <w:rFonts w:ascii="Times New Roman" w:hAnsi="Times New Roman" w:cs="Times New Roman"/>
          <w:sz w:val="23"/>
          <w:szCs w:val="23"/>
          <w:lang w:val="es-PE"/>
        </w:rPr>
        <w:t xml:space="preserve"> </w:t>
      </w:r>
      <w:r w:rsidRPr="54D64809" w:rsidR="00460623">
        <w:rPr>
          <w:rFonts w:ascii="Times New Roman" w:hAnsi="Times New Roman" w:cs="Times New Roman"/>
          <w:sz w:val="23"/>
          <w:szCs w:val="23"/>
          <w:lang w:val="es-PE"/>
        </w:rPr>
        <w:t xml:space="preserve">contra </w:t>
      </w:r>
      <w:r w:rsidRPr="54D64809" w:rsidR="27F29FC3">
        <w:rPr>
          <w:rFonts w:ascii="Times New Roman" w:hAnsi="Times New Roman" w:cs="Times New Roman"/>
          <w:sz w:val="23"/>
          <w:szCs w:val="23"/>
          <w:lang w:val="es-MX"/>
        </w:rPr>
        <w:t>........................</w:t>
      </w:r>
      <w:r w:rsidRPr="54D64809" w:rsidR="00460623">
        <w:rPr>
          <w:rFonts w:ascii="Times New Roman" w:hAnsi="Times New Roman" w:cs="Times New Roman"/>
          <w:sz w:val="23"/>
          <w:szCs w:val="23"/>
          <w:lang w:val="es-MX"/>
        </w:rPr>
        <w:t xml:space="preserve"> </w:t>
      </w:r>
      <w:r w:rsidRPr="54D64809" w:rsidR="00460623">
        <w:rPr>
          <w:rFonts w:ascii="Times New Roman" w:hAnsi="Times New Roman" w:cs="Times New Roman"/>
          <w:sz w:val="23"/>
          <w:szCs w:val="23"/>
          <w:lang w:val="es-PE"/>
        </w:rPr>
        <w:t>con relación al</w:t>
      </w:r>
      <w:r w:rsidRPr="54D64809" w:rsidR="00460623">
        <w:rPr>
          <w:rFonts w:ascii="Times New Roman" w:hAnsi="Times New Roman" w:cs="Times New Roman"/>
          <w:sz w:val="23"/>
          <w:szCs w:val="23"/>
          <w:lang w:val="es-MX"/>
        </w:rPr>
        <w:t xml:space="preserve"> seguro de desgravamen reclamado, dejando </w:t>
      </w:r>
      <w:r w:rsidRPr="54D64809" w:rsidR="00460623">
        <w:rPr>
          <w:rFonts w:ascii="Times New Roman" w:hAnsi="Times New Roman" w:cs="Times New Roman"/>
          <w:sz w:val="23"/>
          <w:szCs w:val="23"/>
          <w:lang w:val="es-ES"/>
        </w:rPr>
        <w:t>a salvo el derecho de la reclamante de recurrir a las instancias que considere pertinentes.</w:t>
      </w:r>
    </w:p>
    <w:p w:rsidRPr="00AD2EE7" w:rsidR="00033B9E" w:rsidP="00435770" w:rsidRDefault="00033B9E" w14:paraId="5ED79E9E" w14:textId="548CD060">
      <w:pPr>
        <w:spacing w:after="200" w:line="240" w:lineRule="auto"/>
        <w:jc w:val="right"/>
        <w:rPr>
          <w:rFonts w:ascii="Times New Roman" w:hAnsi="Times New Roman" w:cs="Times New Roman"/>
          <w:sz w:val="23"/>
          <w:szCs w:val="23"/>
          <w:lang w:val="es-PE"/>
        </w:rPr>
      </w:pPr>
      <w:r w:rsidRPr="00AD2EE7">
        <w:rPr>
          <w:rFonts w:ascii="Times New Roman" w:hAnsi="Times New Roman" w:cs="Times New Roman"/>
          <w:sz w:val="23"/>
          <w:szCs w:val="23"/>
          <w:lang w:val="es-PE"/>
        </w:rPr>
        <w:t xml:space="preserve">Lima, </w:t>
      </w:r>
      <w:r w:rsidR="00AE5E6E">
        <w:rPr>
          <w:rFonts w:ascii="Times New Roman" w:hAnsi="Times New Roman" w:cs="Times New Roman"/>
          <w:sz w:val="23"/>
          <w:szCs w:val="23"/>
          <w:lang w:val="es-PE"/>
        </w:rPr>
        <w:t>22</w:t>
      </w:r>
      <w:r w:rsidRPr="00AD2EE7">
        <w:rPr>
          <w:rFonts w:ascii="Times New Roman" w:hAnsi="Times New Roman" w:cs="Times New Roman"/>
          <w:sz w:val="23"/>
          <w:szCs w:val="23"/>
          <w:lang w:val="es-PE"/>
        </w:rPr>
        <w:t xml:space="preserve"> de </w:t>
      </w:r>
      <w:r w:rsidRPr="00AD2EE7" w:rsidR="005417AE">
        <w:rPr>
          <w:rFonts w:ascii="Times New Roman" w:hAnsi="Times New Roman" w:cs="Times New Roman"/>
          <w:sz w:val="23"/>
          <w:szCs w:val="23"/>
          <w:lang w:val="es-PE"/>
        </w:rPr>
        <w:t>septiembre</w:t>
      </w:r>
      <w:r w:rsidRPr="00AD2EE7">
        <w:rPr>
          <w:rFonts w:ascii="Times New Roman" w:hAnsi="Times New Roman" w:cs="Times New Roman"/>
          <w:sz w:val="23"/>
          <w:szCs w:val="23"/>
          <w:lang w:val="es-PE"/>
        </w:rPr>
        <w:t xml:space="preserve"> de 2025 </w:t>
      </w:r>
    </w:p>
    <w:p w:rsidRPr="00AD2EE7" w:rsidR="00033B9E" w:rsidP="00435770" w:rsidRDefault="00033B9E" w14:paraId="10ECF88E"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AD2EE7" w:rsidR="00033B9E" w:rsidP="00435770" w:rsidRDefault="00033B9E" w14:paraId="6E081B4D" w14:textId="77777777">
      <w:pPr>
        <w:spacing w:after="200" w:line="240" w:lineRule="auto"/>
        <w:jc w:val="both"/>
        <w:rPr>
          <w:rFonts w:ascii="Times New Roman" w:hAnsi="Times New Roman" w:cs="Times New Roman"/>
          <w:b/>
          <w:bCs/>
          <w:i/>
          <w:iCs/>
          <w:sz w:val="23"/>
          <w:szCs w:val="23"/>
          <w:lang w:val="es-PE"/>
        </w:rPr>
      </w:pPr>
      <w:r w:rsidRPr="00AD2EE7">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AD2EE7" w:rsidR="000026A3" w:rsidP="00435770" w:rsidRDefault="000026A3" w14:paraId="21E67772" w14:textId="77777777">
      <w:pPr>
        <w:spacing w:after="200" w:line="240" w:lineRule="auto"/>
        <w:jc w:val="center"/>
        <w:rPr>
          <w:rFonts w:ascii="Times New Roman" w:hAnsi="Times New Roman" w:cs="Times New Roman"/>
          <w:b/>
          <w:bCs/>
          <w:sz w:val="23"/>
          <w:szCs w:val="23"/>
          <w:lang w:val="es-PE"/>
        </w:rPr>
      </w:pPr>
    </w:p>
    <w:p w:rsidRPr="00AD2EE7" w:rsidR="00033B9E" w:rsidP="00435770" w:rsidRDefault="000026A3" w14:paraId="480C5042" w14:textId="5100457B">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 xml:space="preserve">Antonio Rodriguez Lobatón </w:t>
      </w:r>
      <w:r w:rsidRPr="00AD2EE7" w:rsidR="00090598">
        <w:rPr>
          <w:rFonts w:ascii="Times New Roman" w:hAnsi="Times New Roman" w:cs="Times New Roman"/>
          <w:b/>
          <w:bCs/>
          <w:sz w:val="23"/>
          <w:szCs w:val="23"/>
          <w:lang w:val="es-PE"/>
        </w:rPr>
        <w:t>–</w:t>
      </w:r>
      <w:r w:rsidRPr="00AD2EE7" w:rsidR="00033B9E">
        <w:rPr>
          <w:rFonts w:ascii="Times New Roman" w:hAnsi="Times New Roman" w:cs="Times New Roman"/>
          <w:b/>
          <w:bCs/>
          <w:sz w:val="23"/>
          <w:szCs w:val="23"/>
          <w:lang w:val="es-PE"/>
        </w:rPr>
        <w:t xml:space="preserve"> Presidente</w:t>
      </w:r>
    </w:p>
    <w:p w:rsidRPr="00AD2EE7" w:rsidR="00033B9E" w:rsidP="00435770" w:rsidRDefault="00033B9E" w14:paraId="1B6FD469" w14:textId="682B2F56">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 xml:space="preserve">María Eugenia Valdez Fernández Baca </w:t>
      </w:r>
      <w:r w:rsidRPr="00AD2EE7" w:rsidR="00090598">
        <w:rPr>
          <w:rFonts w:ascii="Times New Roman" w:hAnsi="Times New Roman" w:cs="Times New Roman"/>
          <w:b/>
          <w:bCs/>
          <w:sz w:val="23"/>
          <w:szCs w:val="23"/>
          <w:lang w:val="es-PE"/>
        </w:rPr>
        <w:t>–</w:t>
      </w:r>
      <w:r w:rsidRPr="00AD2EE7">
        <w:rPr>
          <w:rFonts w:ascii="Times New Roman" w:hAnsi="Times New Roman" w:cs="Times New Roman"/>
          <w:b/>
          <w:bCs/>
          <w:sz w:val="23"/>
          <w:szCs w:val="23"/>
          <w:lang w:val="es-PE"/>
        </w:rPr>
        <w:t xml:space="preserve"> Vocal</w:t>
      </w:r>
    </w:p>
    <w:p w:rsidRPr="00AD2EE7" w:rsidR="000026A3" w:rsidP="00435770" w:rsidRDefault="000026A3" w14:paraId="66038928" w14:textId="4472784A">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 xml:space="preserve">Rolando Eyzaguirre Maccan – </w:t>
      </w:r>
      <w:r w:rsidRPr="00AD2EE7" w:rsidR="005417AE">
        <w:rPr>
          <w:rFonts w:ascii="Times New Roman" w:hAnsi="Times New Roman" w:cs="Times New Roman"/>
          <w:b/>
          <w:bCs/>
          <w:sz w:val="23"/>
          <w:szCs w:val="23"/>
          <w:lang w:val="es-PE"/>
        </w:rPr>
        <w:t>Vocal</w:t>
      </w:r>
    </w:p>
    <w:p w:rsidRPr="00AD2EE7" w:rsidR="00090598" w:rsidP="00435770" w:rsidRDefault="00090598" w14:paraId="6C5C5449" w14:textId="4F47C3D1">
      <w:pPr>
        <w:spacing w:after="200" w:line="240" w:lineRule="auto"/>
        <w:jc w:val="center"/>
        <w:rPr>
          <w:rFonts w:ascii="Times New Roman" w:hAnsi="Times New Roman" w:cs="Times New Roman"/>
          <w:b/>
          <w:bCs/>
          <w:sz w:val="23"/>
          <w:szCs w:val="23"/>
          <w:lang w:val="es-PE"/>
        </w:rPr>
      </w:pPr>
      <w:r w:rsidRPr="00AD2EE7">
        <w:rPr>
          <w:rFonts w:ascii="Times New Roman" w:hAnsi="Times New Roman" w:cs="Times New Roman"/>
          <w:b/>
          <w:bCs/>
          <w:sz w:val="23"/>
          <w:szCs w:val="23"/>
          <w:lang w:val="es-PE"/>
        </w:rPr>
        <w:t>Juan Fry Cipriani – Vocal</w:t>
      </w:r>
    </w:p>
    <w:bookmarkEnd w:id="0"/>
    <w:p w:rsidRPr="00AD2EE7" w:rsidR="00543E68" w:rsidP="00F92849" w:rsidRDefault="00543E68" w14:paraId="39CA59B6" w14:textId="767D899F">
      <w:pPr>
        <w:spacing w:after="200" w:line="288" w:lineRule="auto"/>
        <w:jc w:val="center"/>
        <w:rPr>
          <w:rFonts w:ascii="Times New Roman" w:hAnsi="Times New Roman" w:cs="Times New Roman"/>
          <w:b/>
          <w:bCs/>
          <w:sz w:val="23"/>
          <w:szCs w:val="23"/>
          <w:lang w:val="es-PE"/>
        </w:rPr>
      </w:pPr>
    </w:p>
    <w:sectPr w:rsidRPr="00AD2EE7" w:rsidR="00543E68" w:rsidSect="002019FA">
      <w:headerReference w:type="default" r:id="rId10"/>
      <w:footerReference w:type="default" r:id="rId11"/>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00B5" w:rsidP="00784355" w:rsidRDefault="00D400B5" w14:paraId="6D6B20CF" w14:textId="77777777">
      <w:pPr>
        <w:spacing w:after="0" w:line="240" w:lineRule="auto"/>
      </w:pPr>
      <w:r>
        <w:separator/>
      </w:r>
    </w:p>
  </w:endnote>
  <w:endnote w:type="continuationSeparator" w:id="0">
    <w:p w:rsidR="00D400B5" w:rsidP="00784355" w:rsidRDefault="00D400B5" w14:paraId="5DF3E7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00B5" w:rsidP="00784355" w:rsidRDefault="00D400B5" w14:paraId="532C6D3A" w14:textId="77777777">
      <w:pPr>
        <w:spacing w:after="0" w:line="240" w:lineRule="auto"/>
      </w:pPr>
      <w:r>
        <w:separator/>
      </w:r>
    </w:p>
  </w:footnote>
  <w:footnote w:type="continuationSeparator" w:id="0">
    <w:p w:rsidR="00D400B5" w:rsidP="00784355" w:rsidRDefault="00D400B5" w14:paraId="10FC28B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16cid:durableId="1334185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07244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A3"/>
    <w:rsid w:val="0000279F"/>
    <w:rsid w:val="00002AAA"/>
    <w:rsid w:val="0000543A"/>
    <w:rsid w:val="00005B96"/>
    <w:rsid w:val="0000745F"/>
    <w:rsid w:val="00007C03"/>
    <w:rsid w:val="00010987"/>
    <w:rsid w:val="00013057"/>
    <w:rsid w:val="000135A5"/>
    <w:rsid w:val="00014849"/>
    <w:rsid w:val="00014DD0"/>
    <w:rsid w:val="000159CC"/>
    <w:rsid w:val="00015C22"/>
    <w:rsid w:val="00015E3B"/>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3A6"/>
    <w:rsid w:val="001529FE"/>
    <w:rsid w:val="001546A4"/>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6E9"/>
    <w:rsid w:val="00261D97"/>
    <w:rsid w:val="0027261F"/>
    <w:rsid w:val="00272F4F"/>
    <w:rsid w:val="0027301E"/>
    <w:rsid w:val="00273738"/>
    <w:rsid w:val="00274985"/>
    <w:rsid w:val="00274A0C"/>
    <w:rsid w:val="0027653A"/>
    <w:rsid w:val="002768C6"/>
    <w:rsid w:val="00276A92"/>
    <w:rsid w:val="00277667"/>
    <w:rsid w:val="00277BBA"/>
    <w:rsid w:val="002804DF"/>
    <w:rsid w:val="002813C9"/>
    <w:rsid w:val="00282133"/>
    <w:rsid w:val="0028294E"/>
    <w:rsid w:val="002830BC"/>
    <w:rsid w:val="00283E79"/>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38D"/>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4F3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34B"/>
    <w:rsid w:val="003F2DC2"/>
    <w:rsid w:val="003F5262"/>
    <w:rsid w:val="00401E6A"/>
    <w:rsid w:val="00403814"/>
    <w:rsid w:val="004049B9"/>
    <w:rsid w:val="00411866"/>
    <w:rsid w:val="00411DEE"/>
    <w:rsid w:val="00414109"/>
    <w:rsid w:val="00414A7B"/>
    <w:rsid w:val="00417CFB"/>
    <w:rsid w:val="00417E23"/>
    <w:rsid w:val="00420F89"/>
    <w:rsid w:val="0042236E"/>
    <w:rsid w:val="00425ACB"/>
    <w:rsid w:val="00425F75"/>
    <w:rsid w:val="00426C11"/>
    <w:rsid w:val="00427829"/>
    <w:rsid w:val="004310D6"/>
    <w:rsid w:val="004324AC"/>
    <w:rsid w:val="00435770"/>
    <w:rsid w:val="00437984"/>
    <w:rsid w:val="00440AE0"/>
    <w:rsid w:val="00440BC2"/>
    <w:rsid w:val="00443875"/>
    <w:rsid w:val="00444232"/>
    <w:rsid w:val="00444DE9"/>
    <w:rsid w:val="00445D0D"/>
    <w:rsid w:val="004504A1"/>
    <w:rsid w:val="004513F2"/>
    <w:rsid w:val="00452340"/>
    <w:rsid w:val="00452C11"/>
    <w:rsid w:val="00460623"/>
    <w:rsid w:val="00460C30"/>
    <w:rsid w:val="0046262B"/>
    <w:rsid w:val="00463C58"/>
    <w:rsid w:val="00465FB9"/>
    <w:rsid w:val="00466302"/>
    <w:rsid w:val="0046647B"/>
    <w:rsid w:val="0047370C"/>
    <w:rsid w:val="00475098"/>
    <w:rsid w:val="0047522D"/>
    <w:rsid w:val="00475BD8"/>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718F"/>
    <w:rsid w:val="004B155C"/>
    <w:rsid w:val="004B1A8C"/>
    <w:rsid w:val="004B27E2"/>
    <w:rsid w:val="004B48B9"/>
    <w:rsid w:val="004B51ED"/>
    <w:rsid w:val="004B5762"/>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17AE"/>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200"/>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5CA"/>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6DDF"/>
    <w:rsid w:val="008D6FDB"/>
    <w:rsid w:val="008D721C"/>
    <w:rsid w:val="008E33FD"/>
    <w:rsid w:val="008E44D1"/>
    <w:rsid w:val="008E661B"/>
    <w:rsid w:val="008E75E7"/>
    <w:rsid w:val="008E7F8A"/>
    <w:rsid w:val="008F012D"/>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4E6B"/>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CEF"/>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8505A"/>
    <w:rsid w:val="00A90707"/>
    <w:rsid w:val="00A90926"/>
    <w:rsid w:val="00A924D3"/>
    <w:rsid w:val="00A927BE"/>
    <w:rsid w:val="00A928E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BA5"/>
    <w:rsid w:val="00AD2DF1"/>
    <w:rsid w:val="00AD2EA1"/>
    <w:rsid w:val="00AD2EE7"/>
    <w:rsid w:val="00AD392D"/>
    <w:rsid w:val="00AD4559"/>
    <w:rsid w:val="00AD772E"/>
    <w:rsid w:val="00AE131E"/>
    <w:rsid w:val="00AE4125"/>
    <w:rsid w:val="00AE58A1"/>
    <w:rsid w:val="00AE5E6E"/>
    <w:rsid w:val="00AE6723"/>
    <w:rsid w:val="00AE6BD5"/>
    <w:rsid w:val="00AF19B6"/>
    <w:rsid w:val="00AF1C99"/>
    <w:rsid w:val="00AF3146"/>
    <w:rsid w:val="00AF5E87"/>
    <w:rsid w:val="00AF68BD"/>
    <w:rsid w:val="00AF7193"/>
    <w:rsid w:val="00B00552"/>
    <w:rsid w:val="00B00DFA"/>
    <w:rsid w:val="00B013C6"/>
    <w:rsid w:val="00B02BEE"/>
    <w:rsid w:val="00B06740"/>
    <w:rsid w:val="00B07EF2"/>
    <w:rsid w:val="00B106B7"/>
    <w:rsid w:val="00B10BD5"/>
    <w:rsid w:val="00B11C1C"/>
    <w:rsid w:val="00B12E7A"/>
    <w:rsid w:val="00B13613"/>
    <w:rsid w:val="00B1378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66B6"/>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36D31"/>
    <w:rsid w:val="00C4007D"/>
    <w:rsid w:val="00C4163B"/>
    <w:rsid w:val="00C41F24"/>
    <w:rsid w:val="00C43FD0"/>
    <w:rsid w:val="00C4691E"/>
    <w:rsid w:val="00C47619"/>
    <w:rsid w:val="00C51445"/>
    <w:rsid w:val="00C5168E"/>
    <w:rsid w:val="00C51D2A"/>
    <w:rsid w:val="00C52848"/>
    <w:rsid w:val="00C6074A"/>
    <w:rsid w:val="00C61FF5"/>
    <w:rsid w:val="00C63606"/>
    <w:rsid w:val="00C642DF"/>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045A"/>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2834"/>
    <w:rsid w:val="00CE51C3"/>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1AA"/>
    <w:rsid w:val="00D322D9"/>
    <w:rsid w:val="00D333A4"/>
    <w:rsid w:val="00D345C8"/>
    <w:rsid w:val="00D35DD1"/>
    <w:rsid w:val="00D400B5"/>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620F"/>
    <w:rsid w:val="00D97041"/>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47F1"/>
    <w:rsid w:val="00E06847"/>
    <w:rsid w:val="00E06EE2"/>
    <w:rsid w:val="00E107CA"/>
    <w:rsid w:val="00E1216B"/>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2C7B"/>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878F6"/>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C5F69"/>
    <w:rsid w:val="00FC66BB"/>
    <w:rsid w:val="00FD78D4"/>
    <w:rsid w:val="00FD7CD7"/>
    <w:rsid w:val="00FE1D8F"/>
    <w:rsid w:val="00FE2169"/>
    <w:rsid w:val="00FE38F0"/>
    <w:rsid w:val="00FE400D"/>
    <w:rsid w:val="00FE43A9"/>
    <w:rsid w:val="00FE6588"/>
    <w:rsid w:val="00FE70D2"/>
    <w:rsid w:val="00FE73F3"/>
    <w:rsid w:val="00FF41F3"/>
    <w:rsid w:val="00FF548B"/>
    <w:rsid w:val="1BF5EF3C"/>
    <w:rsid w:val="26ECBCF5"/>
    <w:rsid w:val="27F29FC3"/>
    <w:rsid w:val="29D67E0F"/>
    <w:rsid w:val="3568EE52"/>
    <w:rsid w:val="35C77519"/>
    <w:rsid w:val="4763FDEF"/>
    <w:rsid w:val="5448B3DA"/>
    <w:rsid w:val="54D64809"/>
    <w:rsid w:val="589273A8"/>
    <w:rsid w:val="7ABF9C5A"/>
    <w:rsid w:val="7BC7B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028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C8AA713-98C5-4560-A4CC-88296EEE8CF1}"/>
</file>

<file path=customXml/itemProps3.xml><?xml version="1.0" encoding="utf-8"?>
<ds:datastoreItem xmlns:ds="http://schemas.openxmlformats.org/officeDocument/2006/customXml" ds:itemID="{9B69785B-2867-4A08-B7EE-005BFB6B03A2}"/>
</file>

<file path=customXml/itemProps4.xml><?xml version="1.0" encoding="utf-8"?>
<ds:datastoreItem xmlns:ds="http://schemas.openxmlformats.org/officeDocument/2006/customXml" ds:itemID="{70AC368F-1A10-48D9-96E6-0202EF2577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14</cp:revision>
  <cp:lastPrinted>2025-09-23T20:14:00Z</cp:lastPrinted>
  <dcterms:created xsi:type="dcterms:W3CDTF">2025-09-19T17:13:00Z</dcterms:created>
  <dcterms:modified xsi:type="dcterms:W3CDTF">2026-05-18T19:42:26Z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