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E16" w:rsidR="00D12B6B" w:rsidP="00BC3E16" w:rsidRDefault="00D12B6B" w14:paraId="450BB199" w14:textId="77777777">
      <w:pPr>
        <w:spacing w:after="0" w:line="240" w:lineRule="auto"/>
        <w:jc w:val="both"/>
        <w:rPr>
          <w:rFonts w:ascii="Times New Roman" w:hAnsi="Times New Roman" w:cs="Times New Roman"/>
          <w:b/>
          <w:sz w:val="24"/>
          <w:szCs w:val="24"/>
          <w:lang w:val="es-PE" w:eastAsia="ar-SA"/>
        </w:rPr>
      </w:pPr>
    </w:p>
    <w:p w:rsidRPr="00BC3E16" w:rsidR="00BC3E16" w:rsidP="00BC3E16" w:rsidRDefault="00201C0D" w14:paraId="23A242B6" w14:textId="7E6225A2">
      <w:pPr>
        <w:spacing w:after="0" w:line="240" w:lineRule="auto"/>
        <w:jc w:val="center"/>
        <w:rPr>
          <w:rFonts w:ascii="Times New Roman" w:hAnsi="Times New Roman" w:cs="Times New Roman"/>
          <w:b/>
          <w:sz w:val="24"/>
          <w:szCs w:val="24"/>
          <w:lang w:val="es-PE" w:eastAsia="ar-SA"/>
        </w:rPr>
      </w:pPr>
      <w:r w:rsidRPr="00BC3E16">
        <w:rPr>
          <w:rFonts w:ascii="Times New Roman" w:hAnsi="Times New Roman" w:cs="Times New Roman"/>
          <w:b/>
          <w:sz w:val="24"/>
          <w:szCs w:val="24"/>
          <w:lang w:val="es-PE" w:eastAsia="ar-SA"/>
        </w:rPr>
        <w:t xml:space="preserve">RESOLUCIÓN </w:t>
      </w:r>
      <w:r w:rsidRPr="00BC3E16" w:rsidR="00D12B6B">
        <w:rPr>
          <w:rFonts w:ascii="Times New Roman" w:hAnsi="Times New Roman" w:cs="Times New Roman"/>
          <w:b/>
          <w:sz w:val="24"/>
          <w:szCs w:val="24"/>
          <w:lang w:val="es-PE" w:eastAsia="ar-SA"/>
        </w:rPr>
        <w:t>N</w:t>
      </w:r>
      <w:r w:rsidRPr="00BC3E16" w:rsidR="00C74F6C">
        <w:rPr>
          <w:rFonts w:ascii="Times New Roman" w:hAnsi="Times New Roman" w:cs="Times New Roman"/>
          <w:b/>
          <w:sz w:val="24"/>
          <w:szCs w:val="24"/>
          <w:lang w:val="es-PE" w:eastAsia="ar-SA"/>
        </w:rPr>
        <w:t>° 15</w:t>
      </w:r>
      <w:r w:rsidRPr="00BC3E16" w:rsidR="009542E8">
        <w:rPr>
          <w:rFonts w:ascii="Times New Roman" w:hAnsi="Times New Roman" w:cs="Times New Roman"/>
          <w:b/>
          <w:sz w:val="24"/>
          <w:szCs w:val="24"/>
          <w:lang w:val="es-PE" w:eastAsia="ar-SA"/>
        </w:rPr>
        <w:t>3</w:t>
      </w:r>
      <w:r w:rsidRPr="00BC3E16" w:rsidR="00AA2AA2">
        <w:rPr>
          <w:rFonts w:ascii="Times New Roman" w:hAnsi="Times New Roman" w:cs="Times New Roman"/>
          <w:b/>
          <w:sz w:val="24"/>
          <w:szCs w:val="24"/>
          <w:lang w:val="es-PE" w:eastAsia="ar-SA"/>
        </w:rPr>
        <w:t>/25</w:t>
      </w:r>
      <w:bookmarkStart w:name="_Hlk198053358" w:id="0"/>
    </w:p>
    <w:p w:rsidRPr="00BC3E16" w:rsidR="00BC3E16" w:rsidP="00BC3E16" w:rsidRDefault="00BC3E16" w14:paraId="4A6B36D7" w14:textId="6E757365">
      <w:pPr>
        <w:spacing w:after="200" w:line="240" w:lineRule="auto"/>
        <w:jc w:val="both"/>
        <w:rPr>
          <w:rFonts w:ascii="Times New Roman" w:hAnsi="Times New Roman" w:cs="Times New Roman"/>
          <w:b/>
          <w:bCs/>
          <w:sz w:val="24"/>
          <w:szCs w:val="24"/>
          <w:lang w:val="es-PE"/>
        </w:rPr>
      </w:pPr>
      <w:r w:rsidRPr="00BC3E16">
        <w:rPr>
          <w:rFonts w:ascii="Times New Roman" w:hAnsi="Times New Roman" w:cs="Times New Roman"/>
          <w:b/>
          <w:bCs/>
          <w:sz w:val="24"/>
          <w:szCs w:val="24"/>
          <w:lang w:val="es-PE"/>
        </w:rPr>
        <w:t>Vistos:</w:t>
      </w:r>
    </w:p>
    <w:p w:rsidRPr="00BC3E16" w:rsidR="00BC3E16" w:rsidP="00BC3E16" w:rsidRDefault="00BC3E16" w14:paraId="0E23A30F" w14:textId="03F6D613">
      <w:pPr>
        <w:spacing w:after="200" w:line="240" w:lineRule="auto"/>
        <w:jc w:val="both"/>
        <w:rPr>
          <w:rFonts w:ascii="Times New Roman" w:hAnsi="Times New Roman" w:cs="Times New Roman"/>
          <w:sz w:val="24"/>
          <w:szCs w:val="24"/>
          <w:lang w:val="es-PE"/>
        </w:rPr>
      </w:pPr>
      <w:r w:rsidRPr="737AD2E9" w:rsidR="00BC3E16">
        <w:rPr>
          <w:rFonts w:ascii="Times New Roman" w:hAnsi="Times New Roman" w:cs="Times New Roman"/>
          <w:sz w:val="24"/>
          <w:szCs w:val="24"/>
          <w:lang w:val="es-PE"/>
        </w:rPr>
        <w:t>Que, con fecha 09 de junio de 2025 doña</w:t>
      </w:r>
      <w:r w:rsidRPr="737AD2E9" w:rsidR="0E00D3F2">
        <w:rPr>
          <w:rFonts w:ascii="Times New Roman" w:hAnsi="Times New Roman" w:cs="Times New Roman"/>
          <w:sz w:val="24"/>
          <w:szCs w:val="24"/>
          <w:lang w:val="es-PE"/>
        </w:rPr>
        <w:t xml:space="preserve"> .</w:t>
      </w:r>
      <w:r w:rsidRPr="737AD2E9" w:rsidR="2719E0FF">
        <w:rPr>
          <w:rFonts w:ascii="Times New Roman" w:hAnsi="Times New Roman" w:cs="Times New Roman"/>
          <w:sz w:val="24"/>
          <w:szCs w:val="24"/>
          <w:lang w:val="es-PE"/>
        </w:rPr>
        <w:t>...........................................................</w:t>
      </w:r>
      <w:r w:rsidRPr="737AD2E9" w:rsidR="00BC3E16">
        <w:rPr>
          <w:rFonts w:ascii="Times New Roman" w:hAnsi="Times New Roman" w:cs="Times New Roman"/>
          <w:sz w:val="24"/>
          <w:szCs w:val="24"/>
          <w:lang w:val="es-PE"/>
        </w:rPr>
        <w:t xml:space="preserve"> interpone reclamación ante esta Defensoría del Asegurado (DEFASEG) solicitando que </w:t>
      </w:r>
      <w:r w:rsidRPr="737AD2E9" w:rsidR="76C16E15">
        <w:rPr>
          <w:rFonts w:ascii="Times New Roman" w:hAnsi="Times New Roman" w:cs="Times New Roman"/>
          <w:sz w:val="24"/>
          <w:szCs w:val="24"/>
          <w:lang w:val="es-PE"/>
        </w:rPr>
        <w:t>.................................</w:t>
      </w:r>
      <w:r w:rsidRPr="737AD2E9" w:rsidR="00BC3E16">
        <w:rPr>
          <w:rFonts w:ascii="Times New Roman" w:hAnsi="Times New Roman" w:cs="Times New Roman"/>
          <w:sz w:val="24"/>
          <w:szCs w:val="24"/>
          <w:lang w:val="es-PE"/>
        </w:rPr>
        <w:t xml:space="preserve"> otorgue cobertura de seguro con motivo del fallecimiento de su hermano </w:t>
      </w:r>
      <w:r w:rsidRPr="737AD2E9" w:rsidR="3F9D5E19">
        <w:rPr>
          <w:rFonts w:ascii="Times New Roman" w:hAnsi="Times New Roman" w:cs="Times New Roman"/>
          <w:sz w:val="24"/>
          <w:szCs w:val="24"/>
          <w:lang w:val="es-PE"/>
        </w:rPr>
        <w:t>.......................................................................</w:t>
      </w:r>
      <w:r w:rsidRPr="737AD2E9" w:rsidR="00BC3E16">
        <w:rPr>
          <w:rFonts w:ascii="Times New Roman" w:hAnsi="Times New Roman" w:cs="Times New Roman"/>
          <w:sz w:val="24"/>
          <w:szCs w:val="24"/>
          <w:lang w:val="es-PE"/>
        </w:rPr>
        <w:t xml:space="preserve">, asegurado dependiente de la póliza Protección Familiar </w:t>
      </w:r>
      <w:r w:rsidRPr="737AD2E9" w:rsidR="00BC3E16">
        <w:rPr>
          <w:rFonts w:ascii="Times New Roman" w:hAnsi="Times New Roman" w:cs="Times New Roman"/>
          <w:sz w:val="24"/>
          <w:szCs w:val="24"/>
          <w:lang w:val="es-PE"/>
        </w:rPr>
        <w:t>N°</w:t>
      </w:r>
      <w:r w:rsidRPr="737AD2E9" w:rsidR="00BC3E16">
        <w:rPr>
          <w:rFonts w:ascii="Times New Roman" w:hAnsi="Times New Roman" w:cs="Times New Roman"/>
          <w:sz w:val="24"/>
          <w:szCs w:val="24"/>
          <w:lang w:val="es-PE"/>
        </w:rPr>
        <w:t xml:space="preserve"> </w:t>
      </w:r>
      <w:r w:rsidRPr="737AD2E9" w:rsidR="549DDE02">
        <w:rPr>
          <w:rFonts w:ascii="Times New Roman" w:hAnsi="Times New Roman" w:cs="Times New Roman"/>
          <w:sz w:val="24"/>
          <w:szCs w:val="24"/>
          <w:lang w:val="es-PE"/>
        </w:rPr>
        <w:t>..................</w:t>
      </w:r>
      <w:r w:rsidRPr="737AD2E9" w:rsidR="00BC3E16">
        <w:rPr>
          <w:rFonts w:ascii="Times New Roman" w:hAnsi="Times New Roman" w:cs="Times New Roman"/>
          <w:sz w:val="24"/>
          <w:szCs w:val="24"/>
          <w:lang w:val="es-PE"/>
        </w:rPr>
        <w:t xml:space="preserve">; </w:t>
      </w:r>
      <w:bookmarkStart w:name="OLE_LINK2" w:id="2"/>
    </w:p>
    <w:bookmarkEnd w:id="2"/>
    <w:p w:rsidRPr="00BC3E16" w:rsidR="00BC3E16" w:rsidP="00BC3E16" w:rsidRDefault="00BC3E16" w14:paraId="30FE36B0" w14:textId="77777777">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sz w:val="24"/>
          <w:szCs w:val="24"/>
          <w:lang w:val="es-PE"/>
        </w:rPr>
        <w:t>Que, la señalada reclamación cumple con los requisitos de materia, cuantía y oportunidad establecidos en el Reglamento de la DEFASEG (http://</w:t>
      </w:r>
      <w:r w:rsidRPr="00BC3E16">
        <w:rPr>
          <w:rFonts w:ascii="Times New Roman" w:hAnsi="Times New Roman" w:cs="Times New Roman"/>
          <w:sz w:val="24"/>
          <w:szCs w:val="24"/>
          <w:lang w:val="es-ES"/>
        </w:rPr>
        <w:t xml:space="preserve"> </w:t>
      </w:r>
      <w:r w:rsidRPr="00BC3E16">
        <w:rPr>
          <w:rFonts w:ascii="Times New Roman" w:hAnsi="Times New Roman" w:cs="Times New Roman"/>
          <w:sz w:val="24"/>
          <w:szCs w:val="24"/>
          <w:lang w:val="es-PE"/>
        </w:rPr>
        <w:t>http://www.defaseg.com.pe/reglamento.html);</w:t>
      </w:r>
    </w:p>
    <w:p w:rsidRPr="00BC3E16" w:rsidR="00BC3E16" w:rsidP="00BC3E16" w:rsidRDefault="00BC3E16" w14:paraId="3A709DCD" w14:textId="77777777">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sz w:val="24"/>
          <w:szCs w:val="24"/>
          <w:lang w:val="es-PE"/>
        </w:rPr>
        <w:t xml:space="preserve">Que, habiéndosele corrido traslado de la respectiva reclamación el 07 de junio de 2025, la aseguradora solicitó un plazo adicional para presentar sus descargos, lo cual realizó el 07 de julio de 2025; corriéndose traslado de </w:t>
      </w:r>
      <w:proofErr w:type="gramStart"/>
      <w:r w:rsidRPr="00BC3E16">
        <w:rPr>
          <w:rFonts w:ascii="Times New Roman" w:hAnsi="Times New Roman" w:cs="Times New Roman"/>
          <w:sz w:val="24"/>
          <w:szCs w:val="24"/>
          <w:lang w:val="es-PE"/>
        </w:rPr>
        <w:t>los mismos</w:t>
      </w:r>
      <w:proofErr w:type="gramEnd"/>
      <w:r w:rsidRPr="00BC3E16">
        <w:rPr>
          <w:rFonts w:ascii="Times New Roman" w:hAnsi="Times New Roman" w:cs="Times New Roman"/>
          <w:sz w:val="24"/>
          <w:szCs w:val="24"/>
          <w:lang w:val="es-PE"/>
        </w:rPr>
        <w:t xml:space="preserve"> a la otra parte; </w:t>
      </w:r>
    </w:p>
    <w:p w:rsidRPr="00BC3E16" w:rsidR="00BC3E16" w:rsidP="00BC3E16" w:rsidRDefault="00BC3E16" w14:paraId="1B0CBC50" w14:textId="77777777">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sz w:val="24"/>
          <w:szCs w:val="24"/>
          <w:lang w:val="es-PE"/>
        </w:rPr>
        <w:t xml:space="preserve">Que, el 25 de agosto de 2025 se realizó la audiencia virtual de vista en la plataforma habilitada para tal efecto, con la concurrencia de ambas partes, quienes sustentaron sus respectivas posiciones, absolviendo las diversas preguntas formuladas por este colegiado, conforme consta de la correspondiente acta; </w:t>
      </w:r>
    </w:p>
    <w:p w:rsidRPr="00BC3E16" w:rsidR="00BC3E16" w:rsidP="00BC3E16" w:rsidRDefault="00BC3E16" w14:paraId="09A83666" w14:textId="0F5D4ED7">
      <w:pPr>
        <w:spacing w:after="200" w:line="240" w:lineRule="auto"/>
        <w:jc w:val="both"/>
        <w:rPr>
          <w:rFonts w:ascii="Times New Roman" w:hAnsi="Times New Roman" w:cs="Times New Roman"/>
          <w:sz w:val="24"/>
          <w:szCs w:val="24"/>
          <w:lang w:val="es-PE"/>
        </w:rPr>
      </w:pPr>
      <w:r w:rsidRPr="737AD2E9" w:rsidR="00BC3E16">
        <w:rPr>
          <w:rFonts w:ascii="Times New Roman" w:hAnsi="Times New Roman" w:cs="Times New Roman"/>
          <w:sz w:val="24"/>
          <w:szCs w:val="24"/>
          <w:lang w:val="es-PE"/>
        </w:rPr>
        <w:t xml:space="preserve">Que, la reclamación se sustenta resumidamente en lo siguiente: a) con fecha 04.10.2018 suscribió la póliza Protección Familiar </w:t>
      </w:r>
      <w:r w:rsidRPr="737AD2E9" w:rsidR="00BC3E16">
        <w:rPr>
          <w:rFonts w:ascii="Times New Roman" w:hAnsi="Times New Roman" w:cs="Times New Roman"/>
          <w:sz w:val="24"/>
          <w:szCs w:val="24"/>
          <w:lang w:val="es-PE"/>
        </w:rPr>
        <w:t>N°</w:t>
      </w:r>
      <w:r w:rsidRPr="737AD2E9" w:rsidR="00BC3E16">
        <w:rPr>
          <w:rFonts w:ascii="Times New Roman" w:hAnsi="Times New Roman" w:cs="Times New Roman"/>
          <w:sz w:val="24"/>
          <w:szCs w:val="24"/>
          <w:lang w:val="es-PE"/>
        </w:rPr>
        <w:t xml:space="preserve"> </w:t>
      </w:r>
      <w:r w:rsidRPr="737AD2E9" w:rsidR="549DDE02">
        <w:rPr>
          <w:rFonts w:ascii="Times New Roman" w:hAnsi="Times New Roman" w:cs="Times New Roman"/>
          <w:sz w:val="24"/>
          <w:szCs w:val="24"/>
          <w:lang w:val="es-PE"/>
        </w:rPr>
        <w:t>..................</w:t>
      </w:r>
      <w:r w:rsidRPr="737AD2E9" w:rsidR="00BC3E16">
        <w:rPr>
          <w:rFonts w:ascii="Times New Roman" w:hAnsi="Times New Roman" w:cs="Times New Roman"/>
          <w:sz w:val="24"/>
          <w:szCs w:val="24"/>
          <w:lang w:val="es-PE"/>
        </w:rPr>
        <w:t xml:space="preserve"> la cual contempla coberturas por fallecimiento, gastos de sepelio, renta familiar mensual, anticipo de capital por enfermedad grave y desamparo familiar súbito; b) como asegurado dependiente fue incorporado su hermano </w:t>
      </w:r>
      <w:r w:rsidRPr="737AD2E9" w:rsidR="72CB95DB">
        <w:rPr>
          <w:rFonts w:ascii="Times New Roman" w:hAnsi="Times New Roman" w:cs="Times New Roman"/>
          <w:sz w:val="24"/>
          <w:szCs w:val="24"/>
          <w:lang w:val="es-PE"/>
        </w:rPr>
        <w:t>..............................................................</w:t>
      </w:r>
      <w:r w:rsidRPr="737AD2E9" w:rsidR="00BC3E16">
        <w:rPr>
          <w:rFonts w:ascii="Times New Roman" w:hAnsi="Times New Roman" w:cs="Times New Roman"/>
          <w:sz w:val="24"/>
          <w:szCs w:val="24"/>
          <w:lang w:val="es-PE"/>
        </w:rPr>
        <w:t>; c) el 02.01.2024 su hermano fue hospitalizado de emergencia en Estados Unidos como consecuencia de un infarto cerebral severo; d) el 30.01.2024 lamentablemente fallece, siendo la causa oficial “infarto cerebral severo” lo cual constituye un evento súbito e inesperado; e) el 10.09.2024 logro presentar la historia clínica completa del asegurad, a fin de cumplir con las exigencias de la aseguradora para la activación del seguro; f)  el 25.09.2024 le solicitan las atenciones médicas previas en territorio nacional; g) en el mes de octubre se entrega la historia clínica emitida por la Dirección de redes Integrales de Salud de Lima Norte, la cual contenía información completa de las atenciones brindadas a su hermano en el Centro de salud de Mesa Redonda; h) a pesar de haber cumplido con lo requerido el 19.11.2024 fue notificada del rechazo de siniestro; y pese a su reconsideración la aseguradora emite nuevas comunicaciones el 13 y 16 de diciembre manteniendo la negativa en otorgar la cobertura alegando una condición preexistente; i) al momento de con</w:t>
      </w:r>
      <w:r w:rsidRPr="737AD2E9" w:rsidR="00BC3E16">
        <w:rPr>
          <w:rFonts w:ascii="Times New Roman" w:hAnsi="Times New Roman" w:cs="Times New Roman"/>
          <w:sz w:val="24"/>
          <w:szCs w:val="24"/>
          <w:lang w:val="es-PE"/>
        </w:rPr>
        <w:t>trata</w:t>
      </w:r>
      <w:r w:rsidRPr="737AD2E9" w:rsidR="00BC3E16">
        <w:rPr>
          <w:rFonts w:ascii="Times New Roman" w:hAnsi="Times New Roman" w:cs="Times New Roman"/>
          <w:sz w:val="24"/>
          <w:szCs w:val="24"/>
          <w:lang w:val="es-PE"/>
        </w:rPr>
        <w:t xml:space="preserve">r el seguro, su hermano no </w:t>
      </w:r>
      <w:r w:rsidRPr="737AD2E9" w:rsidR="00BC3E16">
        <w:rPr>
          <w:rFonts w:ascii="Times New Roman" w:hAnsi="Times New Roman" w:cs="Times New Roman"/>
          <w:sz w:val="24"/>
          <w:szCs w:val="24"/>
          <w:lang w:val="es-PE"/>
        </w:rPr>
        <w:t>tenia</w:t>
      </w:r>
      <w:r w:rsidRPr="737AD2E9" w:rsidR="00BC3E16">
        <w:rPr>
          <w:rFonts w:ascii="Times New Roman" w:hAnsi="Times New Roman" w:cs="Times New Roman"/>
          <w:sz w:val="24"/>
          <w:szCs w:val="24"/>
          <w:lang w:val="es-PE"/>
        </w:rPr>
        <w:t xml:space="preserve"> diagnostico ni antecedente clínico que pudiera indicar la existencia de una enfermedad preexistente por lo que la alegación de omisión en la declaración de salud carece de sustento fáctico y jurídico; j) la póliza contiene un artículo 17 que señala que pasados dos años desde su emisión es indisputable, y no se pueden alegar omisiones o inexactitudes relacionadas con el estado de salud, salvo dolo o fraude; lo que no ha ocurrido; k) la aseguradora tiene la carga de la prueba y no ha acreditado de manera concluyente una condición preexistente no declarada que guarde relación de causalidad directa con el siniestro; existe una conducta sistemática de la aseguradora tendiente a eludir sus obligaciones afectando la confianza del consumidor y justificando una intervención regulatoria más estricta; l) cita una serie de disposiciones y jurisprudencia que enfatizan la interpretación de buena fe, transparencia y trato justo; m) consideran corresponde el pago de la indemnización por fallecimiento de S/20,000; </w:t>
      </w:r>
      <w:r w:rsidRPr="737AD2E9" w:rsidR="00BC3E16">
        <w:rPr>
          <w:rFonts w:ascii="Times New Roman" w:hAnsi="Times New Roman" w:cs="Times New Roman"/>
          <w:sz w:val="24"/>
          <w:szCs w:val="24"/>
          <w:lang w:val="es-PE"/>
        </w:rPr>
        <w:t xml:space="preserve">gastos de sepelio por S/6,000; renta familiar mensual por S/12,000; desamparo familiar súbito por S/30,000 y anticipo de capital por enfermedad grave de S/10,000; por lo que el monto total adeudado asciende a S/78,000; n) se solicita se requiera a </w:t>
      </w:r>
      <w:r w:rsidRPr="737AD2E9" w:rsidR="5DB1AFDF">
        <w:rPr>
          <w:rFonts w:ascii="Times New Roman" w:hAnsi="Times New Roman" w:cs="Times New Roman"/>
          <w:sz w:val="24"/>
          <w:szCs w:val="24"/>
          <w:lang w:val="es-PE"/>
        </w:rPr>
        <w:t>.................</w:t>
      </w:r>
      <w:r w:rsidRPr="737AD2E9" w:rsidR="00BC3E16">
        <w:rPr>
          <w:rFonts w:ascii="Times New Roman" w:hAnsi="Times New Roman" w:cs="Times New Roman"/>
          <w:sz w:val="24"/>
          <w:szCs w:val="24"/>
          <w:lang w:val="es-PE"/>
        </w:rPr>
        <w:t xml:space="preserve"> el cumplimiento inmediato de la póliza; la revisión y rectificación del procedimiento administrativo e imponer sanciones o medidas correctivas en caso se determina que la negativa de pago constituye una práctica reiterada. Mediante escrito adicional en respuesta a los descargos de </w:t>
      </w:r>
      <w:r w:rsidRPr="737AD2E9" w:rsidR="5DB1AFDF">
        <w:rPr>
          <w:rFonts w:ascii="Times New Roman" w:hAnsi="Times New Roman" w:cs="Times New Roman"/>
          <w:sz w:val="24"/>
          <w:szCs w:val="24"/>
          <w:lang w:val="es-PE"/>
        </w:rPr>
        <w:t>.................</w:t>
      </w:r>
      <w:r w:rsidRPr="737AD2E9" w:rsidR="00BC3E16">
        <w:rPr>
          <w:rFonts w:ascii="Times New Roman" w:hAnsi="Times New Roman" w:cs="Times New Roman"/>
          <w:sz w:val="24"/>
          <w:szCs w:val="24"/>
          <w:lang w:val="es-PE"/>
        </w:rPr>
        <w:t>, la reclamante señala que la aseguradora pretende sustentar una supuesta enfermedad preexistente basándose en anotaciones médicas sin respaldo de pruebas diagnósticas objetivas (análisis de laboratorio, informes endo</w:t>
      </w:r>
      <w:r w:rsidRPr="737AD2E9" w:rsidR="00BC3E16">
        <w:rPr>
          <w:rFonts w:ascii="Times New Roman" w:hAnsi="Times New Roman" w:cs="Times New Roman"/>
          <w:sz w:val="24"/>
          <w:szCs w:val="24"/>
          <w:lang w:val="es-PE"/>
        </w:rPr>
        <w:t>crinológicos,</w:t>
      </w:r>
      <w:r w:rsidRPr="737AD2E9" w:rsidR="00BC3E16">
        <w:rPr>
          <w:rFonts w:ascii="Times New Roman" w:hAnsi="Times New Roman" w:cs="Times New Roman"/>
          <w:sz w:val="24"/>
          <w:szCs w:val="24"/>
          <w:lang w:val="es-PE"/>
        </w:rPr>
        <w:t xml:space="preserve"> exámenes clínicos </w:t>
      </w:r>
      <w:r w:rsidRPr="737AD2E9" w:rsidR="00BC3E16">
        <w:rPr>
          <w:rFonts w:ascii="Times New Roman" w:hAnsi="Times New Roman" w:cs="Times New Roman"/>
          <w:sz w:val="24"/>
          <w:szCs w:val="24"/>
          <w:lang w:val="es-PE"/>
        </w:rPr>
        <w:t>confiratorios</w:t>
      </w:r>
      <w:r w:rsidRPr="737AD2E9" w:rsidR="00BC3E16">
        <w:rPr>
          <w:rFonts w:ascii="Times New Roman" w:hAnsi="Times New Roman" w:cs="Times New Roman"/>
          <w:sz w:val="24"/>
          <w:szCs w:val="24"/>
          <w:lang w:val="es-PE"/>
        </w:rPr>
        <w:t xml:space="preserve">) contraviniendo los estándares probatorios exigibles conforme al derecho vigente; siendo que una anotación aislada no constituye prueba plena de la enfermedad; la norma </w:t>
      </w:r>
      <w:r w:rsidRPr="737AD2E9" w:rsidR="00BC3E16">
        <w:rPr>
          <w:rFonts w:ascii="Times New Roman" w:hAnsi="Times New Roman" w:cs="Times New Roman"/>
          <w:sz w:val="24"/>
          <w:szCs w:val="24"/>
          <w:lang w:val="es-PE"/>
        </w:rPr>
        <w:t>té</w:t>
      </w:r>
      <w:r w:rsidRPr="737AD2E9" w:rsidR="00BC3E16">
        <w:rPr>
          <w:rFonts w:ascii="Times New Roman" w:hAnsi="Times New Roman" w:cs="Times New Roman"/>
          <w:sz w:val="24"/>
          <w:szCs w:val="24"/>
          <w:lang w:val="es-PE"/>
        </w:rPr>
        <w:t xml:space="preserve">cnica de historia clínica (RM </w:t>
      </w:r>
      <w:r w:rsidRPr="737AD2E9" w:rsidR="00BC3E16">
        <w:rPr>
          <w:rFonts w:ascii="Times New Roman" w:hAnsi="Times New Roman" w:cs="Times New Roman"/>
          <w:sz w:val="24"/>
          <w:szCs w:val="24"/>
          <w:lang w:val="es-PE"/>
        </w:rPr>
        <w:t>N°</w:t>
      </w:r>
      <w:r w:rsidRPr="737AD2E9" w:rsidR="00BC3E16">
        <w:rPr>
          <w:rFonts w:ascii="Times New Roman" w:hAnsi="Times New Roman" w:cs="Times New Roman"/>
          <w:sz w:val="24"/>
          <w:szCs w:val="24"/>
          <w:lang w:val="es-PE"/>
        </w:rPr>
        <w:t xml:space="preserve"> 597-2010/MINSA) exige que se cuente con respaldo diagnóstico, firma del profesional tratante y sostenido en el tiempo; lo que no se cumple en este caso; resulta inaceptable que se utilice como prueba determinante una simple anotación de hace más de cinco años antes de la contratación del seguro; no se ha verificado la relación de causalidad entre el supuesto antecedente y la causa real del fallecimiento que fue un infarto cerebral severo, súbito agudo e imprevisible; y que no se aplica la cláusula de indisputabilidad prevista en la póliza, pues no está probado que existió dolo.</w:t>
      </w:r>
    </w:p>
    <w:p w:rsidRPr="00BC3E16" w:rsidR="00BC3E16" w:rsidP="00BC3E16" w:rsidRDefault="00BC3E16" w14:paraId="28795E0A" w14:textId="7C5CF9C3">
      <w:pPr>
        <w:spacing w:after="200" w:line="240" w:lineRule="auto"/>
        <w:jc w:val="both"/>
        <w:rPr>
          <w:rFonts w:ascii="Times New Roman" w:hAnsi="Times New Roman" w:cs="Times New Roman"/>
          <w:sz w:val="24"/>
          <w:szCs w:val="24"/>
          <w:lang w:val="es-PE"/>
        </w:rPr>
      </w:pPr>
      <w:r w:rsidRPr="737AD2E9" w:rsidR="00BC3E16">
        <w:rPr>
          <w:rFonts w:ascii="Times New Roman" w:hAnsi="Times New Roman" w:cs="Times New Roman"/>
          <w:sz w:val="24"/>
          <w:szCs w:val="24"/>
          <w:lang w:val="es-PE"/>
        </w:rPr>
        <w:t xml:space="preserve">Que, por su parte la aseguradora sustenta el rechazo de cobertura resumidamente en lo siguiente: a) rechazaron la cobertura de seguro por enfermedad preexistente, debido a que de la revisión de la historia clínica se evidencia el diagnóstico previo de diabetes mellitus, tanto en la atención del 03.09.2013 como en la hoja de referencia del 17.11.2915; siendo que el seguro fue contratado en octubre de 2018; y dicho diagnostico se encuentra directamente relacionado con la causa de fallecimiento; b) añaden que dicho diagnóstico no fue puesto en conocimiento de la compañía de </w:t>
      </w:r>
      <w:r w:rsidRPr="737AD2E9" w:rsidR="1E19CFBD">
        <w:rPr>
          <w:rFonts w:ascii="Times New Roman" w:hAnsi="Times New Roman" w:cs="Times New Roman"/>
          <w:sz w:val="24"/>
          <w:szCs w:val="24"/>
          <w:lang w:val="es-PE"/>
        </w:rPr>
        <w:t>..................</w:t>
      </w:r>
      <w:r w:rsidRPr="737AD2E9" w:rsidR="00BC3E16">
        <w:rPr>
          <w:rFonts w:ascii="Times New Roman" w:hAnsi="Times New Roman" w:cs="Times New Roman"/>
          <w:sz w:val="24"/>
          <w:szCs w:val="24"/>
          <w:lang w:val="es-PE"/>
        </w:rPr>
        <w:t xml:space="preserve"> en la suscripción del seguro protección familiar omitiendo información relevante de la real condición de salud; pese a que el documento firmado tipificada dicha condición; siendo por tanto ello causal de nulidad del contrato de seguro; c) por lo que han rechazado la cobertura de manera justificada; d) adjuntan parte pertinente de la historia clínica; citan el artículo 24 de la póliza donde figura la causal de exclusión por preexistencia; y adjuntan la declaración personal de salud donde expresamente se preguntó sobre diabetes, y se respondió negativamente, lo que vulnera el principio de buena fe, al estar suscrita por la contratante; e) resulta sumamente trascendente que los asegurados brinden toda la información necesaria a efectos que la aseguradora pueda representar el riesgo, y evalúe si resulta factible o no su aseguramiento, por cuanto asumir un riesgo no conocido conllevaría a desequilibrar la distribución de riesgos; por lo que solicitan que el reclamo sea declarado infundado.</w:t>
      </w:r>
    </w:p>
    <w:p w:rsidRPr="00BC3E16" w:rsidR="00BC3E16" w:rsidP="00BC3E16" w:rsidRDefault="00BC3E16" w14:paraId="12A10920" w14:textId="77777777">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sz w:val="24"/>
          <w:szCs w:val="24"/>
          <w:lang w:val="es-PE"/>
        </w:rPr>
        <w:t>Que el expediente se encuentra en condiciones para que este colegiado expida su pronunciamiento.</w:t>
      </w:r>
    </w:p>
    <w:p w:rsidRPr="00BC3E16" w:rsidR="00BC3E16" w:rsidP="00BC3E16" w:rsidRDefault="00BC3E16" w14:paraId="465D73F8" w14:textId="77777777">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b/>
          <w:bCs/>
          <w:sz w:val="24"/>
          <w:szCs w:val="24"/>
          <w:lang w:val="es-PE"/>
        </w:rPr>
        <w:t>Considerando:</w:t>
      </w:r>
    </w:p>
    <w:p w:rsidRPr="00BC3E16" w:rsidR="00BC3E16" w:rsidP="00BC3E16" w:rsidRDefault="00BC3E16" w14:paraId="71B27467" w14:textId="3FF3CA55">
      <w:pPr>
        <w:spacing w:after="200" w:line="240" w:lineRule="auto"/>
        <w:jc w:val="both"/>
        <w:rPr>
          <w:rFonts w:ascii="Times New Roman" w:hAnsi="Times New Roman" w:cs="Times New Roman"/>
          <w:sz w:val="24"/>
          <w:szCs w:val="24"/>
          <w:lang w:val="es-PE"/>
        </w:rPr>
      </w:pPr>
      <w:r w:rsidRPr="737AD2E9" w:rsidR="00BC3E16">
        <w:rPr>
          <w:rFonts w:ascii="Times New Roman" w:hAnsi="Times New Roman" w:cs="Times New Roman"/>
          <w:b w:val="1"/>
          <w:bCs w:val="1"/>
          <w:sz w:val="24"/>
          <w:szCs w:val="24"/>
          <w:u w:val="single"/>
          <w:lang w:val="es-PE"/>
        </w:rPr>
        <w:t>Primero</w:t>
      </w:r>
      <w:r w:rsidRPr="737AD2E9" w:rsidR="00BC3E16">
        <w:rPr>
          <w:rFonts w:ascii="Times New Roman" w:hAnsi="Times New Roman" w:cs="Times New Roman"/>
          <w:b w:val="1"/>
          <w:bCs w:val="1"/>
          <w:sz w:val="24"/>
          <w:szCs w:val="24"/>
          <w:lang w:val="es-PE"/>
        </w:rPr>
        <w:t xml:space="preserve">: </w:t>
      </w:r>
      <w:r w:rsidRPr="737AD2E9" w:rsidR="00BC3E16">
        <w:rPr>
          <w:rFonts w:ascii="Times New Roman" w:hAnsi="Times New Roman" w:cs="Times New Roman"/>
          <w:sz w:val="24"/>
          <w:szCs w:val="24"/>
          <w:lang w:val="es-PE"/>
        </w:rPr>
        <w:t>Conforme a su Reglamento, la</w:t>
      </w:r>
      <w:r w:rsidRPr="737AD2E9" w:rsidR="00BC3E16">
        <w:rPr>
          <w:rFonts w:ascii="Times New Roman" w:hAnsi="Times New Roman" w:cs="Times New Roman"/>
          <w:b w:val="1"/>
          <w:bCs w:val="1"/>
          <w:sz w:val="24"/>
          <w:szCs w:val="24"/>
          <w:lang w:val="es-PE"/>
        </w:rPr>
        <w:t xml:space="preserve"> </w:t>
      </w:r>
      <w:r w:rsidRPr="737AD2E9" w:rsidR="00BC3E16">
        <w:rPr>
          <w:rFonts w:ascii="Times New Roman" w:hAnsi="Times New Roman" w:cs="Times New Roman"/>
          <w:sz w:val="24"/>
          <w:szCs w:val="24"/>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w:t>
      </w:r>
      <w:r w:rsidRPr="737AD2E9" w:rsidR="1E19CFBD">
        <w:rPr>
          <w:rFonts w:ascii="Times New Roman" w:hAnsi="Times New Roman" w:cs="Times New Roman"/>
          <w:sz w:val="24"/>
          <w:szCs w:val="24"/>
          <w:lang w:val="es-PE"/>
        </w:rPr>
        <w:t>..................</w:t>
      </w:r>
      <w:r w:rsidRPr="737AD2E9" w:rsidR="00BC3E16">
        <w:rPr>
          <w:rFonts w:ascii="Times New Roman" w:hAnsi="Times New Roman" w:cs="Times New Roman"/>
          <w:sz w:val="24"/>
          <w:szCs w:val="24"/>
          <w:lang w:val="es-PE"/>
        </w:rPr>
        <w:t xml:space="preserve">” a los asegurados propiamente dichos, a los contratantes del respectivo seguro y/o a los beneficiarios nombrados en las pólizas. </w:t>
      </w:r>
    </w:p>
    <w:p w:rsidRPr="00BC3E16" w:rsidR="00BC3E16" w:rsidP="00BC3E16" w:rsidRDefault="00BC3E16" w14:paraId="391C617A" w14:textId="77777777">
      <w:pPr>
        <w:spacing w:after="200" w:line="240" w:lineRule="auto"/>
        <w:jc w:val="both"/>
        <w:rPr>
          <w:rFonts w:ascii="Times New Roman" w:hAnsi="Times New Roman" w:cs="Times New Roman"/>
          <w:bCs/>
          <w:sz w:val="24"/>
          <w:szCs w:val="24"/>
          <w:lang w:val="es-PE"/>
        </w:rPr>
      </w:pPr>
      <w:r w:rsidRPr="00BC3E16">
        <w:rPr>
          <w:rFonts w:ascii="Times New Roman" w:hAnsi="Times New Roman" w:cs="Times New Roman"/>
          <w:b/>
          <w:bCs/>
          <w:sz w:val="24"/>
          <w:szCs w:val="24"/>
          <w:u w:val="single"/>
          <w:lang w:val="es-PE"/>
        </w:rPr>
        <w:t>Segundo</w:t>
      </w:r>
      <w:r w:rsidRPr="00BC3E16">
        <w:rPr>
          <w:rFonts w:ascii="Times New Roman" w:hAnsi="Times New Roman" w:cs="Times New Roman"/>
          <w:b/>
          <w:bCs/>
          <w:sz w:val="24"/>
          <w:szCs w:val="24"/>
          <w:lang w:val="es-PE"/>
        </w:rPr>
        <w:t>:</w:t>
      </w:r>
      <w:r w:rsidRPr="00BC3E16">
        <w:rPr>
          <w:rFonts w:ascii="Times New Roman" w:hAnsi="Times New Roman" w:cs="Times New Roman"/>
          <w:bCs/>
          <w:sz w:val="24"/>
          <w:szCs w:val="24"/>
          <w:lang w:val="es-PE"/>
        </w:rPr>
        <w:t xml:space="preserve"> </w:t>
      </w:r>
      <w:r w:rsidRPr="00BC3E16">
        <w:rPr>
          <w:rFonts w:ascii="Times New Roman" w:hAnsi="Times New Roman" w:cs="Times New Roman"/>
          <w:sz w:val="24"/>
          <w:szCs w:val="24"/>
          <w:lang w:val="es-PE"/>
        </w:rPr>
        <w:t xml:space="preserve">Asimismo, </w:t>
      </w:r>
      <w:proofErr w:type="gramStart"/>
      <w:r w:rsidRPr="00BC3E16">
        <w:rPr>
          <w:rFonts w:ascii="Times New Roman" w:hAnsi="Times New Roman" w:cs="Times New Roman"/>
          <w:sz w:val="24"/>
          <w:szCs w:val="24"/>
          <w:lang w:val="es-PE"/>
        </w:rPr>
        <w:t>de acuerdo a</w:t>
      </w:r>
      <w:proofErr w:type="gramEnd"/>
      <w:r w:rsidRPr="00BC3E16">
        <w:rPr>
          <w:rFonts w:ascii="Times New Roman" w:hAnsi="Times New Roman" w:cs="Times New Roman"/>
          <w:sz w:val="24"/>
          <w:szCs w:val="24"/>
          <w:lang w:val="es-PE"/>
        </w:rPr>
        <w:t xml:space="preserve"> </w:t>
      </w:r>
      <w:r w:rsidRPr="00BC3E16">
        <w:rPr>
          <w:rFonts w:ascii="Times New Roman" w:hAnsi="Times New Roman" w:cs="Times New Roman"/>
          <w:bCs/>
          <w:sz w:val="24"/>
          <w:szCs w:val="24"/>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BC3E16" w:rsidR="00BC3E16" w:rsidP="00BC3E16" w:rsidRDefault="00BC3E16" w14:paraId="3FFA068E" w14:textId="77777777">
      <w:pPr>
        <w:spacing w:after="200" w:line="240" w:lineRule="auto"/>
        <w:jc w:val="both"/>
        <w:rPr>
          <w:rFonts w:ascii="Times New Roman" w:hAnsi="Times New Roman" w:cs="Times New Roman"/>
          <w:bCs/>
          <w:sz w:val="24"/>
          <w:szCs w:val="24"/>
          <w:lang w:val="es-PE"/>
        </w:rPr>
      </w:pPr>
      <w:r w:rsidRPr="00BC3E16">
        <w:rPr>
          <w:rFonts w:ascii="Times New Roman" w:hAnsi="Times New Roman" w:cs="Times New Roman"/>
          <w:bCs/>
          <w:sz w:val="24"/>
          <w:szCs w:val="24"/>
          <w:lang w:val="es-PE"/>
        </w:rPr>
        <w:t>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BC3E16" w:rsidR="00BC3E16" w:rsidP="00BC3E16" w:rsidRDefault="00BC3E16" w14:paraId="54482D35" w14:textId="0A54FE29">
      <w:pPr>
        <w:spacing w:after="200" w:line="240" w:lineRule="auto"/>
        <w:jc w:val="both"/>
        <w:rPr>
          <w:rFonts w:ascii="Times New Roman" w:hAnsi="Times New Roman" w:cs="Times New Roman"/>
          <w:sz w:val="24"/>
          <w:szCs w:val="24"/>
          <w:lang w:val="es-ES"/>
        </w:rPr>
      </w:pPr>
      <w:r w:rsidRPr="737AD2E9" w:rsidR="00BC3E16">
        <w:rPr>
          <w:rFonts w:ascii="Times New Roman" w:hAnsi="Times New Roman" w:cs="Times New Roman"/>
          <w:b w:val="1"/>
          <w:bCs w:val="1"/>
          <w:sz w:val="24"/>
          <w:szCs w:val="24"/>
          <w:u w:val="single"/>
          <w:lang w:val="es-PE"/>
        </w:rPr>
        <w:t>Tercero</w:t>
      </w:r>
      <w:r w:rsidRPr="737AD2E9" w:rsidR="00BC3E16">
        <w:rPr>
          <w:rFonts w:ascii="Times New Roman" w:hAnsi="Times New Roman" w:cs="Times New Roman"/>
          <w:b w:val="1"/>
          <w:bCs w:val="1"/>
          <w:sz w:val="24"/>
          <w:szCs w:val="24"/>
          <w:lang w:val="es-PE"/>
        </w:rPr>
        <w:t>:</w:t>
      </w:r>
      <w:r w:rsidRPr="737AD2E9" w:rsidR="00BC3E16">
        <w:rPr>
          <w:rFonts w:ascii="Times New Roman" w:hAnsi="Times New Roman" w:cs="Times New Roman"/>
          <w:sz w:val="24"/>
          <w:szCs w:val="24"/>
          <w:lang w:val="es-PE"/>
        </w:rPr>
        <w:t xml:space="preserve"> Que, de acuerdo a la Ley Nro. </w:t>
      </w:r>
      <w:r w:rsidRPr="737AD2E9" w:rsidR="00BC3E16">
        <w:rPr>
          <w:rFonts w:ascii="Times New Roman" w:hAnsi="Times New Roman" w:cs="Times New Roman"/>
          <w:sz w:val="24"/>
          <w:szCs w:val="24"/>
          <w:lang w:val="es-ES"/>
        </w:rPr>
        <w:t xml:space="preserve">29946 – Ley del Contrato de Seguro, norma legal vigente con ocasión de la celebración del contrato al cual se contrae el presente caso, </w:t>
      </w:r>
      <w:r w:rsidRPr="737AD2E9" w:rsidR="00BC3E16">
        <w:rPr>
          <w:rFonts w:ascii="Times New Roman" w:hAnsi="Times New Roman" w:cs="Times New Roman"/>
          <w:sz w:val="24"/>
          <w:szCs w:val="24"/>
          <w:lang w:val="es-PE"/>
        </w:rPr>
        <w:t xml:space="preserve">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w:t>
      </w:r>
      <w:r w:rsidRPr="737AD2E9" w:rsidR="1E19CFBD">
        <w:rPr>
          <w:rFonts w:ascii="Times New Roman" w:hAnsi="Times New Roman" w:cs="Times New Roman"/>
          <w:sz w:val="24"/>
          <w:szCs w:val="24"/>
          <w:lang w:val="es-PE"/>
        </w:rPr>
        <w:t>..................</w:t>
      </w:r>
      <w:r w:rsidRPr="737AD2E9" w:rsidR="00BC3E16">
        <w:rPr>
          <w:rFonts w:ascii="Times New Roman" w:hAnsi="Times New Roman" w:cs="Times New Roman"/>
          <w:sz w:val="24"/>
          <w:szCs w:val="24"/>
          <w:lang w:val="es-PE"/>
        </w:rPr>
        <w:t xml:space="preserve"> o de protección al consumidor.</w:t>
      </w:r>
    </w:p>
    <w:p w:rsidRPr="00BC3E16" w:rsidR="00BC3E16" w:rsidP="00BC3E16" w:rsidRDefault="00BC3E16" w14:paraId="11737515" w14:textId="77777777">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b/>
          <w:sz w:val="24"/>
          <w:szCs w:val="24"/>
          <w:u w:val="single"/>
          <w:lang w:val="es-PE"/>
        </w:rPr>
        <w:t>Cuarto</w:t>
      </w:r>
      <w:r w:rsidRPr="00BC3E16">
        <w:rPr>
          <w:rFonts w:ascii="Times New Roman" w:hAnsi="Times New Roman" w:cs="Times New Roman"/>
          <w:b/>
          <w:sz w:val="24"/>
          <w:szCs w:val="24"/>
          <w:lang w:val="es-PE"/>
        </w:rPr>
        <w:t>:</w:t>
      </w:r>
      <w:r w:rsidRPr="00BC3E16">
        <w:rPr>
          <w:rFonts w:ascii="Times New Roman" w:hAnsi="Times New Roman" w:cs="Times New Roman"/>
          <w:sz w:val="24"/>
          <w:szCs w:val="24"/>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BC3E16" w:rsidR="00BC3E16" w:rsidP="00BC3E16" w:rsidRDefault="00BC3E16" w14:paraId="078BFE6A" w14:textId="77777777">
      <w:pPr>
        <w:spacing w:after="200" w:line="240" w:lineRule="auto"/>
        <w:jc w:val="both"/>
        <w:rPr>
          <w:rFonts w:ascii="Times New Roman" w:hAnsi="Times New Roman" w:cs="Times New Roman"/>
          <w:sz w:val="24"/>
          <w:szCs w:val="24"/>
          <w:lang w:val="es-ES"/>
        </w:rPr>
      </w:pPr>
      <w:r w:rsidRPr="00BC3E16">
        <w:rPr>
          <w:rFonts w:ascii="Times New Roman" w:hAnsi="Times New Roman" w:cs="Times New Roman"/>
          <w:b/>
          <w:bCs/>
          <w:sz w:val="24"/>
          <w:szCs w:val="24"/>
          <w:u w:val="single"/>
          <w:lang w:val="es-PE"/>
        </w:rPr>
        <w:t>Quinto</w:t>
      </w:r>
      <w:r w:rsidRPr="00BC3E16">
        <w:rPr>
          <w:rFonts w:ascii="Times New Roman" w:hAnsi="Times New Roman" w:cs="Times New Roman"/>
          <w:b/>
          <w:bCs/>
          <w:sz w:val="24"/>
          <w:szCs w:val="24"/>
          <w:lang w:val="es-PE"/>
        </w:rPr>
        <w:t xml:space="preserve">: </w:t>
      </w:r>
      <w:r w:rsidRPr="00BC3E16">
        <w:rPr>
          <w:rFonts w:ascii="Times New Roman" w:hAnsi="Times New Roman" w:cs="Times New Roman"/>
          <w:bCs/>
          <w:sz w:val="24"/>
          <w:szCs w:val="24"/>
          <w:lang w:val="es-PE"/>
        </w:rPr>
        <w:t>Que, conforme al</w:t>
      </w:r>
      <w:r w:rsidRPr="00BC3E16">
        <w:rPr>
          <w:rFonts w:ascii="Times New Roman" w:hAnsi="Times New Roman" w:cs="Times New Roman"/>
          <w:b/>
          <w:bCs/>
          <w:sz w:val="24"/>
          <w:szCs w:val="24"/>
          <w:lang w:val="es-PE"/>
        </w:rPr>
        <w:t xml:space="preserve"> </w:t>
      </w:r>
      <w:r w:rsidRPr="00BC3E16">
        <w:rPr>
          <w:rFonts w:ascii="Times New Roman" w:hAnsi="Times New Roman" w:cs="Times New Roman"/>
          <w:sz w:val="24"/>
          <w:szCs w:val="24"/>
          <w:lang w:val="es-PE"/>
        </w:rPr>
        <w:t>artículo 196 del Código Procesal Civil, la carga de la prueba corresponde a quien afirma hechos que configuran su pretensión, o a quien los contradice alegando nuevos hechos, salvo disposición legal diferente.</w:t>
      </w:r>
    </w:p>
    <w:p w:rsidRPr="00BC3E16" w:rsidR="00BC3E16" w:rsidP="00BC3E16" w:rsidRDefault="00BC3E16" w14:paraId="7B0970E4" w14:textId="77777777">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b/>
          <w:bCs/>
          <w:sz w:val="24"/>
          <w:szCs w:val="24"/>
          <w:u w:val="single"/>
          <w:lang w:val="es-PE"/>
        </w:rPr>
        <w:t>Sexto</w:t>
      </w:r>
      <w:r w:rsidRPr="00BC3E16">
        <w:rPr>
          <w:rFonts w:ascii="Times New Roman" w:hAnsi="Times New Roman" w:cs="Times New Roman"/>
          <w:b/>
          <w:bCs/>
          <w:sz w:val="24"/>
          <w:szCs w:val="24"/>
          <w:lang w:val="es-PE"/>
        </w:rPr>
        <w:t xml:space="preserve">: </w:t>
      </w:r>
      <w:r w:rsidRPr="00BC3E16">
        <w:rPr>
          <w:rFonts w:ascii="Times New Roman" w:hAnsi="Times New Roman" w:cs="Times New Roman"/>
          <w:sz w:val="24"/>
          <w:szCs w:val="24"/>
          <w:lang w:val="es-PE"/>
        </w:rPr>
        <w:t>Sobre la base de los términos contenidos en la reclamación y en su absolución, así como</w:t>
      </w:r>
      <w:r w:rsidRPr="00BC3E16">
        <w:rPr>
          <w:rFonts w:ascii="Times New Roman" w:hAnsi="Times New Roman" w:cs="Times New Roman"/>
          <w:sz w:val="24"/>
          <w:szCs w:val="24"/>
          <w:lang w:val="es-419"/>
        </w:rPr>
        <w:t xml:space="preserve"> </w:t>
      </w:r>
      <w:r w:rsidRPr="00BC3E16">
        <w:rPr>
          <w:rFonts w:ascii="Times New Roman" w:hAnsi="Times New Roman" w:cs="Times New Roman"/>
          <w:sz w:val="24"/>
          <w:szCs w:val="24"/>
          <w:lang w:val="es-PE"/>
        </w:rPr>
        <w:t xml:space="preserve">a lo tratado en la audiencia de vista, la cuestión controvertida radica en determinar si se incurrió, o no, en reticencia al momento de contratar la póliza y, como consecuencia de ello, determinar si el respectivo contrato es nulo o no. De concluirse en la nulidad del contrato, el rechazo de cobertura estaría plenamente justificado. </w:t>
      </w:r>
    </w:p>
    <w:p w:rsidRPr="00BC3E16" w:rsidR="00BC3E16" w:rsidP="00BC3E16" w:rsidRDefault="00BC3E16" w14:paraId="1AE2B3BA" w14:textId="77777777">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sz w:val="24"/>
          <w:szCs w:val="24"/>
          <w:lang w:val="es-PE"/>
        </w:rPr>
        <w:t>De determinarse que no existió reticencia y el contrato de seguro es válido, corresponderá analizar si se ha configurado la exclusión prevista en la póliza consistente en enfermedad preexistente.</w:t>
      </w:r>
    </w:p>
    <w:p w:rsidRPr="00BC3E16" w:rsidR="00BC3E16" w:rsidP="00BC3E16" w:rsidRDefault="00BC3E16" w14:paraId="0A6C7A5D" w14:textId="77777777">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sz w:val="24"/>
          <w:szCs w:val="24"/>
          <w:lang w:val="es-PE"/>
        </w:rPr>
        <w:t>Al respecto, es preciso distinguir entre el rechazo de cobertura por reticencia que se produce cuando se invoca la nulidad del contrato de seguro por declaraciones inexactas relevantes para la estimación del riesgo; y, el rechazo de cobertura por aplicación de la exclusión por preexistencia.</w:t>
      </w:r>
    </w:p>
    <w:p w:rsidRPr="00BC3E16" w:rsidR="00BC3E16" w:rsidP="00BC3E16" w:rsidRDefault="00BC3E16" w14:paraId="358CA1FC" w14:textId="77777777">
      <w:pPr>
        <w:spacing w:after="200" w:line="240" w:lineRule="auto"/>
        <w:jc w:val="both"/>
        <w:rPr>
          <w:rFonts w:ascii="Times New Roman" w:hAnsi="Times New Roman" w:cs="Times New Roman"/>
          <w:sz w:val="24"/>
          <w:szCs w:val="24"/>
          <w:lang w:val="es-PE"/>
        </w:rPr>
      </w:pPr>
      <w:bookmarkStart w:name="_Hlk209222824" w:id="3"/>
      <w:r w:rsidRPr="00BC3E16">
        <w:rPr>
          <w:rFonts w:ascii="Times New Roman" w:hAnsi="Times New Roman" w:cs="Times New Roman"/>
          <w:sz w:val="24"/>
          <w:szCs w:val="24"/>
          <w:lang w:val="es-PE"/>
        </w:rPr>
        <w:t>En el caso de la reticencia estamos ante un contrato de seguro que es nulo, debido a que fue contratado sobre la base de información inexacta que vicia la voluntad de la aseguradora, en tanto de haberse conocido la información correcta no se hubiera celebrado el contrato o se hubiera modificado sus condiciones.</w:t>
      </w:r>
    </w:p>
    <w:p w:rsidRPr="00BC3E16" w:rsidR="00BC3E16" w:rsidP="00BC3E16" w:rsidRDefault="00BC3E16" w14:paraId="6F2F08B3" w14:textId="77777777">
      <w:pPr>
        <w:spacing w:after="200" w:line="240" w:lineRule="auto"/>
        <w:jc w:val="both"/>
        <w:rPr>
          <w:rFonts w:ascii="Times New Roman" w:hAnsi="Times New Roman" w:cs="Times New Roman"/>
          <w:sz w:val="24"/>
          <w:szCs w:val="24"/>
          <w:lang w:val="es-PE"/>
        </w:rPr>
      </w:pPr>
    </w:p>
    <w:p w:rsidRPr="00BC3E16" w:rsidR="00BC3E16" w:rsidP="00BC3E16" w:rsidRDefault="00BC3E16" w14:paraId="7A6DB828" w14:textId="77777777">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sz w:val="24"/>
          <w:szCs w:val="24"/>
          <w:lang w:val="es-PE"/>
        </w:rPr>
        <w:t xml:space="preserve">En el caso de la exclusión de preexistencia, estamos ante un contrato de seguro válido, pero en el que la aseguradora se libera de su obligación de pago de la indemnización prevista en la póliza porque se ha configurado un supuesto expresamente excluido de la cobertura de seguro. </w:t>
      </w:r>
    </w:p>
    <w:bookmarkEnd w:id="3"/>
    <w:p w:rsidRPr="00BC3E16" w:rsidR="00BC3E16" w:rsidP="00BC3E16" w:rsidRDefault="00BC3E16" w14:paraId="5F8FD717" w14:textId="5565EE64">
      <w:pPr>
        <w:spacing w:after="200" w:line="240" w:lineRule="auto"/>
        <w:jc w:val="both"/>
        <w:rPr>
          <w:rFonts w:ascii="Times New Roman" w:hAnsi="Times New Roman" w:cs="Times New Roman"/>
          <w:sz w:val="24"/>
          <w:szCs w:val="24"/>
          <w:lang w:val="es-PE"/>
        </w:rPr>
      </w:pPr>
      <w:r w:rsidRPr="737AD2E9" w:rsidR="00BC3E16">
        <w:rPr>
          <w:rFonts w:ascii="Times New Roman" w:hAnsi="Times New Roman" w:cs="Times New Roman"/>
          <w:sz w:val="24"/>
          <w:szCs w:val="24"/>
          <w:lang w:val="es-PE"/>
        </w:rPr>
        <w:t xml:space="preserve">En este caso, al rechazar la cobertura de seguro, en la carta de rechazo </w:t>
      </w:r>
      <w:r w:rsidRPr="737AD2E9" w:rsidR="1F219901">
        <w:rPr>
          <w:rFonts w:ascii="Times New Roman" w:hAnsi="Times New Roman" w:cs="Times New Roman"/>
          <w:sz w:val="24"/>
          <w:szCs w:val="24"/>
          <w:lang w:val="es-PE"/>
        </w:rPr>
        <w:t>............................</w:t>
      </w:r>
      <w:r w:rsidRPr="737AD2E9" w:rsidR="00BC3E16">
        <w:rPr>
          <w:rFonts w:ascii="Times New Roman" w:hAnsi="Times New Roman" w:cs="Times New Roman"/>
          <w:sz w:val="24"/>
          <w:szCs w:val="24"/>
          <w:lang w:val="es-PE"/>
        </w:rPr>
        <w:t xml:space="preserve"> de fecha 19 de noviembre del 2024, la aseguradora ha invocado ambas situaciones: ha señalado que la cobertura no procede por preexistencia relacionado con la causa del fallecimiento; y, adicionalmente ha invocado la nulidad del contrato de seguro.</w:t>
      </w:r>
    </w:p>
    <w:p w:rsidRPr="00BC3E16" w:rsidR="00BC3E16" w:rsidP="00BC3E16" w:rsidRDefault="00BC3E16" w14:paraId="736BD7DB" w14:textId="023C2829">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b/>
          <w:sz w:val="24"/>
          <w:szCs w:val="24"/>
          <w:u w:val="single"/>
          <w:lang w:val="es-PE"/>
        </w:rPr>
        <w:t>s</w:t>
      </w:r>
      <w:r>
        <w:rPr>
          <w:rFonts w:ascii="Times New Roman" w:hAnsi="Times New Roman" w:cs="Times New Roman"/>
          <w:b/>
          <w:sz w:val="24"/>
          <w:szCs w:val="24"/>
          <w:u w:val="single"/>
          <w:lang w:val="es-PE"/>
        </w:rPr>
        <w:t>éptimo</w:t>
      </w:r>
      <w:r w:rsidRPr="00BC3E16">
        <w:rPr>
          <w:rFonts w:ascii="Times New Roman" w:hAnsi="Times New Roman" w:cs="Times New Roman"/>
          <w:b/>
          <w:sz w:val="24"/>
          <w:szCs w:val="24"/>
          <w:lang w:val="es-PE"/>
        </w:rPr>
        <w:t xml:space="preserve">: </w:t>
      </w:r>
      <w:r w:rsidRPr="00BC3E16">
        <w:rPr>
          <w:rFonts w:ascii="Times New Roman" w:hAnsi="Times New Roman" w:cs="Times New Roman"/>
          <w:sz w:val="24"/>
          <w:szCs w:val="24"/>
          <w:lang w:val="es-PE"/>
        </w:rPr>
        <w:t xml:space="preserve"> </w:t>
      </w:r>
      <w:proofErr w:type="gramStart"/>
      <w:r w:rsidRPr="00BC3E16">
        <w:rPr>
          <w:rFonts w:ascii="Times New Roman" w:hAnsi="Times New Roman" w:cs="Times New Roman"/>
          <w:sz w:val="24"/>
          <w:szCs w:val="24"/>
          <w:lang w:val="es-PE"/>
        </w:rPr>
        <w:t>De acuerdo a</w:t>
      </w:r>
      <w:proofErr w:type="gramEnd"/>
      <w:r w:rsidRPr="00BC3E16">
        <w:rPr>
          <w:rFonts w:ascii="Times New Roman" w:hAnsi="Times New Roman" w:cs="Times New Roman"/>
          <w:sz w:val="24"/>
          <w:szCs w:val="24"/>
          <w:lang w:val="es-PE"/>
        </w:rPr>
        <w:t xml:space="preserve"> lo establecido en el artículo 8 de la Ley del Contrato de Seguro, Ley 29946, la reticencia y/o declaración inexacta derivan en la nulidad del respectivo contrato de mediar dolo o culpa inexcusable del contratante y/o asegurado, conforme se expone a continuación:</w:t>
      </w:r>
    </w:p>
    <w:p w:rsidRPr="00BC3E16" w:rsidR="00BC3E16" w:rsidP="00BC3E16" w:rsidRDefault="00BC3E16" w14:paraId="0B44CFB1" w14:textId="77777777">
      <w:pPr>
        <w:spacing w:after="200" w:line="240" w:lineRule="auto"/>
        <w:ind w:left="720"/>
        <w:jc w:val="both"/>
        <w:rPr>
          <w:rFonts w:ascii="Times New Roman" w:hAnsi="Times New Roman" w:cs="Times New Roman"/>
          <w:i/>
          <w:sz w:val="24"/>
          <w:szCs w:val="24"/>
          <w:lang w:val="es-PE"/>
        </w:rPr>
      </w:pPr>
      <w:r w:rsidRPr="00BC3E16">
        <w:rPr>
          <w:rFonts w:ascii="Times New Roman" w:hAnsi="Times New Roman" w:cs="Times New Roman"/>
          <w:i/>
          <w:sz w:val="24"/>
          <w:szCs w:val="24"/>
          <w:lang w:val="es-PE"/>
        </w:rPr>
        <w:t>“Artículo 8. Reticencia y/o declaración inexacta dolosa</w:t>
      </w:r>
    </w:p>
    <w:p w:rsidRPr="00BC3E16" w:rsidR="00BC3E16" w:rsidP="00BC3E16" w:rsidRDefault="00BC3E16" w14:paraId="69E078C3" w14:textId="77777777">
      <w:pPr>
        <w:spacing w:after="200" w:line="240" w:lineRule="auto"/>
        <w:ind w:left="720"/>
        <w:jc w:val="both"/>
        <w:rPr>
          <w:rFonts w:ascii="Times New Roman" w:hAnsi="Times New Roman" w:cs="Times New Roman"/>
          <w:i/>
          <w:sz w:val="24"/>
          <w:szCs w:val="24"/>
          <w:lang w:val="es-PE"/>
        </w:rPr>
      </w:pPr>
      <w:r w:rsidRPr="00BC3E16">
        <w:rPr>
          <w:rFonts w:ascii="Times New Roman" w:hAnsi="Times New Roman" w:cs="Times New Roman"/>
          <w:i/>
          <w:sz w:val="24"/>
          <w:szCs w:val="24"/>
          <w:lang w:val="es-PE"/>
        </w:rPr>
        <w:t> La reticencia y/o declaración inexacta de circunstancias conocidas por el contratante y/o asegurado, que hubiese impedido el contrato o modificado sus condiciones si el asegurador hubiese sido informado del verdadero estado del riesgo, hace nulo el contrato si media dolo o culpa inexcusable del contratante y/o asegurado.”</w:t>
      </w:r>
    </w:p>
    <w:p w:rsidRPr="00BC3E16" w:rsidR="00BC3E16" w:rsidP="00BC3E16" w:rsidRDefault="00BC3E16" w14:paraId="1ED40EA1" w14:textId="77777777">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sz w:val="24"/>
          <w:szCs w:val="24"/>
          <w:lang w:val="es-PE"/>
        </w:rPr>
        <w:t>Asimismo, el artículo 9 de la misma ley señala que la aseguradora dispone de treinta días para invocar fehacientemente dicha nulidad desde que toma conocimiento de la reticencia y/o declaración inexacta; añadiendo, el artículo 10, que la prueba de la reticencia y/o declaración inexacta corresponde a la aseguradora.</w:t>
      </w:r>
    </w:p>
    <w:p w:rsidRPr="00BC3E16" w:rsidR="00BC3E16" w:rsidP="00BC3E16" w:rsidRDefault="00BC3E16" w14:paraId="682E9E43" w14:textId="486AE115">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sz w:val="24"/>
          <w:szCs w:val="24"/>
          <w:lang w:val="es-PE"/>
        </w:rPr>
        <w:t>Como consecuencia de dicha exigencia, la aseguradora debe demostrar: (i) que el contratante o asegurado no le informó o informó en forma inexacta respecto de circunstancias que conocía y que dicha reticencia hubiese impedido el contrato o modificado sus condiciones, es decir era relevante para la estimación del riesgo; (</w:t>
      </w:r>
      <w:proofErr w:type="spellStart"/>
      <w:r w:rsidRPr="00BC3E16">
        <w:rPr>
          <w:rFonts w:ascii="Times New Roman" w:hAnsi="Times New Roman" w:cs="Times New Roman"/>
          <w:sz w:val="24"/>
          <w:szCs w:val="24"/>
          <w:lang w:val="es-PE"/>
        </w:rPr>
        <w:t>ii</w:t>
      </w:r>
      <w:proofErr w:type="spellEnd"/>
      <w:r w:rsidRPr="00BC3E16">
        <w:rPr>
          <w:rFonts w:ascii="Times New Roman" w:hAnsi="Times New Roman" w:cs="Times New Roman"/>
          <w:sz w:val="24"/>
          <w:szCs w:val="24"/>
          <w:lang w:val="es-PE"/>
        </w:rPr>
        <w:t>) que ello se deriva de dolo o culpa inexcusable; (</w:t>
      </w:r>
      <w:proofErr w:type="spellStart"/>
      <w:r w:rsidRPr="00BC3E16">
        <w:rPr>
          <w:rFonts w:ascii="Times New Roman" w:hAnsi="Times New Roman" w:cs="Times New Roman"/>
          <w:sz w:val="24"/>
          <w:szCs w:val="24"/>
          <w:lang w:val="es-PE"/>
        </w:rPr>
        <w:t>iv</w:t>
      </w:r>
      <w:proofErr w:type="spellEnd"/>
      <w:r w:rsidRPr="00BC3E16">
        <w:rPr>
          <w:rFonts w:ascii="Times New Roman" w:hAnsi="Times New Roman" w:cs="Times New Roman"/>
          <w:sz w:val="24"/>
          <w:szCs w:val="24"/>
          <w:lang w:val="es-PE"/>
        </w:rPr>
        <w:t>) que se tomó conocimiento sobreviniente, y (v) que se opone la nulidad de manera oportuna, dentro de los treinta (30) días siguientes de la fecha en que se adquirió conocimiento del real estado del riesgo.</w:t>
      </w:r>
    </w:p>
    <w:p w:rsidRPr="00BC3E16" w:rsidR="00BC3E16" w:rsidP="00BC3E16" w:rsidRDefault="00BC3E16" w14:paraId="7736966C" w14:textId="731555BD">
      <w:pPr>
        <w:spacing w:after="200" w:line="240" w:lineRule="auto"/>
        <w:jc w:val="both"/>
        <w:rPr>
          <w:rFonts w:ascii="Times New Roman" w:hAnsi="Times New Roman" w:cs="Times New Roman"/>
          <w:b/>
          <w:bCs/>
          <w:i/>
          <w:iCs/>
          <w:sz w:val="24"/>
          <w:szCs w:val="24"/>
          <w:lang w:val="es-ES"/>
        </w:rPr>
      </w:pPr>
      <w:r w:rsidRPr="00BC3E16">
        <w:rPr>
          <w:rFonts w:ascii="Times New Roman" w:hAnsi="Times New Roman" w:cs="Times New Roman"/>
          <w:b/>
          <w:bCs/>
          <w:i/>
          <w:iCs/>
          <w:sz w:val="24"/>
          <w:szCs w:val="24"/>
          <w:lang w:val="es-ES"/>
        </w:rPr>
        <w:t>7.1.</w:t>
      </w:r>
      <w:r w:rsidRPr="00BC3E16">
        <w:rPr>
          <w:rFonts w:ascii="Times New Roman" w:hAnsi="Times New Roman" w:cs="Times New Roman"/>
          <w:b/>
          <w:bCs/>
          <w:i/>
          <w:iCs/>
          <w:sz w:val="24"/>
          <w:szCs w:val="24"/>
          <w:lang w:val="es-ES"/>
        </w:rPr>
        <w:tab/>
      </w:r>
      <w:r w:rsidRPr="00BC3E16">
        <w:rPr>
          <w:rFonts w:ascii="Times New Roman" w:hAnsi="Times New Roman" w:cs="Times New Roman"/>
          <w:b/>
          <w:bCs/>
          <w:i/>
          <w:iCs/>
          <w:sz w:val="24"/>
          <w:szCs w:val="24"/>
          <w:lang w:val="es-ES"/>
        </w:rPr>
        <w:t>Omisión relevante para la estimación del riesgo:</w:t>
      </w:r>
    </w:p>
    <w:p w:rsidRPr="00BC3E16" w:rsidR="00BC3E16" w:rsidP="00BC3E16" w:rsidRDefault="00BC3E16" w14:paraId="1B7665FD" w14:textId="7FDB8630">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sz w:val="24"/>
          <w:szCs w:val="24"/>
          <w:lang w:val="es-PE"/>
        </w:rPr>
        <w:t xml:space="preserve">El primer aspecto de la carga probatoria (el contratante o asegurado no informó sobre del real estado del riesgo), la aseguradora señala lo acredita mediante la presentación del documento Declaración Personal de Salud suscrita por la contratante al momento de la suscripción de la solicitud del seguro, documento de fecha 04 de octubre de 2018. </w:t>
      </w:r>
    </w:p>
    <w:p w:rsidRPr="00BC3E16" w:rsidR="00BC3E16" w:rsidP="00BC3E16" w:rsidRDefault="00BC3E16" w14:paraId="53501DC4" w14:textId="77D2AB28">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sz w:val="24"/>
          <w:szCs w:val="24"/>
          <w:lang w:val="es-PE"/>
        </w:rPr>
        <w:t xml:space="preserve">En ella, se verifica que efectivamente, existió una pregunta expresa relacionada a si el asegurado titular o dependiente, había sido diagnosticado o tratado o padece de, entre </w:t>
      </w:r>
      <w:proofErr w:type="spellStart"/>
      <w:r w:rsidRPr="00BC3E16">
        <w:rPr>
          <w:rFonts w:ascii="Times New Roman" w:hAnsi="Times New Roman" w:cs="Times New Roman"/>
          <w:sz w:val="24"/>
          <w:szCs w:val="24"/>
          <w:lang w:val="es-PE"/>
        </w:rPr>
        <w:t>oras</w:t>
      </w:r>
      <w:proofErr w:type="spellEnd"/>
      <w:r w:rsidRPr="00BC3E16">
        <w:rPr>
          <w:rFonts w:ascii="Times New Roman" w:hAnsi="Times New Roman" w:cs="Times New Roman"/>
          <w:sz w:val="24"/>
          <w:szCs w:val="24"/>
          <w:lang w:val="es-PE"/>
        </w:rPr>
        <w:t xml:space="preserve"> enfermedades, diabetes mellitus, siendo que la reclamante respondió negativamente.</w:t>
      </w:r>
    </w:p>
    <w:p w:rsidRPr="00BC3E16" w:rsidR="00BC3E16" w:rsidP="00BC3E16" w:rsidRDefault="00BC3E16" w14:paraId="4392C5B7" w14:textId="216BD701">
      <w:pPr>
        <w:spacing w:after="200" w:line="240" w:lineRule="auto"/>
        <w:jc w:val="center"/>
      </w:pPr>
      <w:r w:rsidR="7F633852">
        <w:rPr/>
        <w:t>........................................................................................................................</w:t>
      </w:r>
    </w:p>
    <w:p w:rsidR="7F633852" w:rsidP="737AD2E9" w:rsidRDefault="7F633852" w14:paraId="57506E15" w14:textId="13656C55">
      <w:pPr>
        <w:pStyle w:val="Normal"/>
        <w:spacing w:after="200" w:line="240" w:lineRule="auto"/>
        <w:jc w:val="center"/>
      </w:pPr>
      <w:r w:rsidR="7F633852">
        <w:rPr/>
        <w:t>.........................................................................................................................</w:t>
      </w:r>
    </w:p>
    <w:p w:rsidRPr="00BC3E16" w:rsidR="00BC3E16" w:rsidP="00BC3E16" w:rsidRDefault="00BC3E16" w14:paraId="6AE61F80" w14:textId="2E0D37A4">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sz w:val="24"/>
          <w:szCs w:val="24"/>
          <w:lang w:val="es-PE"/>
        </w:rPr>
        <w:t>La reclamante por su parte considera que no hubo una declaración inexacta, porque no está acreditado que su hermano padecía de diabetes, ya que los antecedentes médicos en los que se basa la aseguradora para probar que existió un diagnóstico de diabetes son meras anotaciones sin sustento de laboratorio; que datan de hace más de 5 años.</w:t>
      </w:r>
    </w:p>
    <w:p w:rsidRPr="00BC3E16" w:rsidR="00BC3E16" w:rsidP="00BC3E16" w:rsidRDefault="00BC3E16" w14:paraId="2C19535F" w14:textId="6C9B5BAA">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sz w:val="24"/>
          <w:szCs w:val="24"/>
          <w:lang w:val="es-PE"/>
        </w:rPr>
        <w:t xml:space="preserve">Al respecto este colegiado ya se ha pronunciado en el sentido que, si las anotaciones son de fecha reciente o posterior a la </w:t>
      </w:r>
      <w:proofErr w:type="gramStart"/>
      <w:r w:rsidRPr="00BC3E16">
        <w:rPr>
          <w:rFonts w:ascii="Times New Roman" w:hAnsi="Times New Roman" w:cs="Times New Roman"/>
          <w:sz w:val="24"/>
          <w:szCs w:val="24"/>
          <w:lang w:val="es-PE"/>
        </w:rPr>
        <w:t>contratación,  y</w:t>
      </w:r>
      <w:proofErr w:type="gramEnd"/>
      <w:r w:rsidRPr="00BC3E16">
        <w:rPr>
          <w:rFonts w:ascii="Times New Roman" w:hAnsi="Times New Roman" w:cs="Times New Roman"/>
          <w:sz w:val="24"/>
          <w:szCs w:val="24"/>
          <w:lang w:val="es-PE"/>
        </w:rPr>
        <w:t xml:space="preserve"> no se evidencia en documentos anteriores a la fecha de contratación, no prueban fehacientemente la fecha de diagnóstico, pues se requiere que las anotaciones sobre el diagnóstico justamente figuren en documentos previos a la contratación, como ocurre en este caso. Este colegiado no comparte la opinión de la reclamante en el sentido que debe existir prueba de laboratorio o indicaciones de tratamiento para que se acredite que existía un diagnóstico previo de diabetes. Al respecto, las pruebas pueden ser valoradas en su conjunto; y lo que se aprecia de lo presentado, es no solo una anotación aleatoria, sino dos anotaciones en dos años distintos, ambos previos a la contratación del seguro que dan cuenta de dicha condición, siendo que además esta misma es consignada en el propio certificado de defunción, lo que no deja dudas que el asegurado padecía de diabetes mellitus 2. Para este colegiado es claro que la referencia a los antecedentes consignada por el médico que atendió al asegurado en el año </w:t>
      </w:r>
      <w:proofErr w:type="gramStart"/>
      <w:r w:rsidRPr="00BC3E16">
        <w:rPr>
          <w:rFonts w:ascii="Times New Roman" w:hAnsi="Times New Roman" w:cs="Times New Roman"/>
          <w:sz w:val="24"/>
          <w:szCs w:val="24"/>
          <w:lang w:val="es-PE"/>
        </w:rPr>
        <w:t>2013,</w:t>
      </w:r>
      <w:proofErr w:type="gramEnd"/>
      <w:r w:rsidRPr="00BC3E16">
        <w:rPr>
          <w:rFonts w:ascii="Times New Roman" w:hAnsi="Times New Roman" w:cs="Times New Roman"/>
          <w:sz w:val="24"/>
          <w:szCs w:val="24"/>
          <w:lang w:val="es-PE"/>
        </w:rPr>
        <w:t xml:space="preserve"> recogía lo que el propio asegurado (el hermano de la reclamante) manifestaba; y por ello da cuenta que ya existía un diagnóstico (que pudo ser desconocido por la hermana del asegurado adicional).</w:t>
      </w:r>
    </w:p>
    <w:p w:rsidRPr="00BC3E16" w:rsidR="00BC3E16" w:rsidP="00BC3E16" w:rsidRDefault="00BC3E16" w14:paraId="34BE0124" w14:textId="70A82AAD">
      <w:pPr>
        <w:spacing w:after="200" w:line="240" w:lineRule="auto"/>
        <w:jc w:val="both"/>
        <w:rPr>
          <w:rFonts w:ascii="Times New Roman" w:hAnsi="Times New Roman" w:cs="Times New Roman"/>
          <w:sz w:val="24"/>
          <w:szCs w:val="24"/>
          <w:lang w:val="es-PE"/>
        </w:rPr>
      </w:pPr>
      <w:r w:rsidRPr="737AD2E9" w:rsidR="00BC3E16">
        <w:rPr>
          <w:rFonts w:ascii="Times New Roman" w:hAnsi="Times New Roman" w:cs="Times New Roman"/>
          <w:sz w:val="24"/>
          <w:szCs w:val="24"/>
          <w:lang w:val="es-PE"/>
        </w:rPr>
        <w:t xml:space="preserve">A continuación, se copian las referencias en la historia clínica de fechas anteriores a la contratación del seguro, en el que ya en el año 2013 se da cuenta que este antecedente de diabetes (DM II) era de hace 6 años, y se encuentra suscrito por Dra. </w:t>
      </w:r>
      <w:r w:rsidRPr="737AD2E9" w:rsidR="2EA21C2B">
        <w:rPr>
          <w:rFonts w:ascii="Times New Roman" w:hAnsi="Times New Roman" w:cs="Times New Roman"/>
          <w:sz w:val="24"/>
          <w:szCs w:val="24"/>
          <w:lang w:val="es-PE"/>
        </w:rPr>
        <w:t>........................</w:t>
      </w:r>
      <w:r w:rsidRPr="737AD2E9" w:rsidR="00BC3E16">
        <w:rPr>
          <w:rFonts w:ascii="Times New Roman" w:hAnsi="Times New Roman" w:cs="Times New Roman"/>
          <w:sz w:val="24"/>
          <w:szCs w:val="24"/>
          <w:lang w:val="es-PE"/>
        </w:rPr>
        <w:t>, médico jefe debidamente identificada:</w:t>
      </w:r>
    </w:p>
    <w:p w:rsidRPr="00BC3E16" w:rsidR="00BC3E16" w:rsidP="00BC3E16" w:rsidRDefault="00BC3E16" w14:paraId="13218CDE" w14:textId="1A520EAD">
      <w:pPr>
        <w:spacing w:after="200" w:line="240" w:lineRule="auto"/>
        <w:jc w:val="center"/>
      </w:pPr>
      <w:r w:rsidR="74588BCD">
        <w:rPr/>
        <w:t>..................................................................................................................................</w:t>
      </w:r>
    </w:p>
    <w:p w:rsidRPr="00BC3E16" w:rsidR="00BC3E16" w:rsidP="00BC3E16" w:rsidRDefault="00BC3E16" w14:paraId="0CEB4E6B" w14:textId="1F3FA238">
      <w:pPr>
        <w:spacing w:after="200" w:line="240" w:lineRule="auto"/>
        <w:jc w:val="center"/>
      </w:pPr>
      <w:r w:rsidR="059F47CA">
        <w:rPr/>
        <w:t>.................................................................................................................................</w:t>
      </w:r>
    </w:p>
    <w:p w:rsidRPr="00BC3E16" w:rsidR="00BC3E16" w:rsidP="00BC3E16" w:rsidRDefault="00BC3E16" w14:paraId="2C4A30B3" w14:textId="1C7ACED1">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sz w:val="24"/>
          <w:szCs w:val="24"/>
          <w:lang w:val="es-PE"/>
        </w:rPr>
        <w:t xml:space="preserve">En base a lo expuesto y a los documentos e información que obra en el expediente, se puede concluir que la declaración de salud de fecha 04 de octubre de </w:t>
      </w:r>
      <w:proofErr w:type="gramStart"/>
      <w:r w:rsidRPr="00BC3E16">
        <w:rPr>
          <w:rFonts w:ascii="Times New Roman" w:hAnsi="Times New Roman" w:cs="Times New Roman"/>
          <w:sz w:val="24"/>
          <w:szCs w:val="24"/>
          <w:lang w:val="es-PE"/>
        </w:rPr>
        <w:t>2018,  fue</w:t>
      </w:r>
      <w:proofErr w:type="gramEnd"/>
      <w:r w:rsidRPr="00BC3E16">
        <w:rPr>
          <w:rFonts w:ascii="Times New Roman" w:hAnsi="Times New Roman" w:cs="Times New Roman"/>
          <w:sz w:val="24"/>
          <w:szCs w:val="24"/>
          <w:lang w:val="es-PE"/>
        </w:rPr>
        <w:t xml:space="preserve"> formulada en forma previa a la contratación del seguro que nos ocupa y en forma posterior al diagnóstico de diabetes; es decir, que existió una omisión relevante para la estimación del riesgo.</w:t>
      </w:r>
    </w:p>
    <w:p w:rsidRPr="00BC3E16" w:rsidR="00BC3E16" w:rsidP="00BC3E16" w:rsidRDefault="00BC3E16" w14:paraId="335455EC" w14:textId="2ABEB554">
      <w:pPr>
        <w:spacing w:after="200" w:line="240" w:lineRule="auto"/>
        <w:jc w:val="both"/>
        <w:rPr>
          <w:rFonts w:ascii="Times New Roman" w:hAnsi="Times New Roman" w:cs="Times New Roman"/>
          <w:b/>
          <w:bCs/>
          <w:i/>
          <w:iCs/>
          <w:sz w:val="24"/>
          <w:szCs w:val="24"/>
          <w:lang w:val="es-MX"/>
        </w:rPr>
      </w:pPr>
      <w:r w:rsidRPr="00BC3E16">
        <w:rPr>
          <w:rFonts w:ascii="Times New Roman" w:hAnsi="Times New Roman" w:cs="Times New Roman"/>
          <w:b/>
          <w:bCs/>
          <w:i/>
          <w:iCs/>
          <w:sz w:val="24"/>
          <w:szCs w:val="24"/>
          <w:lang w:val="es-MX"/>
        </w:rPr>
        <w:t xml:space="preserve">7.2. Existencia de dolo o culpa inexcusable: </w:t>
      </w:r>
    </w:p>
    <w:p w:rsidRPr="00BC3E16" w:rsidR="00BC3E16" w:rsidP="00BC3E16" w:rsidRDefault="00BC3E16" w14:paraId="1DEB3B09" w14:textId="0836D729">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sz w:val="24"/>
          <w:szCs w:val="24"/>
          <w:lang w:val="es-PE"/>
        </w:rPr>
        <w:t>El segundo aspecto de la carga probatoria (el contratante o asegurado incurrió en dolo o culpa inexcusable) corresponde una calificación jurídica de la actuación seguida; debe demostrarse la intencionalidad (dolo) o una culpa grave, atendiendo a las circunstancias del caso concreto (dolo próximo o culpa inexcusable). La aseguradora considera que se ha incurrido en dolo por cuanto no se trata de una omisión no advertida, sino que existió una pregunta expresa.</w:t>
      </w:r>
    </w:p>
    <w:p w:rsidRPr="00BC3E16" w:rsidR="00BC3E16" w:rsidP="00BC3E16" w:rsidRDefault="00BC3E16" w14:paraId="33CA6EDC" w14:textId="034FC6A3">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sz w:val="24"/>
          <w:szCs w:val="24"/>
          <w:lang w:val="es-PE"/>
        </w:rPr>
        <w:t xml:space="preserve">Por su parte, la reclamante considera que no existe dolo por cuanto este no ha sido probado por la aseguradora. </w:t>
      </w:r>
    </w:p>
    <w:p w:rsidRPr="00BC3E16" w:rsidR="00BC3E16" w:rsidP="00BC3E16" w:rsidRDefault="00BC3E16" w14:paraId="7543894C" w14:textId="66DF7335">
      <w:pPr>
        <w:spacing w:after="200" w:line="240" w:lineRule="auto"/>
        <w:jc w:val="both"/>
        <w:rPr>
          <w:rFonts w:ascii="Times New Roman" w:hAnsi="Times New Roman" w:cs="Times New Roman"/>
          <w:sz w:val="24"/>
          <w:szCs w:val="24"/>
          <w:lang w:val="es-PE"/>
        </w:rPr>
      </w:pPr>
      <w:r w:rsidRPr="737AD2E9" w:rsidR="00BC3E16">
        <w:rPr>
          <w:rFonts w:ascii="Times New Roman" w:hAnsi="Times New Roman" w:cs="Times New Roman"/>
          <w:sz w:val="24"/>
          <w:szCs w:val="24"/>
          <w:lang w:val="es-PE"/>
        </w:rPr>
        <w:t>Es claro que la pregunta es expresa cuando hace referencia a la diabetes.</w:t>
      </w:r>
      <w:r w:rsidRPr="737AD2E9" w:rsidR="00BC3E16">
        <w:rPr>
          <w:rFonts w:ascii="Times New Roman" w:hAnsi="Times New Roman" w:cs="Times New Roman"/>
          <w:sz w:val="24"/>
          <w:szCs w:val="24"/>
          <w:lang w:val="es-PE"/>
        </w:rPr>
        <w:t xml:space="preserve"> Dicho antecedente médico, en este caso, sí era relevante para la aseguradora, y de hecho indicaba en la misma solicitud que cualquier respuesta afirmativa implicaba el rechazo de la solicitud de seguro. </w:t>
      </w:r>
      <w:r w:rsidRPr="737AD2E9" w:rsidR="00BC3E16">
        <w:rPr>
          <w:rFonts w:ascii="Times New Roman" w:hAnsi="Times New Roman" w:cs="Times New Roman"/>
          <w:sz w:val="24"/>
          <w:szCs w:val="24"/>
          <w:lang w:val="es-PE"/>
        </w:rPr>
        <w:t xml:space="preserve">En este sentido, este colegiado comparte la apreciación de la aseguradora, máxime cuando hay una asimetría informativa en la que el dominio de la información lo tiene el contratante o asegurado, siendo que la aseguradora acepta la declaración de salud y contrata en el marco de una buena fe (principio rector en contratación, y </w:t>
      </w:r>
      <w:r w:rsidRPr="737AD2E9" w:rsidR="1E19CFBD">
        <w:rPr>
          <w:rFonts w:ascii="Times New Roman" w:hAnsi="Times New Roman" w:cs="Times New Roman"/>
          <w:sz w:val="24"/>
          <w:szCs w:val="24"/>
          <w:lang w:val="es-PE"/>
        </w:rPr>
        <w:t>..................</w:t>
      </w:r>
      <w:r w:rsidRPr="737AD2E9" w:rsidR="00BC3E16">
        <w:rPr>
          <w:rFonts w:ascii="Times New Roman" w:hAnsi="Times New Roman" w:cs="Times New Roman"/>
          <w:sz w:val="24"/>
          <w:szCs w:val="24"/>
          <w:lang w:val="es-PE"/>
        </w:rPr>
        <w:t xml:space="preserve"> en particular) llevada al extremo máximo: ubérrima buena fe.</w:t>
      </w:r>
    </w:p>
    <w:p w:rsidRPr="00BC3E16" w:rsidR="00BC3E16" w:rsidP="00BC3E16" w:rsidRDefault="00BC3E16" w14:paraId="33986B55" w14:textId="56E92148">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sz w:val="24"/>
          <w:szCs w:val="24"/>
          <w:lang w:val="es-PE"/>
        </w:rPr>
        <w:t xml:space="preserve">Es por ello </w:t>
      </w:r>
      <w:proofErr w:type="gramStart"/>
      <w:r w:rsidRPr="00BC3E16">
        <w:rPr>
          <w:rFonts w:ascii="Times New Roman" w:hAnsi="Times New Roman" w:cs="Times New Roman"/>
          <w:sz w:val="24"/>
          <w:szCs w:val="24"/>
          <w:lang w:val="es-PE"/>
        </w:rPr>
        <w:t>que</w:t>
      </w:r>
      <w:proofErr w:type="gramEnd"/>
      <w:r w:rsidRPr="00BC3E16">
        <w:rPr>
          <w:rFonts w:ascii="Times New Roman" w:hAnsi="Times New Roman" w:cs="Times New Roman"/>
          <w:sz w:val="24"/>
          <w:szCs w:val="24"/>
          <w:lang w:val="es-PE"/>
        </w:rPr>
        <w:t xml:space="preserve"> la ley es tan drástica al sancionar la reticencia incluso con culpa inexcusable, con la nulidad del contrato de seguro. </w:t>
      </w:r>
    </w:p>
    <w:p w:rsidRPr="00BC3E16" w:rsidR="00BC3E16" w:rsidP="00BC3E16" w:rsidRDefault="00BC3E16" w14:paraId="1CF5D5F1" w14:textId="64D7164C">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sz w:val="24"/>
          <w:szCs w:val="24"/>
          <w:lang w:val="es-PE"/>
        </w:rPr>
        <w:t>Al haber respondido en forma negativa, se dio información inexacta lo que vició de nulidad el contrato de seguro.</w:t>
      </w:r>
    </w:p>
    <w:p w:rsidRPr="00BC3E16" w:rsidR="00BC3E16" w:rsidP="00BC3E16" w:rsidRDefault="00BC3E16" w14:paraId="64B85E50" w14:textId="1E6E66EE">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sz w:val="24"/>
          <w:szCs w:val="24"/>
          <w:lang w:val="es-PE"/>
        </w:rPr>
        <w:t>Es pertinente indicar que la solicitud advirtió de las consecuencias de no brindar información correcta sobre los antecedentes médicos, conforme se aprecia a continuación:</w:t>
      </w:r>
    </w:p>
    <w:p w:rsidRPr="00BC3E16" w:rsidR="00BC3E16" w:rsidP="00BC3E16" w:rsidRDefault="00BC3E16" w14:paraId="782F2F6E" w14:textId="4AEA4559">
      <w:pPr>
        <w:spacing w:after="200" w:line="240" w:lineRule="auto"/>
        <w:jc w:val="center"/>
      </w:pPr>
      <w:r w:rsidR="7579FB74">
        <w:rPr/>
        <w:t>........................................................................................................................................................</w:t>
      </w:r>
    </w:p>
    <w:p w:rsidRPr="00BC3E16" w:rsidR="00BC3E16" w:rsidP="00BC3E16" w:rsidRDefault="00BC3E16" w14:paraId="184F1740" w14:textId="39B0E222">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sz w:val="24"/>
          <w:szCs w:val="24"/>
          <w:lang w:val="es-PE"/>
        </w:rPr>
        <w:t>Ahora bien, es importante destacar, que en este caso la solicitud es suscrita por el reclamante, por su hermano, y que ella podría no haber conocido su real estado de salud o el diagnóstico de la diabetes; no obstante, en tanto lo estaba asegurando, era su deber y el mínimo de diligencia consultarle sobre sus antecedentes médicos a fin de consignar información veraz en la solicitud de seguro, por lo que este colegiado considera que existió culpa inexcusable al formular la declaración de salud respecto de la salud del hermano de la reclamante.</w:t>
      </w:r>
    </w:p>
    <w:p w:rsidRPr="00BC3E16" w:rsidR="00BC3E16" w:rsidP="00BC3E16" w:rsidRDefault="00BC3E16" w14:paraId="6562B5F4" w14:textId="719BE5E9">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sz w:val="24"/>
          <w:szCs w:val="24"/>
          <w:lang w:val="es-PE"/>
        </w:rPr>
        <w:t>Es importante destacar que, mientras que el artículo 8 de la ley del contrato de seguro, requiere dolo o culpa inexcusable para que exista un vicio de la voluntad. La póliza contiene una cláusula de indisputabilidad invocada por la reclamante, la cual requiere dolo, si es que la póliza ha estado en vigor más de dos años, como ha ocurrido en este caso.</w:t>
      </w:r>
    </w:p>
    <w:p w:rsidRPr="00BC3E16" w:rsidR="00BC3E16" w:rsidP="00BC3E16" w:rsidRDefault="00BC3E16" w14:paraId="5B708B7F" w14:textId="41C3BA05">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sz w:val="24"/>
          <w:szCs w:val="24"/>
          <w:lang w:val="es-PE"/>
        </w:rPr>
        <w:t>En efecto, dicha cláusula establece lo siguiente:</w:t>
      </w:r>
    </w:p>
    <w:p w:rsidRPr="00BC3E16" w:rsidR="00BC3E16" w:rsidP="00BC3E16" w:rsidRDefault="00BC3E16" w14:paraId="47A7CE50" w14:textId="35ED1C57">
      <w:pPr>
        <w:spacing w:after="200" w:line="240" w:lineRule="auto"/>
        <w:jc w:val="both"/>
      </w:pPr>
      <w:r w:rsidR="6E5BFB41">
        <w:rPr/>
        <w:t>....................................................................................................................................................</w:t>
      </w:r>
    </w:p>
    <w:p w:rsidRPr="00BC3E16" w:rsidR="00BC3E16" w:rsidP="00BC3E16" w:rsidRDefault="00BC3E16" w14:paraId="79CA575B" w14:textId="57521750">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sz w:val="24"/>
          <w:szCs w:val="24"/>
          <w:lang w:val="es-PE"/>
        </w:rPr>
        <w:t xml:space="preserve">Por lo tanto, siendo que solo se ha acreditado culpa inexcusable, pues el dolo tratándose del estado de salud del hermano de la reclamante reviste un mayor esfuerzo probatorio que la aseguradora no ha evidenciado, resulta aplicable la cláusula de indisputabilidad </w:t>
      </w:r>
      <w:proofErr w:type="gramStart"/>
      <w:r w:rsidRPr="00BC3E16">
        <w:rPr>
          <w:rFonts w:ascii="Times New Roman" w:hAnsi="Times New Roman" w:cs="Times New Roman"/>
          <w:sz w:val="24"/>
          <w:szCs w:val="24"/>
          <w:lang w:val="es-PE"/>
        </w:rPr>
        <w:t>y</w:t>
      </w:r>
      <w:proofErr w:type="gramEnd"/>
      <w:r w:rsidRPr="00BC3E16">
        <w:rPr>
          <w:rFonts w:ascii="Times New Roman" w:hAnsi="Times New Roman" w:cs="Times New Roman"/>
          <w:sz w:val="24"/>
          <w:szCs w:val="24"/>
          <w:lang w:val="es-PE"/>
        </w:rPr>
        <w:t xml:space="preserve"> en consecuencia, habiendo transcurrido dos años desde la celebración del contrato, no se puede invocar reticencia.</w:t>
      </w:r>
    </w:p>
    <w:p w:rsidRPr="00BC3E16" w:rsidR="00BC3E16" w:rsidP="00BC3E16" w:rsidRDefault="00BC3E16" w14:paraId="51B391CF" w14:textId="6AB56B7E">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sz w:val="24"/>
          <w:szCs w:val="24"/>
          <w:lang w:val="es-PE"/>
        </w:rPr>
        <w:t xml:space="preserve">Cabe destacar </w:t>
      </w:r>
      <w:proofErr w:type="gramStart"/>
      <w:r w:rsidRPr="00BC3E16">
        <w:rPr>
          <w:rFonts w:ascii="Times New Roman" w:hAnsi="Times New Roman" w:cs="Times New Roman"/>
          <w:sz w:val="24"/>
          <w:szCs w:val="24"/>
          <w:lang w:val="es-PE"/>
        </w:rPr>
        <w:t>que</w:t>
      </w:r>
      <w:proofErr w:type="gramEnd"/>
      <w:r w:rsidRPr="00BC3E16">
        <w:rPr>
          <w:rFonts w:ascii="Times New Roman" w:hAnsi="Times New Roman" w:cs="Times New Roman"/>
          <w:sz w:val="24"/>
          <w:szCs w:val="24"/>
          <w:lang w:val="es-PE"/>
        </w:rPr>
        <w:t xml:space="preserve"> si bien las normas de la ley del contrato de seguro son imperativas, la propia ley establece en su artículo I, que, pese a ello </w:t>
      </w:r>
      <w:r w:rsidRPr="00BC3E16">
        <w:rPr>
          <w:rFonts w:ascii="Times New Roman" w:hAnsi="Times New Roman" w:cs="Times New Roman"/>
          <w:i/>
          <w:iCs/>
          <w:sz w:val="24"/>
          <w:szCs w:val="24"/>
          <w:lang w:val="es-PE"/>
        </w:rPr>
        <w:t>“se entenderán válidas las estipulaciones contractuales que sean más beneficiosas para el asegurado”</w:t>
      </w:r>
    </w:p>
    <w:p w:rsidRPr="00BC3E16" w:rsidR="00BC3E16" w:rsidP="00BC3E16" w:rsidRDefault="00BC3E16" w14:paraId="6624B627" w14:textId="41273CC9">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sz w:val="24"/>
          <w:szCs w:val="24"/>
          <w:lang w:val="es-PE"/>
        </w:rPr>
        <w:t xml:space="preserve">Habiéndose determinado que la invocación de nulidad no es legítima en aplicación de la cláusula de indisputabilidad; estamos ante un contrato de seguro válido, </w:t>
      </w:r>
      <w:proofErr w:type="gramStart"/>
      <w:r w:rsidRPr="00BC3E16">
        <w:rPr>
          <w:rFonts w:ascii="Times New Roman" w:hAnsi="Times New Roman" w:cs="Times New Roman"/>
          <w:sz w:val="24"/>
          <w:szCs w:val="24"/>
          <w:lang w:val="es-PE"/>
        </w:rPr>
        <w:t>y</w:t>
      </w:r>
      <w:proofErr w:type="gramEnd"/>
      <w:r w:rsidRPr="00BC3E16">
        <w:rPr>
          <w:rFonts w:ascii="Times New Roman" w:hAnsi="Times New Roman" w:cs="Times New Roman"/>
          <w:sz w:val="24"/>
          <w:szCs w:val="24"/>
          <w:lang w:val="es-PE"/>
        </w:rPr>
        <w:t xml:space="preserve"> por tanto, siendo que el rechazo se sustenta adicionalmente en la causal de preexistencia, corresponde analizar si el rechazo basado en dicha causal es o no legítimo. Para ello se analizarán los términos y oponibilidad de la exclusión, y se determinará si la misma se encuentra configurada. </w:t>
      </w:r>
    </w:p>
    <w:p w:rsidRPr="00BC3E16" w:rsidR="00BC3E16" w:rsidP="00BC3E16" w:rsidRDefault="00BC3E16" w14:paraId="52D5BBF6" w14:textId="7C4034AE">
      <w:pPr>
        <w:spacing w:after="200" w:line="240" w:lineRule="auto"/>
        <w:jc w:val="both"/>
        <w:rPr>
          <w:rFonts w:ascii="Times New Roman" w:hAnsi="Times New Roman" w:cs="Times New Roman"/>
          <w:b/>
          <w:bCs/>
          <w:i/>
          <w:iCs/>
          <w:sz w:val="24"/>
          <w:szCs w:val="24"/>
          <w:lang w:val="es-PE"/>
        </w:rPr>
      </w:pPr>
      <w:r w:rsidRPr="00BC3E16">
        <w:rPr>
          <w:rFonts w:ascii="Times New Roman" w:hAnsi="Times New Roman" w:cs="Times New Roman"/>
          <w:b/>
          <w:bCs/>
          <w:i/>
          <w:iCs/>
          <w:sz w:val="24"/>
          <w:szCs w:val="24"/>
          <w:lang w:val="es-PE"/>
        </w:rPr>
        <w:t>7.3. Oponibilidad de la exclusión por preexistencia:</w:t>
      </w:r>
    </w:p>
    <w:p w:rsidRPr="00BC3E16" w:rsidR="00BC3E16" w:rsidP="00BC3E16" w:rsidRDefault="00BC3E16" w14:paraId="37B70AB8" w14:textId="04DDF351">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sz w:val="24"/>
          <w:szCs w:val="24"/>
          <w:lang w:val="es-PE"/>
        </w:rPr>
        <w:t>Tratándose del rechazo por exclusiones de cobertura, como bien es sabido, esta Defensoría aplica un criterio uniforme, siguiendo el criterio derivado de diversos precedentes sostenidos en el tiempo, en el sentido que su eficacia está subordinada a que el correspondiente pacto contractual sea de efectivo conocimiento del asegurado, de manera que se pueda aplicar ante el correspondiente supuesto de hecho.  De allí que requiera verificarse: (i) si la póliza contiene la exclusión, (</w:t>
      </w:r>
      <w:proofErr w:type="spellStart"/>
      <w:r w:rsidRPr="00BC3E16">
        <w:rPr>
          <w:rFonts w:ascii="Times New Roman" w:hAnsi="Times New Roman" w:cs="Times New Roman"/>
          <w:sz w:val="24"/>
          <w:szCs w:val="24"/>
          <w:lang w:val="es-PE"/>
        </w:rPr>
        <w:t>ii</w:t>
      </w:r>
      <w:proofErr w:type="spellEnd"/>
      <w:r w:rsidRPr="00BC3E16">
        <w:rPr>
          <w:rFonts w:ascii="Times New Roman" w:hAnsi="Times New Roman" w:cs="Times New Roman"/>
          <w:sz w:val="24"/>
          <w:szCs w:val="24"/>
          <w:lang w:val="es-PE"/>
        </w:rPr>
        <w:t>) sobre si dicha exclusión fue oportuna, adecuada y suficientemente informada, y (</w:t>
      </w:r>
      <w:proofErr w:type="spellStart"/>
      <w:r w:rsidRPr="00BC3E16">
        <w:rPr>
          <w:rFonts w:ascii="Times New Roman" w:hAnsi="Times New Roman" w:cs="Times New Roman"/>
          <w:sz w:val="24"/>
          <w:szCs w:val="24"/>
          <w:lang w:val="es-PE"/>
        </w:rPr>
        <w:t>iii</w:t>
      </w:r>
      <w:proofErr w:type="spellEnd"/>
      <w:r w:rsidRPr="00BC3E16">
        <w:rPr>
          <w:rFonts w:ascii="Times New Roman" w:hAnsi="Times New Roman" w:cs="Times New Roman"/>
          <w:sz w:val="24"/>
          <w:szCs w:val="24"/>
          <w:lang w:val="es-PE"/>
        </w:rPr>
        <w:t>) si está probada la exclusión invocada.</w:t>
      </w:r>
    </w:p>
    <w:p w:rsidRPr="00BC3E16" w:rsidR="00BC3E16" w:rsidP="00BC3E16" w:rsidRDefault="00BC3E16" w14:paraId="4F05AC1C" w14:textId="3ED188EF">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sz w:val="24"/>
          <w:szCs w:val="24"/>
          <w:lang w:val="es-PE"/>
        </w:rPr>
        <w:t>En este caso, se verifica que la póliza contiene la exclusión en el artículo 24, literal a) de la misma, bajo el siguiente texto:</w:t>
      </w:r>
    </w:p>
    <w:p w:rsidRPr="00BC3E16" w:rsidR="00BC3E16" w:rsidP="00BC3E16" w:rsidRDefault="00BC3E16" w14:paraId="04750994" w14:textId="750FE4B0">
      <w:pPr>
        <w:spacing w:after="200" w:line="240" w:lineRule="auto"/>
        <w:jc w:val="center"/>
      </w:pPr>
      <w:r w:rsidR="453C697D">
        <w:rPr/>
        <w:t>...................................................................................................................................................</w:t>
      </w:r>
    </w:p>
    <w:p w:rsidRPr="00BC3E16" w:rsidR="00BC3E16" w:rsidP="00BC3E16" w:rsidRDefault="00BC3E16" w14:paraId="41499A5C" w14:textId="227C8086">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sz w:val="24"/>
          <w:szCs w:val="24"/>
          <w:lang w:val="es-PE"/>
        </w:rPr>
        <w:t>En consecuencia, se verifica la existencia del pacto contractual y que este fue debidamente informado al contratante del seguro al entregarle la póliza; por lo que resulta plenamente oponible.</w:t>
      </w:r>
    </w:p>
    <w:p w:rsidRPr="00BC3E16" w:rsidR="00BC3E16" w:rsidP="00BC3E16" w:rsidRDefault="00BC3E16" w14:paraId="69D64177" w14:textId="026AEE96">
      <w:pPr>
        <w:spacing w:after="200" w:line="240" w:lineRule="auto"/>
        <w:jc w:val="both"/>
        <w:rPr>
          <w:rFonts w:ascii="Times New Roman" w:hAnsi="Times New Roman" w:cs="Times New Roman"/>
          <w:b/>
          <w:bCs/>
          <w:i/>
          <w:iCs/>
          <w:sz w:val="24"/>
          <w:szCs w:val="24"/>
          <w:lang w:val="es-PE"/>
        </w:rPr>
      </w:pPr>
      <w:r w:rsidRPr="00BC3E16">
        <w:rPr>
          <w:rFonts w:ascii="Times New Roman" w:hAnsi="Times New Roman" w:cs="Times New Roman"/>
          <w:b/>
          <w:bCs/>
          <w:i/>
          <w:iCs/>
          <w:sz w:val="24"/>
          <w:szCs w:val="24"/>
          <w:lang w:val="es-PE"/>
        </w:rPr>
        <w:t>7.4. Configuración de la exclusión:</w:t>
      </w:r>
    </w:p>
    <w:p w:rsidRPr="00BC3E16" w:rsidR="00BC3E16" w:rsidP="00BC3E16" w:rsidRDefault="00BC3E16" w14:paraId="4A033919" w14:textId="3EB7409B">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sz w:val="24"/>
          <w:szCs w:val="24"/>
          <w:lang w:val="es-PE"/>
        </w:rPr>
        <w:t xml:space="preserve">A continuación, corresponde analizar si se han configurado los supuestos de hecho previstos en la exclusión por preexistencia. </w:t>
      </w:r>
    </w:p>
    <w:p w:rsidRPr="00BC3E16" w:rsidR="00BC3E16" w:rsidP="00BC3E16" w:rsidRDefault="00BC3E16" w14:paraId="6BDA031A" w14:textId="57E87F5D">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sz w:val="24"/>
          <w:szCs w:val="24"/>
          <w:lang w:val="es-PE"/>
        </w:rPr>
        <w:t>Conforme a ello, en estricta aplicación literal de la indicada exclusión, la misma demanda de (i) una enfermedad preexistente diagnosticada conforme a la respectiva historia clínica, (</w:t>
      </w:r>
      <w:proofErr w:type="spellStart"/>
      <w:r w:rsidRPr="00BC3E16">
        <w:rPr>
          <w:rFonts w:ascii="Times New Roman" w:hAnsi="Times New Roman" w:cs="Times New Roman"/>
          <w:sz w:val="24"/>
          <w:szCs w:val="24"/>
          <w:lang w:val="es-PE"/>
        </w:rPr>
        <w:t>ii</w:t>
      </w:r>
      <w:proofErr w:type="spellEnd"/>
      <w:r w:rsidRPr="00BC3E16">
        <w:rPr>
          <w:rFonts w:ascii="Times New Roman" w:hAnsi="Times New Roman" w:cs="Times New Roman"/>
          <w:sz w:val="24"/>
          <w:szCs w:val="24"/>
          <w:lang w:val="es-PE"/>
        </w:rPr>
        <w:t xml:space="preserve">) que </w:t>
      </w:r>
      <w:r w:rsidRPr="00BC3E16">
        <w:rPr>
          <w:rFonts w:ascii="Times New Roman" w:hAnsi="Times New Roman" w:cs="Times New Roman"/>
          <w:sz w:val="24"/>
          <w:szCs w:val="24"/>
          <w:lang w:val="es-PE"/>
        </w:rPr>
        <w:t>dicha enfermedad no haya sido declarada por el asegurado con ocasión de afiliarse al seguro; y, por una cuestión elemental de pertinencia, (</w:t>
      </w:r>
      <w:proofErr w:type="spellStart"/>
      <w:r w:rsidRPr="00BC3E16">
        <w:rPr>
          <w:rFonts w:ascii="Times New Roman" w:hAnsi="Times New Roman" w:cs="Times New Roman"/>
          <w:sz w:val="24"/>
          <w:szCs w:val="24"/>
          <w:lang w:val="es-PE"/>
        </w:rPr>
        <w:t>iii</w:t>
      </w:r>
      <w:proofErr w:type="spellEnd"/>
      <w:r w:rsidRPr="00BC3E16">
        <w:rPr>
          <w:rFonts w:ascii="Times New Roman" w:hAnsi="Times New Roman" w:cs="Times New Roman"/>
          <w:sz w:val="24"/>
          <w:szCs w:val="24"/>
          <w:lang w:val="es-PE"/>
        </w:rPr>
        <w:t>) que la enfermedad ya diagnosticada y no declarada, se relacione al siniestro respecto del cual, en su oportunidad, se solicite cobertura.</w:t>
      </w:r>
    </w:p>
    <w:p w:rsidRPr="00BC3E16" w:rsidR="00BC3E16" w:rsidP="00BC3E16" w:rsidRDefault="00BC3E16" w14:paraId="4F48D978" w14:textId="55EC579B">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sz w:val="24"/>
          <w:szCs w:val="24"/>
          <w:lang w:val="es-PE"/>
        </w:rPr>
        <w:t>En lo que respecta a la enfermedad preexistente, este aspecto se considera cumplido conforme al análisis desarrollado en el numeral 7.1. precedente. Siendo que la póliza que nos ocupa inició su vigencia a fines del 2018 y en la historia clínica de años anteriores se evidencia el diagnóstico de la diabetes, este colegiado comparte la opinión de la aseguradora en el sentido que estamos ante una enfermedad preexistente.</w:t>
      </w:r>
      <w:r w:rsidRPr="00BC3E16">
        <w:rPr>
          <w:rFonts w:ascii="Times New Roman" w:hAnsi="Times New Roman" w:cs="Times New Roman"/>
          <w:sz w:val="24"/>
          <w:szCs w:val="24"/>
          <w:lang w:val="es-PE"/>
        </w:rPr>
        <w:tab/>
      </w:r>
    </w:p>
    <w:p w:rsidRPr="00BC3E16" w:rsidR="00BC3E16" w:rsidP="00BC3E16" w:rsidRDefault="00BC3E16" w14:paraId="7802D9BE" w14:textId="0EA7E1FD">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sz w:val="24"/>
          <w:szCs w:val="24"/>
          <w:lang w:val="es-PE"/>
        </w:rPr>
        <w:t>En lo que respecta a la declaración sobre las enfermedades formulada al momento de afiliarse al seguro, está acreditado que esta no fue declarada; por el contario fue negada al contratar el seguro, por lo que se verifica dicho segundo supuesto.</w:t>
      </w:r>
    </w:p>
    <w:p w:rsidRPr="00BC3E16" w:rsidR="00BC3E16" w:rsidP="00BC3E16" w:rsidRDefault="00BC3E16" w14:paraId="5D2631E3" w14:textId="50D5B9E2">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sz w:val="24"/>
          <w:szCs w:val="24"/>
          <w:lang w:val="es-PE"/>
        </w:rPr>
        <w:t xml:space="preserve">Finalmente, y en lo que respecta a si esta se encuentra o no relacionada con el fallecimiento, el propio certificado de defunción emitido en Estados Unidos, consigna a la diabetes como una de las causas que produjeron el infarto cerebral severo, que lamentablemente produjo el fallecimiento del asegurado, toda vez que se consigna como causa directa del fallecimiento al infarto cerebral, el cual señalan se produce como consecuencia de enfermedad de las arterias coronarias, la cual mencionan se produce como consecuencia de </w:t>
      </w:r>
      <w:proofErr w:type="spellStart"/>
      <w:r w:rsidRPr="00BC3E16">
        <w:rPr>
          <w:rFonts w:ascii="Times New Roman" w:hAnsi="Times New Roman" w:cs="Times New Roman"/>
          <w:sz w:val="24"/>
          <w:szCs w:val="24"/>
          <w:lang w:val="es-PE"/>
        </w:rPr>
        <w:t>Hiperlidemia</w:t>
      </w:r>
      <w:proofErr w:type="spellEnd"/>
      <w:r w:rsidRPr="00BC3E16">
        <w:rPr>
          <w:rFonts w:ascii="Times New Roman" w:hAnsi="Times New Roman" w:cs="Times New Roman"/>
          <w:sz w:val="24"/>
          <w:szCs w:val="24"/>
          <w:lang w:val="es-PE"/>
        </w:rPr>
        <w:t xml:space="preserve"> y diabetes mellitus tipo 2, lo que acredita la cadena causal entre la diabetes y el fallecimiento; tal como se aprecia de la siguiente imagen de parte pertinente del certificado de defunción:</w:t>
      </w:r>
    </w:p>
    <w:p w:rsidRPr="00BC3E16" w:rsidR="00BC3E16" w:rsidP="00BC3E16" w:rsidRDefault="00BC3E16" w14:paraId="55EEAD7B" w14:textId="1496C076">
      <w:pPr>
        <w:spacing w:after="200" w:line="240" w:lineRule="auto"/>
        <w:jc w:val="center"/>
      </w:pPr>
      <w:r w:rsidR="4CED5431">
        <w:rPr/>
        <w:t>...........................................................................................................................................</w:t>
      </w:r>
    </w:p>
    <w:p w:rsidRPr="00BC3E16" w:rsidR="00BC3E16" w:rsidP="00BC3E16" w:rsidRDefault="00BC3E16" w14:paraId="59F6D2BD" w14:textId="408DA3A3">
      <w:pPr>
        <w:spacing w:after="200" w:line="240" w:lineRule="auto"/>
        <w:jc w:val="both"/>
        <w:rPr>
          <w:rFonts w:ascii="Times New Roman" w:hAnsi="Times New Roman" w:cs="Times New Roman"/>
          <w:sz w:val="24"/>
          <w:szCs w:val="24"/>
          <w:lang w:val="es-PE"/>
        </w:rPr>
      </w:pPr>
      <w:r w:rsidRPr="00BC3E16">
        <w:rPr>
          <w:rFonts w:ascii="Times New Roman" w:hAnsi="Times New Roman" w:cs="Times New Roman"/>
          <w:sz w:val="24"/>
          <w:szCs w:val="24"/>
          <w:lang w:val="es-PE"/>
        </w:rPr>
        <w:t xml:space="preserve">Adicionalmente, el certificado refiere otras condiciones significativas contributivas, siendo pertinente resaltar </w:t>
      </w:r>
      <w:proofErr w:type="gramStart"/>
      <w:r w:rsidRPr="00BC3E16">
        <w:rPr>
          <w:rFonts w:ascii="Times New Roman" w:hAnsi="Times New Roman" w:cs="Times New Roman"/>
          <w:sz w:val="24"/>
          <w:szCs w:val="24"/>
          <w:lang w:val="es-PE"/>
        </w:rPr>
        <w:t>que</w:t>
      </w:r>
      <w:proofErr w:type="gramEnd"/>
      <w:r w:rsidRPr="00BC3E16">
        <w:rPr>
          <w:rFonts w:ascii="Times New Roman" w:hAnsi="Times New Roman" w:cs="Times New Roman"/>
          <w:sz w:val="24"/>
          <w:szCs w:val="24"/>
          <w:lang w:val="es-PE"/>
        </w:rPr>
        <w:t xml:space="preserve"> si la diabetes hubiera sido solo una condición contributiva pero no una de las causas del fallecimiento, hubiera sido consignada en dicha parte del formato; y no dentro de las tres primeras líneas donde se expresa claramente la relación causal.  </w:t>
      </w:r>
      <w:r w:rsidRPr="00BC3E16">
        <w:rPr>
          <w:rFonts w:ascii="Times New Roman" w:hAnsi="Times New Roman" w:cs="Times New Roman"/>
          <w:sz w:val="24"/>
          <w:szCs w:val="24"/>
          <w:lang w:val="es-PE"/>
        </w:rPr>
        <w:tab/>
      </w:r>
    </w:p>
    <w:p w:rsidRPr="00BC3E16" w:rsidR="00BC3E16" w:rsidP="00BC3E16" w:rsidRDefault="00BC3E16" w14:paraId="23E14B17" w14:textId="692B0B3E">
      <w:pPr>
        <w:spacing w:after="200" w:line="240" w:lineRule="auto"/>
        <w:jc w:val="both"/>
        <w:rPr>
          <w:rFonts w:ascii="Times New Roman" w:hAnsi="Times New Roman" w:cs="Times New Roman"/>
          <w:sz w:val="24"/>
          <w:szCs w:val="24"/>
          <w:lang w:val="es-ES"/>
        </w:rPr>
      </w:pPr>
      <w:r w:rsidRPr="737AD2E9" w:rsidR="00BC3E16">
        <w:rPr>
          <w:rFonts w:ascii="Times New Roman" w:hAnsi="Times New Roman" w:cs="Times New Roman"/>
          <w:b w:val="1"/>
          <w:bCs w:val="1"/>
          <w:sz w:val="24"/>
          <w:szCs w:val="24"/>
          <w:u w:val="single"/>
          <w:lang w:val="es-PE"/>
        </w:rPr>
        <w:t>OCTAVO</w:t>
      </w:r>
      <w:r w:rsidRPr="737AD2E9" w:rsidR="00BC3E16">
        <w:rPr>
          <w:rFonts w:ascii="Times New Roman" w:hAnsi="Times New Roman" w:cs="Times New Roman"/>
          <w:sz w:val="24"/>
          <w:szCs w:val="24"/>
          <w:lang w:val="es-PE"/>
        </w:rPr>
        <w:t xml:space="preserve">: Finalmente, este Colegiado tiene a bien señalar que </w:t>
      </w:r>
      <w:r w:rsidRPr="737AD2E9" w:rsidR="00BC3E16">
        <w:rPr>
          <w:rFonts w:ascii="Times New Roman" w:hAnsi="Times New Roman" w:cs="Times New Roman"/>
          <w:sz w:val="24"/>
          <w:szCs w:val="24"/>
          <w:lang w:val="es-ES"/>
        </w:rPr>
        <w:t>l</w:t>
      </w:r>
      <w:r w:rsidRPr="737AD2E9" w:rsidR="00BC3E16">
        <w:rPr>
          <w:rFonts w:ascii="Times New Roman" w:hAnsi="Times New Roman" w:cs="Times New Roman"/>
          <w:sz w:val="24"/>
          <w:szCs w:val="24"/>
          <w:lang w:val="es-PE"/>
        </w:rPr>
        <w:t xml:space="preserve">a Defensoría del Asegurado es una entidad privada y por ende no constituye una instancia administrativa regida por la ley del procedimiento administrativo general. La Defensoría se rige por su propio Reglamento, conforme al cual, el sometimiento voluntario de controversias en materia de </w:t>
      </w:r>
      <w:r w:rsidRPr="737AD2E9" w:rsidR="1E19CFBD">
        <w:rPr>
          <w:rFonts w:ascii="Times New Roman" w:hAnsi="Times New Roman" w:cs="Times New Roman"/>
          <w:sz w:val="24"/>
          <w:szCs w:val="24"/>
          <w:lang w:val="es-PE"/>
        </w:rPr>
        <w:t>..................</w:t>
      </w:r>
      <w:r w:rsidRPr="737AD2E9" w:rsidR="00BC3E16">
        <w:rPr>
          <w:rFonts w:ascii="Times New Roman" w:hAnsi="Times New Roman" w:cs="Times New Roman"/>
          <w:sz w:val="24"/>
          <w:szCs w:val="24"/>
          <w:lang w:val="es-PE"/>
        </w:rPr>
        <w:t xml:space="preserve"> ante la </w:t>
      </w:r>
      <w:r w:rsidRPr="737AD2E9" w:rsidR="00BC3E16">
        <w:rPr>
          <w:rFonts w:ascii="Times New Roman" w:hAnsi="Times New Roman" w:cs="Times New Roman"/>
          <w:sz w:val="24"/>
          <w:szCs w:val="24"/>
          <w:lang w:val="es-PE"/>
        </w:rPr>
        <w:t>DEFASEG,</w:t>
      </w:r>
      <w:r w:rsidRPr="737AD2E9" w:rsidR="00BC3E16">
        <w:rPr>
          <w:rFonts w:ascii="Times New Roman" w:hAnsi="Times New Roman" w:cs="Times New Roman"/>
          <w:sz w:val="24"/>
          <w:szCs w:val="24"/>
          <w:lang w:val="es-PE"/>
        </w:rPr>
        <w:t xml:space="preserve"> no afecta el derecho a la tutela jurisdiccional del reclamante, quien puede iniciar procesos ante las instancias que considere pertinentes, sin que sea necesario que se revoque previamente la resolución emitida por la DEFASEG. Ello debido a que las resoluciones que expide esta Defensoría no son vinculantes para el asegurado o reclamante cuando éstas son desfavorables para los mismos, </w:t>
      </w:r>
      <w:r w:rsidRPr="737AD2E9" w:rsidR="00BC3E16">
        <w:rPr>
          <w:rFonts w:ascii="Times New Roman" w:hAnsi="Times New Roman" w:cs="Times New Roman"/>
          <w:sz w:val="24"/>
          <w:szCs w:val="24"/>
          <w:lang w:val="es-ES"/>
        </w:rPr>
        <w:t xml:space="preserve">ya que son únicamente vinculantes para las aseguradoras cuando el fallo es favorable para el asegurado. </w:t>
      </w:r>
    </w:p>
    <w:p w:rsidRPr="00BC3E16" w:rsidR="00BC3E16" w:rsidP="00BC3E16" w:rsidRDefault="00BC3E16" w14:paraId="4E012C10" w14:textId="2CB80D48">
      <w:pPr>
        <w:spacing w:after="200" w:line="240" w:lineRule="auto"/>
        <w:jc w:val="both"/>
        <w:rPr>
          <w:rFonts w:ascii="Times New Roman" w:hAnsi="Times New Roman" w:cs="Times New Roman"/>
          <w:b/>
          <w:sz w:val="24"/>
          <w:szCs w:val="24"/>
          <w:lang w:val="es-PE"/>
        </w:rPr>
      </w:pPr>
      <w:r w:rsidRPr="00BC3E16">
        <w:rPr>
          <w:rFonts w:ascii="Times New Roman" w:hAnsi="Times New Roman" w:cs="Times New Roman"/>
          <w:b/>
          <w:sz w:val="24"/>
          <w:szCs w:val="24"/>
          <w:lang w:val="es-PE"/>
        </w:rPr>
        <w:t xml:space="preserve">Atendiendo a lo expresado, este colegiado concluye su apreciación razonada y conjunta, al amparo de lo establecido en su Reglamento, estimando que el rechazo de cobertura es legítimo; por lo que </w:t>
      </w:r>
    </w:p>
    <w:p w:rsidRPr="00BC3E16" w:rsidR="00BC3E16" w:rsidP="00BC3E16" w:rsidRDefault="00BC3E16" w14:paraId="24F835C1" w14:textId="179C4F7D">
      <w:pPr>
        <w:spacing w:after="200" w:line="240" w:lineRule="auto"/>
        <w:jc w:val="both"/>
        <w:rPr>
          <w:rFonts w:ascii="Times New Roman" w:hAnsi="Times New Roman" w:cs="Times New Roman"/>
          <w:b/>
          <w:sz w:val="24"/>
          <w:szCs w:val="24"/>
          <w:lang w:val="es-PE"/>
        </w:rPr>
      </w:pPr>
      <w:r w:rsidRPr="00BC3E16">
        <w:rPr>
          <w:rFonts w:ascii="Times New Roman" w:hAnsi="Times New Roman" w:cs="Times New Roman"/>
          <w:b/>
          <w:sz w:val="24"/>
          <w:szCs w:val="24"/>
          <w:lang w:val="es-PE"/>
        </w:rPr>
        <w:t>Resuelve:</w:t>
      </w:r>
    </w:p>
    <w:p w:rsidRPr="00BC3E16" w:rsidR="00BC3E16" w:rsidP="00BC3E16" w:rsidRDefault="00BC3E16" w14:paraId="2BEB5DF6" w14:textId="2DDC93ED">
      <w:pPr>
        <w:spacing w:after="200" w:line="240" w:lineRule="auto"/>
        <w:jc w:val="both"/>
        <w:rPr>
          <w:rFonts w:ascii="Times New Roman" w:hAnsi="Times New Roman" w:cs="Times New Roman"/>
          <w:sz w:val="24"/>
          <w:szCs w:val="24"/>
          <w:lang w:val="es-PE"/>
        </w:rPr>
      </w:pPr>
      <w:r w:rsidRPr="737AD2E9" w:rsidR="00BC3E16">
        <w:rPr>
          <w:rFonts w:ascii="Times New Roman" w:hAnsi="Times New Roman" w:cs="Times New Roman"/>
          <w:sz w:val="24"/>
          <w:szCs w:val="24"/>
          <w:lang w:val="es-PE"/>
        </w:rPr>
        <w:t xml:space="preserve">Declarar </w:t>
      </w:r>
      <w:r w:rsidRPr="737AD2E9" w:rsidR="00BC3E16">
        <w:rPr>
          <w:rFonts w:ascii="Times New Roman" w:hAnsi="Times New Roman" w:cs="Times New Roman"/>
          <w:b w:val="1"/>
          <w:bCs w:val="1"/>
          <w:sz w:val="24"/>
          <w:szCs w:val="24"/>
          <w:lang w:val="es-PE"/>
        </w:rPr>
        <w:t>INFUNDADA</w:t>
      </w:r>
      <w:r w:rsidRPr="737AD2E9" w:rsidR="00BC3E16">
        <w:rPr>
          <w:rFonts w:ascii="Times New Roman" w:hAnsi="Times New Roman" w:cs="Times New Roman"/>
          <w:sz w:val="24"/>
          <w:szCs w:val="24"/>
          <w:lang w:val="es-PE"/>
        </w:rPr>
        <w:t xml:space="preserve"> la reclamación interpuesta por doña </w:t>
      </w:r>
      <w:r w:rsidRPr="737AD2E9" w:rsidR="64142050">
        <w:rPr>
          <w:rFonts w:ascii="Times New Roman" w:hAnsi="Times New Roman" w:cs="Times New Roman"/>
          <w:sz w:val="24"/>
          <w:szCs w:val="24"/>
          <w:lang w:val="es-PE"/>
        </w:rPr>
        <w:t>....................................................................</w:t>
      </w:r>
      <w:r w:rsidRPr="737AD2E9" w:rsidR="00BC3E16">
        <w:rPr>
          <w:rFonts w:ascii="Times New Roman" w:hAnsi="Times New Roman" w:cs="Times New Roman"/>
          <w:sz w:val="24"/>
          <w:szCs w:val="24"/>
          <w:lang w:val="es-PE"/>
        </w:rPr>
        <w:t xml:space="preserve"> contra </w:t>
      </w:r>
      <w:r w:rsidRPr="737AD2E9" w:rsidR="5DB1AFDF">
        <w:rPr>
          <w:rFonts w:ascii="Times New Roman" w:hAnsi="Times New Roman" w:cs="Times New Roman"/>
          <w:sz w:val="24"/>
          <w:szCs w:val="24"/>
          <w:lang w:val="es-PE"/>
        </w:rPr>
        <w:t>.................</w:t>
      </w:r>
      <w:r w:rsidRPr="737AD2E9" w:rsidR="00BC3E16">
        <w:rPr>
          <w:rFonts w:ascii="Times New Roman" w:hAnsi="Times New Roman" w:cs="Times New Roman"/>
          <w:sz w:val="24"/>
          <w:szCs w:val="24"/>
          <w:lang w:val="es-PE"/>
        </w:rPr>
        <w:t xml:space="preserve"> </w:t>
      </w:r>
      <w:r w:rsidRPr="737AD2E9" w:rsidR="1E19CFBD">
        <w:rPr>
          <w:rFonts w:ascii="Times New Roman" w:hAnsi="Times New Roman" w:cs="Times New Roman"/>
          <w:sz w:val="24"/>
          <w:szCs w:val="24"/>
          <w:lang w:val="es-PE"/>
        </w:rPr>
        <w:t>..................</w:t>
      </w:r>
      <w:r w:rsidRPr="737AD2E9" w:rsidR="00BC3E16">
        <w:rPr>
          <w:rFonts w:ascii="Times New Roman" w:hAnsi="Times New Roman" w:cs="Times New Roman"/>
          <w:sz w:val="24"/>
          <w:szCs w:val="24"/>
          <w:lang w:val="es-PE"/>
        </w:rPr>
        <w:t xml:space="preserve">, respecto de la póliza Protección Familiar </w:t>
      </w:r>
      <w:r w:rsidRPr="737AD2E9" w:rsidR="00BC3E16">
        <w:rPr>
          <w:rFonts w:ascii="Times New Roman" w:hAnsi="Times New Roman" w:cs="Times New Roman"/>
          <w:sz w:val="24"/>
          <w:szCs w:val="24"/>
          <w:lang w:val="es-PE"/>
        </w:rPr>
        <w:t>N°</w:t>
      </w:r>
      <w:r w:rsidRPr="737AD2E9" w:rsidR="00BC3E16">
        <w:rPr>
          <w:rFonts w:ascii="Times New Roman" w:hAnsi="Times New Roman" w:cs="Times New Roman"/>
          <w:sz w:val="24"/>
          <w:szCs w:val="24"/>
          <w:lang w:val="es-PE"/>
        </w:rPr>
        <w:t xml:space="preserve"> </w:t>
      </w:r>
      <w:r w:rsidRPr="737AD2E9" w:rsidR="549DDE02">
        <w:rPr>
          <w:rFonts w:ascii="Times New Roman" w:hAnsi="Times New Roman" w:cs="Times New Roman"/>
          <w:sz w:val="24"/>
          <w:szCs w:val="24"/>
          <w:lang w:val="es-PE"/>
        </w:rPr>
        <w:t>..................</w:t>
      </w:r>
      <w:r w:rsidRPr="737AD2E9" w:rsidR="00BC3E16">
        <w:rPr>
          <w:rFonts w:ascii="Times New Roman" w:hAnsi="Times New Roman" w:cs="Times New Roman"/>
          <w:sz w:val="24"/>
          <w:szCs w:val="24"/>
          <w:lang w:val="es-PE"/>
        </w:rPr>
        <w:t>, dejándose a salvo su derecho de acudir ante las instancias que estime pertinentes.</w:t>
      </w:r>
    </w:p>
    <w:p w:rsidRPr="00BC3E16" w:rsidR="00671D19" w:rsidP="00BC3E16" w:rsidRDefault="00671D19" w14:paraId="3CFDDA2B" w14:textId="62A23930">
      <w:pPr>
        <w:spacing w:after="200" w:line="240" w:lineRule="auto"/>
        <w:jc w:val="right"/>
        <w:rPr>
          <w:rFonts w:ascii="Times New Roman" w:hAnsi="Times New Roman" w:cs="Times New Roman"/>
          <w:sz w:val="24"/>
          <w:szCs w:val="24"/>
          <w:lang w:val="es-PE"/>
        </w:rPr>
      </w:pPr>
      <w:r w:rsidRPr="00BC3E16">
        <w:rPr>
          <w:rFonts w:ascii="Times New Roman" w:hAnsi="Times New Roman" w:cs="Times New Roman"/>
          <w:sz w:val="24"/>
          <w:szCs w:val="24"/>
          <w:lang w:val="es-PE"/>
        </w:rPr>
        <w:t>Lima,</w:t>
      </w:r>
      <w:r w:rsidRPr="00BC3E16" w:rsidR="009542E8">
        <w:rPr>
          <w:rFonts w:ascii="Times New Roman" w:hAnsi="Times New Roman" w:cs="Times New Roman"/>
          <w:sz w:val="24"/>
          <w:szCs w:val="24"/>
          <w:lang w:val="es-PE"/>
        </w:rPr>
        <w:t xml:space="preserve"> 29 </w:t>
      </w:r>
      <w:r w:rsidRPr="00BC3E16">
        <w:rPr>
          <w:rFonts w:ascii="Times New Roman" w:hAnsi="Times New Roman" w:cs="Times New Roman"/>
          <w:sz w:val="24"/>
          <w:szCs w:val="24"/>
          <w:lang w:val="es-PE"/>
        </w:rPr>
        <w:t xml:space="preserve">de </w:t>
      </w:r>
      <w:r w:rsidRPr="00BC3E16" w:rsidR="00AE4850">
        <w:rPr>
          <w:rFonts w:ascii="Times New Roman" w:hAnsi="Times New Roman" w:cs="Times New Roman"/>
          <w:sz w:val="24"/>
          <w:szCs w:val="24"/>
          <w:lang w:val="es-PE"/>
        </w:rPr>
        <w:t xml:space="preserve">septiembre </w:t>
      </w:r>
      <w:r w:rsidRPr="00BC3E16">
        <w:rPr>
          <w:rFonts w:ascii="Times New Roman" w:hAnsi="Times New Roman" w:cs="Times New Roman"/>
          <w:sz w:val="24"/>
          <w:szCs w:val="24"/>
          <w:lang w:val="es-PE"/>
        </w:rPr>
        <w:t xml:space="preserve">de 2025 </w:t>
      </w:r>
    </w:p>
    <w:p w:rsidRPr="00BC3E16" w:rsidR="00671D19" w:rsidP="00BC3E16" w:rsidRDefault="00671D19" w14:paraId="71A76C4D" w14:textId="77777777">
      <w:pPr>
        <w:suppressAutoHyphens/>
        <w:spacing w:after="0" w:line="240" w:lineRule="auto"/>
        <w:jc w:val="both"/>
        <w:outlineLvl w:val="0"/>
        <w:rPr>
          <w:rFonts w:ascii="Times New Roman" w:hAnsi="Times New Roman" w:eastAsia="Times New Roman" w:cs="Times New Roman"/>
          <w:sz w:val="24"/>
          <w:szCs w:val="24"/>
          <w:lang w:val="es-PE" w:eastAsia="ar-SA"/>
        </w:rPr>
      </w:pPr>
    </w:p>
    <w:p w:rsidRPr="00BC3E16" w:rsidR="00671D19" w:rsidP="00BC3E16" w:rsidRDefault="00671D19" w14:paraId="3EF2A728" w14:textId="77777777">
      <w:pPr>
        <w:spacing w:after="200" w:line="240" w:lineRule="auto"/>
        <w:jc w:val="both"/>
        <w:rPr>
          <w:rFonts w:ascii="Times New Roman" w:hAnsi="Times New Roman" w:cs="Times New Roman"/>
          <w:b/>
          <w:bCs/>
          <w:i/>
          <w:iCs/>
          <w:sz w:val="24"/>
          <w:szCs w:val="24"/>
          <w:lang w:val="es-PE"/>
        </w:rPr>
      </w:pPr>
      <w:r w:rsidRPr="00BC3E16">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rsidRPr="00BC3E16" w:rsidR="00671D19" w:rsidP="00BC3E16" w:rsidRDefault="00671D19" w14:paraId="119439E1" w14:textId="623DE779">
      <w:pPr>
        <w:spacing w:after="200" w:line="240" w:lineRule="auto"/>
        <w:jc w:val="center"/>
        <w:rPr>
          <w:rFonts w:ascii="Times New Roman" w:hAnsi="Times New Roman" w:cs="Times New Roman"/>
          <w:b/>
          <w:bCs/>
          <w:sz w:val="24"/>
          <w:szCs w:val="24"/>
          <w:lang w:val="es-PE"/>
        </w:rPr>
      </w:pPr>
      <w:r w:rsidRPr="00BC3E16">
        <w:rPr>
          <w:rFonts w:ascii="Times New Roman" w:hAnsi="Times New Roman" w:cs="Times New Roman"/>
          <w:b/>
          <w:bCs/>
          <w:sz w:val="24"/>
          <w:szCs w:val="24"/>
          <w:lang w:val="es-PE"/>
        </w:rPr>
        <w:t xml:space="preserve">Antonio Rodriguez Lobatón – </w:t>
      </w:r>
      <w:proofErr w:type="gramStart"/>
      <w:r w:rsidRPr="00BC3E16" w:rsidR="00C74F6C">
        <w:rPr>
          <w:rFonts w:ascii="Times New Roman" w:hAnsi="Times New Roman" w:cs="Times New Roman"/>
          <w:b/>
          <w:bCs/>
          <w:sz w:val="24"/>
          <w:szCs w:val="24"/>
          <w:lang w:val="es-PE"/>
        </w:rPr>
        <w:t>Presidente</w:t>
      </w:r>
      <w:proofErr w:type="gramEnd"/>
    </w:p>
    <w:p w:rsidRPr="00BC3E16" w:rsidR="009542E8" w:rsidP="00BC3E16" w:rsidRDefault="009542E8" w14:paraId="736859AA" w14:textId="7870D918">
      <w:pPr>
        <w:spacing w:after="200" w:line="240" w:lineRule="auto"/>
        <w:jc w:val="center"/>
        <w:rPr>
          <w:rFonts w:ascii="Times New Roman" w:hAnsi="Times New Roman" w:cs="Times New Roman"/>
          <w:b/>
          <w:bCs/>
          <w:sz w:val="24"/>
          <w:szCs w:val="24"/>
          <w:lang w:val="es-PE"/>
        </w:rPr>
      </w:pPr>
      <w:r w:rsidRPr="00BC3E16">
        <w:rPr>
          <w:rFonts w:ascii="Times New Roman" w:hAnsi="Times New Roman" w:cs="Times New Roman"/>
          <w:b/>
          <w:bCs/>
          <w:sz w:val="24"/>
          <w:szCs w:val="24"/>
          <w:lang w:val="es-PE"/>
        </w:rPr>
        <w:t>María Eugenia Valdez Fernández Baca - Vocal</w:t>
      </w:r>
    </w:p>
    <w:p w:rsidR="00C74F6C" w:rsidP="00BC3E16" w:rsidRDefault="00C74F6C" w14:paraId="1F843F9E" w14:textId="4EE4FA2B">
      <w:pPr>
        <w:spacing w:after="200" w:line="240" w:lineRule="auto"/>
        <w:jc w:val="center"/>
        <w:rPr>
          <w:rFonts w:ascii="Times New Roman" w:hAnsi="Times New Roman" w:cs="Times New Roman"/>
          <w:b/>
          <w:bCs/>
          <w:sz w:val="24"/>
          <w:szCs w:val="24"/>
          <w:lang w:val="es-PE"/>
        </w:rPr>
      </w:pPr>
      <w:r w:rsidRPr="00BC3E16">
        <w:rPr>
          <w:rFonts w:ascii="Times New Roman" w:hAnsi="Times New Roman" w:cs="Times New Roman"/>
          <w:b/>
          <w:bCs/>
          <w:sz w:val="24"/>
          <w:szCs w:val="24"/>
          <w:lang w:val="es-PE"/>
        </w:rPr>
        <w:t xml:space="preserve">Rolando Eyzaguirre </w:t>
      </w:r>
      <w:proofErr w:type="spellStart"/>
      <w:r w:rsidRPr="00BC3E16">
        <w:rPr>
          <w:rFonts w:ascii="Times New Roman" w:hAnsi="Times New Roman" w:cs="Times New Roman"/>
          <w:b/>
          <w:bCs/>
          <w:sz w:val="24"/>
          <w:szCs w:val="24"/>
          <w:lang w:val="es-PE"/>
        </w:rPr>
        <w:t>Maccan</w:t>
      </w:r>
      <w:proofErr w:type="spellEnd"/>
      <w:r w:rsidRPr="00BC3E16">
        <w:rPr>
          <w:rFonts w:ascii="Times New Roman" w:hAnsi="Times New Roman" w:cs="Times New Roman"/>
          <w:b/>
          <w:bCs/>
          <w:sz w:val="24"/>
          <w:szCs w:val="24"/>
          <w:lang w:val="es-PE"/>
        </w:rPr>
        <w:t xml:space="preserve"> </w:t>
      </w:r>
      <w:r w:rsidR="00BC3E16">
        <w:rPr>
          <w:rFonts w:ascii="Times New Roman" w:hAnsi="Times New Roman" w:cs="Times New Roman"/>
          <w:b/>
          <w:bCs/>
          <w:sz w:val="24"/>
          <w:szCs w:val="24"/>
          <w:lang w:val="es-PE"/>
        </w:rPr>
        <w:t>–</w:t>
      </w:r>
      <w:r w:rsidRPr="00BC3E16">
        <w:rPr>
          <w:rFonts w:ascii="Times New Roman" w:hAnsi="Times New Roman" w:cs="Times New Roman"/>
          <w:b/>
          <w:bCs/>
          <w:sz w:val="24"/>
          <w:szCs w:val="24"/>
          <w:lang w:val="es-PE"/>
        </w:rPr>
        <w:t xml:space="preserve"> Vocal</w:t>
      </w:r>
    </w:p>
    <w:p w:rsidRPr="00BC3E16" w:rsidR="00BC3E16" w:rsidP="00BC3E16" w:rsidRDefault="00BC3E16" w14:paraId="309A622E" w14:textId="4EDDAAFC">
      <w:pPr>
        <w:spacing w:after="200" w:line="240" w:lineRule="auto"/>
        <w:jc w:val="center"/>
        <w:rPr>
          <w:rFonts w:ascii="Times New Roman" w:hAnsi="Times New Roman" w:cs="Times New Roman"/>
          <w:b/>
          <w:bCs/>
          <w:sz w:val="24"/>
          <w:szCs w:val="24"/>
          <w:lang w:val="es-PE"/>
        </w:rPr>
      </w:pPr>
      <w:r>
        <w:rPr>
          <w:rFonts w:ascii="Times New Roman" w:hAnsi="Times New Roman" w:cs="Times New Roman"/>
          <w:b/>
          <w:bCs/>
          <w:sz w:val="24"/>
          <w:szCs w:val="24"/>
          <w:lang w:val="es-PE"/>
        </w:rPr>
        <w:t>Juan Fry Cipriani - Vocal</w:t>
      </w:r>
    </w:p>
    <w:bookmarkEnd w:id="0"/>
    <w:p w:rsidRPr="00FB1203" w:rsidR="00463C58" w:rsidP="00FB1203" w:rsidRDefault="00463C58" w14:paraId="2FEC6C2E" w14:textId="44DAA6B7">
      <w:pPr>
        <w:spacing w:after="200" w:line="240" w:lineRule="auto"/>
        <w:jc w:val="right"/>
        <w:rPr>
          <w:rFonts w:ascii="Times New Roman" w:hAnsi="Times New Roman" w:cs="Times New Roman"/>
          <w:sz w:val="24"/>
          <w:szCs w:val="24"/>
          <w:lang w:val="es-PE"/>
        </w:rPr>
      </w:pPr>
    </w:p>
    <w:sectPr w:rsidRPr="00FB1203" w:rsidR="00463C58" w:rsidSect="002019FA">
      <w:headerReference w:type="default" r:id="rId16"/>
      <w:footerReference w:type="default" r:id="rId17"/>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E58A2" w:rsidP="00784355" w:rsidRDefault="006E58A2" w14:paraId="762B6EC4" w14:textId="77777777">
      <w:pPr>
        <w:spacing w:after="0" w:line="240" w:lineRule="auto"/>
      </w:pPr>
      <w:r>
        <w:separator/>
      </w:r>
    </w:p>
  </w:endnote>
  <w:endnote w:type="continuationSeparator" w:id="0">
    <w:p w:rsidR="006E58A2" w:rsidP="00784355" w:rsidRDefault="006E58A2" w14:paraId="2D57AF0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Georgia" w:hAnsi="Georgia"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3F2FDA" w:rsidR="00C671F5" w:rsidRDefault="00C671F5" w14:paraId="1A7D4DE2" w14:textId="13C38AB9">
            <w:pPr>
              <w:pStyle w:val="Piedepgina"/>
              <w:jc w:val="right"/>
              <w:rPr>
                <w:rFonts w:ascii="Times New Roman" w:hAnsi="Times New Roman" w:cs="Times New Roman"/>
                <w:sz w:val="18"/>
                <w:szCs w:val="18"/>
              </w:rPr>
            </w:pPr>
            <w:r w:rsidRPr="003F2FDA">
              <w:rPr>
                <w:rFonts w:ascii="Times New Roman" w:hAnsi="Times New Roman" w:cs="Times New Roman"/>
                <w:sz w:val="18"/>
                <w:szCs w:val="18"/>
                <w:lang w:val="es-ES"/>
              </w:rPr>
              <w:t xml:space="preserve">Página </w:t>
            </w:r>
            <w:r w:rsidRPr="003F2FDA">
              <w:rPr>
                <w:rFonts w:ascii="Times New Roman" w:hAnsi="Times New Roman" w:cs="Times New Roman"/>
                <w:b/>
                <w:bCs/>
                <w:sz w:val="18"/>
                <w:szCs w:val="18"/>
              </w:rPr>
              <w:fldChar w:fldCharType="begin"/>
            </w:r>
            <w:r w:rsidRPr="003F2FDA">
              <w:rPr>
                <w:rFonts w:ascii="Times New Roman" w:hAnsi="Times New Roman" w:cs="Times New Roman"/>
                <w:b/>
                <w:bCs/>
                <w:sz w:val="18"/>
                <w:szCs w:val="18"/>
              </w:rPr>
              <w:instrText>PAGE</w:instrText>
            </w:r>
            <w:r w:rsidRPr="003F2FDA">
              <w:rPr>
                <w:rFonts w:ascii="Times New Roman" w:hAnsi="Times New Roman" w:cs="Times New Roman"/>
                <w:b/>
                <w:bCs/>
                <w:sz w:val="18"/>
                <w:szCs w:val="18"/>
              </w:rPr>
              <w:fldChar w:fldCharType="separate"/>
            </w:r>
            <w:r w:rsidRPr="003F2FDA">
              <w:rPr>
                <w:rFonts w:ascii="Times New Roman" w:hAnsi="Times New Roman" w:cs="Times New Roman"/>
                <w:b/>
                <w:bCs/>
                <w:sz w:val="18"/>
                <w:szCs w:val="18"/>
                <w:lang w:val="es-ES"/>
              </w:rPr>
              <w:t>2</w:t>
            </w:r>
            <w:r w:rsidRPr="003F2FDA">
              <w:rPr>
                <w:rFonts w:ascii="Times New Roman" w:hAnsi="Times New Roman" w:cs="Times New Roman"/>
                <w:b/>
                <w:bCs/>
                <w:sz w:val="18"/>
                <w:szCs w:val="18"/>
              </w:rPr>
              <w:fldChar w:fldCharType="end"/>
            </w:r>
            <w:r w:rsidRPr="003F2FDA">
              <w:rPr>
                <w:rFonts w:ascii="Times New Roman" w:hAnsi="Times New Roman" w:cs="Times New Roman"/>
                <w:sz w:val="18"/>
                <w:szCs w:val="18"/>
                <w:lang w:val="es-ES"/>
              </w:rPr>
              <w:t xml:space="preserve"> de </w:t>
            </w:r>
            <w:r w:rsidRPr="003F2FDA">
              <w:rPr>
                <w:rFonts w:ascii="Times New Roman" w:hAnsi="Times New Roman" w:cs="Times New Roman"/>
                <w:b/>
                <w:bCs/>
                <w:sz w:val="18"/>
                <w:szCs w:val="18"/>
              </w:rPr>
              <w:fldChar w:fldCharType="begin"/>
            </w:r>
            <w:r w:rsidRPr="003F2FDA">
              <w:rPr>
                <w:rFonts w:ascii="Times New Roman" w:hAnsi="Times New Roman" w:cs="Times New Roman"/>
                <w:b/>
                <w:bCs/>
                <w:sz w:val="18"/>
                <w:szCs w:val="18"/>
              </w:rPr>
              <w:instrText>NUMPAGES</w:instrText>
            </w:r>
            <w:r w:rsidRPr="003F2FDA">
              <w:rPr>
                <w:rFonts w:ascii="Times New Roman" w:hAnsi="Times New Roman" w:cs="Times New Roman"/>
                <w:b/>
                <w:bCs/>
                <w:sz w:val="18"/>
                <w:szCs w:val="18"/>
              </w:rPr>
              <w:fldChar w:fldCharType="separate"/>
            </w:r>
            <w:r w:rsidRPr="003F2FDA">
              <w:rPr>
                <w:rFonts w:ascii="Times New Roman" w:hAnsi="Times New Roman" w:cs="Times New Roman"/>
                <w:b/>
                <w:bCs/>
                <w:sz w:val="18"/>
                <w:szCs w:val="18"/>
                <w:lang w:val="es-ES"/>
              </w:rPr>
              <w:t>2</w:t>
            </w:r>
            <w:r w:rsidRPr="003F2FDA">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E58A2" w:rsidP="00784355" w:rsidRDefault="006E58A2" w14:paraId="7678D1D3" w14:textId="77777777">
      <w:pPr>
        <w:spacing w:after="0" w:line="240" w:lineRule="auto"/>
      </w:pPr>
      <w:r>
        <w:separator/>
      </w:r>
    </w:p>
  </w:footnote>
  <w:footnote w:type="continuationSeparator" w:id="0">
    <w:p w:rsidR="006E58A2" w:rsidP="00784355" w:rsidRDefault="006E58A2" w14:paraId="3E03594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C24C9"/>
    <w:multiLevelType w:val="hybridMultilevel"/>
    <w:tmpl w:val="8F06D13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77BA789"/>
    <w:multiLevelType w:val="hybridMultilevel"/>
    <w:tmpl w:val="FDBF987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3672FED"/>
    <w:multiLevelType w:val="hybridMultilevel"/>
    <w:tmpl w:val="8276CB9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6BE86A5"/>
    <w:multiLevelType w:val="hybridMultilevel"/>
    <w:tmpl w:val="03BB28F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4E72A07E"/>
    <w:multiLevelType w:val="hybridMultilevel"/>
    <w:tmpl w:val="232BD34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7FF3318F"/>
    <w:multiLevelType w:val="hybridMultilevel"/>
    <w:tmpl w:val="FFD9B53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369795671">
    <w:abstractNumId w:val="2"/>
  </w:num>
  <w:num w:numId="2" w16cid:durableId="458574893">
    <w:abstractNumId w:val="0"/>
  </w:num>
  <w:num w:numId="3" w16cid:durableId="839396335">
    <w:abstractNumId w:val="4"/>
  </w:num>
  <w:num w:numId="4" w16cid:durableId="1789397987">
    <w:abstractNumId w:val="1"/>
  </w:num>
  <w:num w:numId="5" w16cid:durableId="651982686">
    <w:abstractNumId w:val="5"/>
  </w:num>
  <w:num w:numId="6" w16cid:durableId="1302074904">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424C"/>
    <w:rsid w:val="0000543A"/>
    <w:rsid w:val="00005B96"/>
    <w:rsid w:val="0000745F"/>
    <w:rsid w:val="00007C03"/>
    <w:rsid w:val="00010987"/>
    <w:rsid w:val="00012018"/>
    <w:rsid w:val="00013057"/>
    <w:rsid w:val="00014849"/>
    <w:rsid w:val="00014DD0"/>
    <w:rsid w:val="000159CC"/>
    <w:rsid w:val="00015C22"/>
    <w:rsid w:val="000167E0"/>
    <w:rsid w:val="00017572"/>
    <w:rsid w:val="00017576"/>
    <w:rsid w:val="00021152"/>
    <w:rsid w:val="0002171D"/>
    <w:rsid w:val="00021900"/>
    <w:rsid w:val="0002191C"/>
    <w:rsid w:val="000224A8"/>
    <w:rsid w:val="000235E9"/>
    <w:rsid w:val="000249A6"/>
    <w:rsid w:val="0002637D"/>
    <w:rsid w:val="00026FE0"/>
    <w:rsid w:val="0002733C"/>
    <w:rsid w:val="00027978"/>
    <w:rsid w:val="00032687"/>
    <w:rsid w:val="000327D9"/>
    <w:rsid w:val="0003359A"/>
    <w:rsid w:val="00035A04"/>
    <w:rsid w:val="0004480C"/>
    <w:rsid w:val="00045F7A"/>
    <w:rsid w:val="00046990"/>
    <w:rsid w:val="00046A82"/>
    <w:rsid w:val="00047C8B"/>
    <w:rsid w:val="000512AD"/>
    <w:rsid w:val="00051CAA"/>
    <w:rsid w:val="00053453"/>
    <w:rsid w:val="00053740"/>
    <w:rsid w:val="00053D16"/>
    <w:rsid w:val="000542F7"/>
    <w:rsid w:val="000551A9"/>
    <w:rsid w:val="000562FF"/>
    <w:rsid w:val="00056D9F"/>
    <w:rsid w:val="000608D2"/>
    <w:rsid w:val="00061282"/>
    <w:rsid w:val="0006153B"/>
    <w:rsid w:val="000619A2"/>
    <w:rsid w:val="00063183"/>
    <w:rsid w:val="0006548C"/>
    <w:rsid w:val="00070DB6"/>
    <w:rsid w:val="00071751"/>
    <w:rsid w:val="00071A25"/>
    <w:rsid w:val="00072FDB"/>
    <w:rsid w:val="000733C0"/>
    <w:rsid w:val="00073EC5"/>
    <w:rsid w:val="00074516"/>
    <w:rsid w:val="00076E73"/>
    <w:rsid w:val="00077B6F"/>
    <w:rsid w:val="000801BA"/>
    <w:rsid w:val="00080A9A"/>
    <w:rsid w:val="0008117D"/>
    <w:rsid w:val="00081AD2"/>
    <w:rsid w:val="000835CB"/>
    <w:rsid w:val="000835D9"/>
    <w:rsid w:val="00083D69"/>
    <w:rsid w:val="00083F50"/>
    <w:rsid w:val="00084148"/>
    <w:rsid w:val="00086FFB"/>
    <w:rsid w:val="0009077B"/>
    <w:rsid w:val="00091C09"/>
    <w:rsid w:val="00092684"/>
    <w:rsid w:val="00092B7B"/>
    <w:rsid w:val="00096CCA"/>
    <w:rsid w:val="000A1DAF"/>
    <w:rsid w:val="000A20F1"/>
    <w:rsid w:val="000A55BA"/>
    <w:rsid w:val="000A5666"/>
    <w:rsid w:val="000A59A0"/>
    <w:rsid w:val="000A5CAA"/>
    <w:rsid w:val="000A71BC"/>
    <w:rsid w:val="000B19A0"/>
    <w:rsid w:val="000B1C18"/>
    <w:rsid w:val="000B309A"/>
    <w:rsid w:val="000B58D8"/>
    <w:rsid w:val="000C0734"/>
    <w:rsid w:val="000C1AAB"/>
    <w:rsid w:val="000C3A8B"/>
    <w:rsid w:val="000C51EB"/>
    <w:rsid w:val="000D288A"/>
    <w:rsid w:val="000D575A"/>
    <w:rsid w:val="000D5F00"/>
    <w:rsid w:val="000D6801"/>
    <w:rsid w:val="000D7B6B"/>
    <w:rsid w:val="000E1C0D"/>
    <w:rsid w:val="000E22CC"/>
    <w:rsid w:val="000E693C"/>
    <w:rsid w:val="000E6ACA"/>
    <w:rsid w:val="000E6C90"/>
    <w:rsid w:val="000F17DA"/>
    <w:rsid w:val="000F1F1F"/>
    <w:rsid w:val="000F4458"/>
    <w:rsid w:val="000F4AD7"/>
    <w:rsid w:val="000F56CC"/>
    <w:rsid w:val="000F5734"/>
    <w:rsid w:val="000F6340"/>
    <w:rsid w:val="000F7512"/>
    <w:rsid w:val="00106CE3"/>
    <w:rsid w:val="00110157"/>
    <w:rsid w:val="00110818"/>
    <w:rsid w:val="00111342"/>
    <w:rsid w:val="00112965"/>
    <w:rsid w:val="00112C8D"/>
    <w:rsid w:val="0011308C"/>
    <w:rsid w:val="0011380D"/>
    <w:rsid w:val="00113B5B"/>
    <w:rsid w:val="00113FB6"/>
    <w:rsid w:val="00114245"/>
    <w:rsid w:val="00116B6A"/>
    <w:rsid w:val="00117028"/>
    <w:rsid w:val="0012166D"/>
    <w:rsid w:val="001223F9"/>
    <w:rsid w:val="001225E6"/>
    <w:rsid w:val="00123707"/>
    <w:rsid w:val="00123F48"/>
    <w:rsid w:val="001242FF"/>
    <w:rsid w:val="00125B9B"/>
    <w:rsid w:val="0013051A"/>
    <w:rsid w:val="00130559"/>
    <w:rsid w:val="001320DF"/>
    <w:rsid w:val="001347DF"/>
    <w:rsid w:val="00136E12"/>
    <w:rsid w:val="001373AF"/>
    <w:rsid w:val="001377EF"/>
    <w:rsid w:val="00140CF5"/>
    <w:rsid w:val="0014650D"/>
    <w:rsid w:val="00150874"/>
    <w:rsid w:val="001508BC"/>
    <w:rsid w:val="001511C5"/>
    <w:rsid w:val="001529FE"/>
    <w:rsid w:val="00155194"/>
    <w:rsid w:val="00157979"/>
    <w:rsid w:val="00157B6C"/>
    <w:rsid w:val="00160361"/>
    <w:rsid w:val="001608A4"/>
    <w:rsid w:val="00160C83"/>
    <w:rsid w:val="0016103A"/>
    <w:rsid w:val="00162D71"/>
    <w:rsid w:val="00163597"/>
    <w:rsid w:val="0016591E"/>
    <w:rsid w:val="00167937"/>
    <w:rsid w:val="001703D8"/>
    <w:rsid w:val="00170E39"/>
    <w:rsid w:val="00171DF3"/>
    <w:rsid w:val="00174918"/>
    <w:rsid w:val="001749D2"/>
    <w:rsid w:val="00174DA5"/>
    <w:rsid w:val="00177B3D"/>
    <w:rsid w:val="00177C56"/>
    <w:rsid w:val="001816B5"/>
    <w:rsid w:val="00181908"/>
    <w:rsid w:val="00181DCE"/>
    <w:rsid w:val="001833F2"/>
    <w:rsid w:val="001864B9"/>
    <w:rsid w:val="001866CB"/>
    <w:rsid w:val="00187BFD"/>
    <w:rsid w:val="001906C6"/>
    <w:rsid w:val="00192446"/>
    <w:rsid w:val="001936C8"/>
    <w:rsid w:val="001A008A"/>
    <w:rsid w:val="001A22D5"/>
    <w:rsid w:val="001A2ADB"/>
    <w:rsid w:val="001A3395"/>
    <w:rsid w:val="001A44E1"/>
    <w:rsid w:val="001A555F"/>
    <w:rsid w:val="001A6EBB"/>
    <w:rsid w:val="001B1E59"/>
    <w:rsid w:val="001B3EE9"/>
    <w:rsid w:val="001B58A3"/>
    <w:rsid w:val="001B719C"/>
    <w:rsid w:val="001C052B"/>
    <w:rsid w:val="001C2D87"/>
    <w:rsid w:val="001C3A70"/>
    <w:rsid w:val="001C4A58"/>
    <w:rsid w:val="001D0EED"/>
    <w:rsid w:val="001D1D31"/>
    <w:rsid w:val="001D3F04"/>
    <w:rsid w:val="001D453E"/>
    <w:rsid w:val="001D59D9"/>
    <w:rsid w:val="001D6136"/>
    <w:rsid w:val="001D6F7E"/>
    <w:rsid w:val="001E0CA5"/>
    <w:rsid w:val="001E119C"/>
    <w:rsid w:val="001E4AE8"/>
    <w:rsid w:val="001E53E2"/>
    <w:rsid w:val="001E5BED"/>
    <w:rsid w:val="001F0BD0"/>
    <w:rsid w:val="001F1398"/>
    <w:rsid w:val="001F1E0A"/>
    <w:rsid w:val="001F2D42"/>
    <w:rsid w:val="001F522B"/>
    <w:rsid w:val="001F5DC4"/>
    <w:rsid w:val="00200F67"/>
    <w:rsid w:val="002019FA"/>
    <w:rsid w:val="00201C0D"/>
    <w:rsid w:val="00201F9A"/>
    <w:rsid w:val="00203656"/>
    <w:rsid w:val="00203B2A"/>
    <w:rsid w:val="00204407"/>
    <w:rsid w:val="00204B66"/>
    <w:rsid w:val="00205AC5"/>
    <w:rsid w:val="00206718"/>
    <w:rsid w:val="0020749F"/>
    <w:rsid w:val="002074F1"/>
    <w:rsid w:val="002108AD"/>
    <w:rsid w:val="00211977"/>
    <w:rsid w:val="002130B0"/>
    <w:rsid w:val="0021406E"/>
    <w:rsid w:val="002143FE"/>
    <w:rsid w:val="0021627D"/>
    <w:rsid w:val="00224396"/>
    <w:rsid w:val="00225288"/>
    <w:rsid w:val="00227644"/>
    <w:rsid w:val="00227D02"/>
    <w:rsid w:val="00231C58"/>
    <w:rsid w:val="002331C3"/>
    <w:rsid w:val="00234777"/>
    <w:rsid w:val="00234A33"/>
    <w:rsid w:val="00237FAF"/>
    <w:rsid w:val="00241719"/>
    <w:rsid w:val="00242425"/>
    <w:rsid w:val="00243F6B"/>
    <w:rsid w:val="00245C75"/>
    <w:rsid w:val="00251E17"/>
    <w:rsid w:val="002528B8"/>
    <w:rsid w:val="00254641"/>
    <w:rsid w:val="00256E4E"/>
    <w:rsid w:val="00260ADE"/>
    <w:rsid w:val="00260B6D"/>
    <w:rsid w:val="0026148B"/>
    <w:rsid w:val="0026162A"/>
    <w:rsid w:val="00261A97"/>
    <w:rsid w:val="00261D97"/>
    <w:rsid w:val="00263F44"/>
    <w:rsid w:val="00265BA9"/>
    <w:rsid w:val="002724C6"/>
    <w:rsid w:val="0027261F"/>
    <w:rsid w:val="00272F4F"/>
    <w:rsid w:val="0027301E"/>
    <w:rsid w:val="00273738"/>
    <w:rsid w:val="00274985"/>
    <w:rsid w:val="00275468"/>
    <w:rsid w:val="00275FA3"/>
    <w:rsid w:val="002768C6"/>
    <w:rsid w:val="00276A92"/>
    <w:rsid w:val="00277667"/>
    <w:rsid w:val="00282133"/>
    <w:rsid w:val="002830BC"/>
    <w:rsid w:val="00283E79"/>
    <w:rsid w:val="00285D75"/>
    <w:rsid w:val="002866F5"/>
    <w:rsid w:val="00286C15"/>
    <w:rsid w:val="00290B6A"/>
    <w:rsid w:val="00290CA4"/>
    <w:rsid w:val="0029265F"/>
    <w:rsid w:val="00292B9D"/>
    <w:rsid w:val="00293554"/>
    <w:rsid w:val="00294D98"/>
    <w:rsid w:val="00295828"/>
    <w:rsid w:val="00297CEF"/>
    <w:rsid w:val="002A31D3"/>
    <w:rsid w:val="002A3AE3"/>
    <w:rsid w:val="002A3D36"/>
    <w:rsid w:val="002A7E2E"/>
    <w:rsid w:val="002B726E"/>
    <w:rsid w:val="002B7735"/>
    <w:rsid w:val="002C2A0F"/>
    <w:rsid w:val="002C3FA7"/>
    <w:rsid w:val="002D0DB0"/>
    <w:rsid w:val="002D3B01"/>
    <w:rsid w:val="002D4977"/>
    <w:rsid w:val="002E0275"/>
    <w:rsid w:val="002E1221"/>
    <w:rsid w:val="002E17F9"/>
    <w:rsid w:val="002E287E"/>
    <w:rsid w:val="002F09CA"/>
    <w:rsid w:val="002F35F0"/>
    <w:rsid w:val="002F478E"/>
    <w:rsid w:val="002F6B0E"/>
    <w:rsid w:val="00301E1B"/>
    <w:rsid w:val="00303740"/>
    <w:rsid w:val="003045E3"/>
    <w:rsid w:val="00306003"/>
    <w:rsid w:val="00306775"/>
    <w:rsid w:val="00307257"/>
    <w:rsid w:val="00310C00"/>
    <w:rsid w:val="003131DE"/>
    <w:rsid w:val="00314603"/>
    <w:rsid w:val="00317805"/>
    <w:rsid w:val="0032132E"/>
    <w:rsid w:val="00321BA0"/>
    <w:rsid w:val="00321EC9"/>
    <w:rsid w:val="00322AA1"/>
    <w:rsid w:val="003255F1"/>
    <w:rsid w:val="00326284"/>
    <w:rsid w:val="00330001"/>
    <w:rsid w:val="003314D9"/>
    <w:rsid w:val="003401EB"/>
    <w:rsid w:val="00340E4B"/>
    <w:rsid w:val="00341784"/>
    <w:rsid w:val="00345DF0"/>
    <w:rsid w:val="00345F7F"/>
    <w:rsid w:val="00347D7E"/>
    <w:rsid w:val="00351093"/>
    <w:rsid w:val="00352318"/>
    <w:rsid w:val="003526ED"/>
    <w:rsid w:val="00353092"/>
    <w:rsid w:val="003544B1"/>
    <w:rsid w:val="00356F61"/>
    <w:rsid w:val="00357D70"/>
    <w:rsid w:val="00360239"/>
    <w:rsid w:val="00361278"/>
    <w:rsid w:val="00361F6A"/>
    <w:rsid w:val="00362449"/>
    <w:rsid w:val="00363C5F"/>
    <w:rsid w:val="00364E0F"/>
    <w:rsid w:val="003653B3"/>
    <w:rsid w:val="00366842"/>
    <w:rsid w:val="00367746"/>
    <w:rsid w:val="00367B2C"/>
    <w:rsid w:val="00372864"/>
    <w:rsid w:val="00372C56"/>
    <w:rsid w:val="00373836"/>
    <w:rsid w:val="00374E5F"/>
    <w:rsid w:val="003812D2"/>
    <w:rsid w:val="00381303"/>
    <w:rsid w:val="0038290F"/>
    <w:rsid w:val="00385C6A"/>
    <w:rsid w:val="00391F72"/>
    <w:rsid w:val="00392259"/>
    <w:rsid w:val="00397CA0"/>
    <w:rsid w:val="003A0559"/>
    <w:rsid w:val="003A12F3"/>
    <w:rsid w:val="003A235F"/>
    <w:rsid w:val="003A3F8C"/>
    <w:rsid w:val="003A5D8F"/>
    <w:rsid w:val="003A62BE"/>
    <w:rsid w:val="003A65FB"/>
    <w:rsid w:val="003B22F3"/>
    <w:rsid w:val="003B32A5"/>
    <w:rsid w:val="003B348C"/>
    <w:rsid w:val="003B3548"/>
    <w:rsid w:val="003B3A93"/>
    <w:rsid w:val="003B41F7"/>
    <w:rsid w:val="003B5044"/>
    <w:rsid w:val="003B798E"/>
    <w:rsid w:val="003C1581"/>
    <w:rsid w:val="003C3BE2"/>
    <w:rsid w:val="003C4406"/>
    <w:rsid w:val="003D0465"/>
    <w:rsid w:val="003D09A9"/>
    <w:rsid w:val="003D4684"/>
    <w:rsid w:val="003D4687"/>
    <w:rsid w:val="003D59BE"/>
    <w:rsid w:val="003D5A42"/>
    <w:rsid w:val="003D690E"/>
    <w:rsid w:val="003D6AEF"/>
    <w:rsid w:val="003D7F34"/>
    <w:rsid w:val="003E0091"/>
    <w:rsid w:val="003E0CC2"/>
    <w:rsid w:val="003E450C"/>
    <w:rsid w:val="003E795C"/>
    <w:rsid w:val="003F0C97"/>
    <w:rsid w:val="003F1149"/>
    <w:rsid w:val="003F1B5F"/>
    <w:rsid w:val="003F20C7"/>
    <w:rsid w:val="003F2DC2"/>
    <w:rsid w:val="003F2FDA"/>
    <w:rsid w:val="003F4840"/>
    <w:rsid w:val="003F68AF"/>
    <w:rsid w:val="00401E6A"/>
    <w:rsid w:val="004021BE"/>
    <w:rsid w:val="00403814"/>
    <w:rsid w:val="00403FF3"/>
    <w:rsid w:val="004049B9"/>
    <w:rsid w:val="00411866"/>
    <w:rsid w:val="0041393D"/>
    <w:rsid w:val="00413F75"/>
    <w:rsid w:val="00414109"/>
    <w:rsid w:val="00414A7B"/>
    <w:rsid w:val="00417CFB"/>
    <w:rsid w:val="00417E23"/>
    <w:rsid w:val="0042043F"/>
    <w:rsid w:val="0042236E"/>
    <w:rsid w:val="00422F0F"/>
    <w:rsid w:val="00425763"/>
    <w:rsid w:val="00425ACB"/>
    <w:rsid w:val="00425F75"/>
    <w:rsid w:val="00426C11"/>
    <w:rsid w:val="004310D6"/>
    <w:rsid w:val="004324AB"/>
    <w:rsid w:val="00435833"/>
    <w:rsid w:val="00435849"/>
    <w:rsid w:val="00440AE0"/>
    <w:rsid w:val="00440BC2"/>
    <w:rsid w:val="00442046"/>
    <w:rsid w:val="00443875"/>
    <w:rsid w:val="00444232"/>
    <w:rsid w:val="00444DE9"/>
    <w:rsid w:val="00445E65"/>
    <w:rsid w:val="00446E8A"/>
    <w:rsid w:val="004513F2"/>
    <w:rsid w:val="00460C30"/>
    <w:rsid w:val="00463C58"/>
    <w:rsid w:val="00465FB9"/>
    <w:rsid w:val="00466302"/>
    <w:rsid w:val="0046647B"/>
    <w:rsid w:val="004713C2"/>
    <w:rsid w:val="0047370C"/>
    <w:rsid w:val="0047522D"/>
    <w:rsid w:val="00475F6D"/>
    <w:rsid w:val="004766D1"/>
    <w:rsid w:val="00476BA1"/>
    <w:rsid w:val="00477488"/>
    <w:rsid w:val="00486637"/>
    <w:rsid w:val="004931C9"/>
    <w:rsid w:val="00493E05"/>
    <w:rsid w:val="00496A1A"/>
    <w:rsid w:val="004A3E25"/>
    <w:rsid w:val="004A537B"/>
    <w:rsid w:val="004A718F"/>
    <w:rsid w:val="004B155C"/>
    <w:rsid w:val="004B1A8C"/>
    <w:rsid w:val="004B27E2"/>
    <w:rsid w:val="004B2E59"/>
    <w:rsid w:val="004B38A9"/>
    <w:rsid w:val="004B51ED"/>
    <w:rsid w:val="004B6D9D"/>
    <w:rsid w:val="004B7D4E"/>
    <w:rsid w:val="004B7DCE"/>
    <w:rsid w:val="004C1C34"/>
    <w:rsid w:val="004C34ED"/>
    <w:rsid w:val="004C3692"/>
    <w:rsid w:val="004C51EC"/>
    <w:rsid w:val="004C581B"/>
    <w:rsid w:val="004C5A91"/>
    <w:rsid w:val="004D0DDB"/>
    <w:rsid w:val="004D16C5"/>
    <w:rsid w:val="004D2D90"/>
    <w:rsid w:val="004D304C"/>
    <w:rsid w:val="004D3215"/>
    <w:rsid w:val="004E1BF5"/>
    <w:rsid w:val="004E3092"/>
    <w:rsid w:val="004E4AF3"/>
    <w:rsid w:val="004E53CD"/>
    <w:rsid w:val="004E65DD"/>
    <w:rsid w:val="004E6DC1"/>
    <w:rsid w:val="004E75E2"/>
    <w:rsid w:val="004E778F"/>
    <w:rsid w:val="004F549E"/>
    <w:rsid w:val="00500366"/>
    <w:rsid w:val="0050111D"/>
    <w:rsid w:val="00502B8C"/>
    <w:rsid w:val="00504C79"/>
    <w:rsid w:val="00516293"/>
    <w:rsid w:val="0051692C"/>
    <w:rsid w:val="005175FE"/>
    <w:rsid w:val="005201E9"/>
    <w:rsid w:val="00520290"/>
    <w:rsid w:val="00521B4C"/>
    <w:rsid w:val="0052295A"/>
    <w:rsid w:val="00522A24"/>
    <w:rsid w:val="00522E2A"/>
    <w:rsid w:val="00523C66"/>
    <w:rsid w:val="005256D3"/>
    <w:rsid w:val="005259E7"/>
    <w:rsid w:val="005265A5"/>
    <w:rsid w:val="0052731B"/>
    <w:rsid w:val="00527760"/>
    <w:rsid w:val="00527B27"/>
    <w:rsid w:val="005316B2"/>
    <w:rsid w:val="00531BEE"/>
    <w:rsid w:val="005323A2"/>
    <w:rsid w:val="0053470F"/>
    <w:rsid w:val="00535473"/>
    <w:rsid w:val="00535605"/>
    <w:rsid w:val="005358B7"/>
    <w:rsid w:val="00537DBF"/>
    <w:rsid w:val="00540F01"/>
    <w:rsid w:val="0054148B"/>
    <w:rsid w:val="00541534"/>
    <w:rsid w:val="00544379"/>
    <w:rsid w:val="00544BFC"/>
    <w:rsid w:val="0054542A"/>
    <w:rsid w:val="005466DB"/>
    <w:rsid w:val="00547EE5"/>
    <w:rsid w:val="00547F11"/>
    <w:rsid w:val="00550366"/>
    <w:rsid w:val="00550DCE"/>
    <w:rsid w:val="00556526"/>
    <w:rsid w:val="005570A7"/>
    <w:rsid w:val="00561130"/>
    <w:rsid w:val="0056773D"/>
    <w:rsid w:val="00567DEC"/>
    <w:rsid w:val="0057035B"/>
    <w:rsid w:val="00572B96"/>
    <w:rsid w:val="0057428A"/>
    <w:rsid w:val="00575885"/>
    <w:rsid w:val="005818E3"/>
    <w:rsid w:val="00582507"/>
    <w:rsid w:val="00582D26"/>
    <w:rsid w:val="0058358B"/>
    <w:rsid w:val="00583A87"/>
    <w:rsid w:val="00585D65"/>
    <w:rsid w:val="00587454"/>
    <w:rsid w:val="005948EF"/>
    <w:rsid w:val="00597430"/>
    <w:rsid w:val="005A03DD"/>
    <w:rsid w:val="005A0B70"/>
    <w:rsid w:val="005A40A4"/>
    <w:rsid w:val="005A5161"/>
    <w:rsid w:val="005A5A37"/>
    <w:rsid w:val="005A704E"/>
    <w:rsid w:val="005A782D"/>
    <w:rsid w:val="005A792C"/>
    <w:rsid w:val="005B2924"/>
    <w:rsid w:val="005C165D"/>
    <w:rsid w:val="005C524E"/>
    <w:rsid w:val="005C5AB9"/>
    <w:rsid w:val="005C6A03"/>
    <w:rsid w:val="005C6AB8"/>
    <w:rsid w:val="005C78CA"/>
    <w:rsid w:val="005D35C6"/>
    <w:rsid w:val="005D3E68"/>
    <w:rsid w:val="005D44FA"/>
    <w:rsid w:val="005D52E5"/>
    <w:rsid w:val="005D5E08"/>
    <w:rsid w:val="005D5F88"/>
    <w:rsid w:val="005D6057"/>
    <w:rsid w:val="005D778C"/>
    <w:rsid w:val="005E0C8B"/>
    <w:rsid w:val="005E0EC2"/>
    <w:rsid w:val="005E17C2"/>
    <w:rsid w:val="005E2CBE"/>
    <w:rsid w:val="005E4870"/>
    <w:rsid w:val="005F2582"/>
    <w:rsid w:val="005F265B"/>
    <w:rsid w:val="005F4C97"/>
    <w:rsid w:val="005F5311"/>
    <w:rsid w:val="005F5462"/>
    <w:rsid w:val="005F7A83"/>
    <w:rsid w:val="00601339"/>
    <w:rsid w:val="006014DA"/>
    <w:rsid w:val="00601861"/>
    <w:rsid w:val="0060197F"/>
    <w:rsid w:val="00601E6B"/>
    <w:rsid w:val="00605902"/>
    <w:rsid w:val="00606105"/>
    <w:rsid w:val="00611905"/>
    <w:rsid w:val="00613283"/>
    <w:rsid w:val="00613A39"/>
    <w:rsid w:val="006157B3"/>
    <w:rsid w:val="0062163B"/>
    <w:rsid w:val="00622A61"/>
    <w:rsid w:val="00622ABC"/>
    <w:rsid w:val="00623204"/>
    <w:rsid w:val="00624034"/>
    <w:rsid w:val="00626C63"/>
    <w:rsid w:val="00627C05"/>
    <w:rsid w:val="00633811"/>
    <w:rsid w:val="00637269"/>
    <w:rsid w:val="006442E0"/>
    <w:rsid w:val="006444A9"/>
    <w:rsid w:val="00644D2B"/>
    <w:rsid w:val="00645D26"/>
    <w:rsid w:val="00645D40"/>
    <w:rsid w:val="0064607A"/>
    <w:rsid w:val="00647AEA"/>
    <w:rsid w:val="00652672"/>
    <w:rsid w:val="00654FC9"/>
    <w:rsid w:val="00655099"/>
    <w:rsid w:val="0065542B"/>
    <w:rsid w:val="00655625"/>
    <w:rsid w:val="0065594D"/>
    <w:rsid w:val="00655A90"/>
    <w:rsid w:val="00655BA3"/>
    <w:rsid w:val="00656FE2"/>
    <w:rsid w:val="00657AD2"/>
    <w:rsid w:val="00660D6F"/>
    <w:rsid w:val="006615F0"/>
    <w:rsid w:val="006645DB"/>
    <w:rsid w:val="00664F22"/>
    <w:rsid w:val="00665D77"/>
    <w:rsid w:val="006665E9"/>
    <w:rsid w:val="00666E9D"/>
    <w:rsid w:val="00667A13"/>
    <w:rsid w:val="00671B55"/>
    <w:rsid w:val="00671D19"/>
    <w:rsid w:val="00671DB5"/>
    <w:rsid w:val="00673692"/>
    <w:rsid w:val="00674DE5"/>
    <w:rsid w:val="00676641"/>
    <w:rsid w:val="00677329"/>
    <w:rsid w:val="0068098A"/>
    <w:rsid w:val="00680D8A"/>
    <w:rsid w:val="00681D39"/>
    <w:rsid w:val="00682454"/>
    <w:rsid w:val="006832CF"/>
    <w:rsid w:val="006850AD"/>
    <w:rsid w:val="00686BB2"/>
    <w:rsid w:val="006878E1"/>
    <w:rsid w:val="00687FD0"/>
    <w:rsid w:val="0069304A"/>
    <w:rsid w:val="006946FF"/>
    <w:rsid w:val="0069590B"/>
    <w:rsid w:val="00695BD5"/>
    <w:rsid w:val="006969AA"/>
    <w:rsid w:val="00697837"/>
    <w:rsid w:val="00697D6C"/>
    <w:rsid w:val="006A048D"/>
    <w:rsid w:val="006A2ADE"/>
    <w:rsid w:val="006B3463"/>
    <w:rsid w:val="006B5CAE"/>
    <w:rsid w:val="006B6EA6"/>
    <w:rsid w:val="006C0343"/>
    <w:rsid w:val="006C0A13"/>
    <w:rsid w:val="006C1704"/>
    <w:rsid w:val="006C1A65"/>
    <w:rsid w:val="006C29A7"/>
    <w:rsid w:val="006C6261"/>
    <w:rsid w:val="006C6430"/>
    <w:rsid w:val="006C707E"/>
    <w:rsid w:val="006D2783"/>
    <w:rsid w:val="006D2BA9"/>
    <w:rsid w:val="006D397E"/>
    <w:rsid w:val="006D587B"/>
    <w:rsid w:val="006E2366"/>
    <w:rsid w:val="006E4547"/>
    <w:rsid w:val="006E492B"/>
    <w:rsid w:val="006E58A2"/>
    <w:rsid w:val="006E59D3"/>
    <w:rsid w:val="006E5BE6"/>
    <w:rsid w:val="006E6E70"/>
    <w:rsid w:val="006F0271"/>
    <w:rsid w:val="006F1D13"/>
    <w:rsid w:val="006F20BB"/>
    <w:rsid w:val="006F29C1"/>
    <w:rsid w:val="006F36EF"/>
    <w:rsid w:val="006F47A8"/>
    <w:rsid w:val="006F4986"/>
    <w:rsid w:val="006F6CBD"/>
    <w:rsid w:val="0070030F"/>
    <w:rsid w:val="007003E3"/>
    <w:rsid w:val="00701598"/>
    <w:rsid w:val="00701639"/>
    <w:rsid w:val="00701893"/>
    <w:rsid w:val="007026C7"/>
    <w:rsid w:val="00703430"/>
    <w:rsid w:val="00703AED"/>
    <w:rsid w:val="00704A95"/>
    <w:rsid w:val="00706392"/>
    <w:rsid w:val="00706EB2"/>
    <w:rsid w:val="00707C71"/>
    <w:rsid w:val="00707C99"/>
    <w:rsid w:val="0071145A"/>
    <w:rsid w:val="00717232"/>
    <w:rsid w:val="00717FB0"/>
    <w:rsid w:val="0072050F"/>
    <w:rsid w:val="00720DBC"/>
    <w:rsid w:val="00721FD1"/>
    <w:rsid w:val="0072240A"/>
    <w:rsid w:val="00722897"/>
    <w:rsid w:val="007244A9"/>
    <w:rsid w:val="00724502"/>
    <w:rsid w:val="007261FD"/>
    <w:rsid w:val="00726378"/>
    <w:rsid w:val="00726F96"/>
    <w:rsid w:val="0072710D"/>
    <w:rsid w:val="00727198"/>
    <w:rsid w:val="00727DAA"/>
    <w:rsid w:val="007300C4"/>
    <w:rsid w:val="00731F28"/>
    <w:rsid w:val="0073378D"/>
    <w:rsid w:val="00737844"/>
    <w:rsid w:val="007415AA"/>
    <w:rsid w:val="007415C6"/>
    <w:rsid w:val="00744447"/>
    <w:rsid w:val="00746439"/>
    <w:rsid w:val="00752BBE"/>
    <w:rsid w:val="00757735"/>
    <w:rsid w:val="0075784F"/>
    <w:rsid w:val="007600A3"/>
    <w:rsid w:val="0076127D"/>
    <w:rsid w:val="00761F1D"/>
    <w:rsid w:val="007643E7"/>
    <w:rsid w:val="0076448B"/>
    <w:rsid w:val="00764EF8"/>
    <w:rsid w:val="007658EF"/>
    <w:rsid w:val="007703E9"/>
    <w:rsid w:val="007708AB"/>
    <w:rsid w:val="00770C39"/>
    <w:rsid w:val="00771625"/>
    <w:rsid w:val="00772376"/>
    <w:rsid w:val="00773577"/>
    <w:rsid w:val="0077663D"/>
    <w:rsid w:val="00781235"/>
    <w:rsid w:val="007823C3"/>
    <w:rsid w:val="00782BDD"/>
    <w:rsid w:val="00783848"/>
    <w:rsid w:val="00784355"/>
    <w:rsid w:val="00786117"/>
    <w:rsid w:val="007866BF"/>
    <w:rsid w:val="00786EAE"/>
    <w:rsid w:val="00787327"/>
    <w:rsid w:val="007906AF"/>
    <w:rsid w:val="00794424"/>
    <w:rsid w:val="00794C89"/>
    <w:rsid w:val="007950DD"/>
    <w:rsid w:val="007965C0"/>
    <w:rsid w:val="007965E2"/>
    <w:rsid w:val="00797191"/>
    <w:rsid w:val="007A09BB"/>
    <w:rsid w:val="007A1D74"/>
    <w:rsid w:val="007A4108"/>
    <w:rsid w:val="007A4EA9"/>
    <w:rsid w:val="007A7F95"/>
    <w:rsid w:val="007B1018"/>
    <w:rsid w:val="007B2721"/>
    <w:rsid w:val="007B3958"/>
    <w:rsid w:val="007B7E35"/>
    <w:rsid w:val="007C14D0"/>
    <w:rsid w:val="007C1EA1"/>
    <w:rsid w:val="007C213D"/>
    <w:rsid w:val="007C30CA"/>
    <w:rsid w:val="007C3FF2"/>
    <w:rsid w:val="007C4E10"/>
    <w:rsid w:val="007C69FE"/>
    <w:rsid w:val="007D13E3"/>
    <w:rsid w:val="007D13F3"/>
    <w:rsid w:val="007D2A4B"/>
    <w:rsid w:val="007D39D3"/>
    <w:rsid w:val="007D51F9"/>
    <w:rsid w:val="007D5BB1"/>
    <w:rsid w:val="007D7213"/>
    <w:rsid w:val="007E3CFF"/>
    <w:rsid w:val="007E4823"/>
    <w:rsid w:val="007E527D"/>
    <w:rsid w:val="007E5917"/>
    <w:rsid w:val="007E5F35"/>
    <w:rsid w:val="007F2EC7"/>
    <w:rsid w:val="007F34C2"/>
    <w:rsid w:val="007F38DF"/>
    <w:rsid w:val="007F3D5C"/>
    <w:rsid w:val="007F5491"/>
    <w:rsid w:val="007F62EC"/>
    <w:rsid w:val="007F74F1"/>
    <w:rsid w:val="007F7AC3"/>
    <w:rsid w:val="008010D0"/>
    <w:rsid w:val="008020A1"/>
    <w:rsid w:val="00802949"/>
    <w:rsid w:val="00803E04"/>
    <w:rsid w:val="008079EC"/>
    <w:rsid w:val="008144A8"/>
    <w:rsid w:val="008152BA"/>
    <w:rsid w:val="00816084"/>
    <w:rsid w:val="00816B3F"/>
    <w:rsid w:val="0081734B"/>
    <w:rsid w:val="0081754D"/>
    <w:rsid w:val="008177B9"/>
    <w:rsid w:val="00817F65"/>
    <w:rsid w:val="00821801"/>
    <w:rsid w:val="00823FCC"/>
    <w:rsid w:val="0082527A"/>
    <w:rsid w:val="00827313"/>
    <w:rsid w:val="00827DA6"/>
    <w:rsid w:val="00827E2A"/>
    <w:rsid w:val="00835AAF"/>
    <w:rsid w:val="00836831"/>
    <w:rsid w:val="00837DDE"/>
    <w:rsid w:val="00844390"/>
    <w:rsid w:val="008511DF"/>
    <w:rsid w:val="008513EE"/>
    <w:rsid w:val="008523F5"/>
    <w:rsid w:val="008543BD"/>
    <w:rsid w:val="008548F9"/>
    <w:rsid w:val="0085575C"/>
    <w:rsid w:val="0085791F"/>
    <w:rsid w:val="00857988"/>
    <w:rsid w:val="0086244F"/>
    <w:rsid w:val="008665D9"/>
    <w:rsid w:val="008702AF"/>
    <w:rsid w:val="00871F40"/>
    <w:rsid w:val="00872A7A"/>
    <w:rsid w:val="00872F72"/>
    <w:rsid w:val="00873D99"/>
    <w:rsid w:val="00875E7A"/>
    <w:rsid w:val="00881AC0"/>
    <w:rsid w:val="00883121"/>
    <w:rsid w:val="0088392F"/>
    <w:rsid w:val="00884426"/>
    <w:rsid w:val="00886289"/>
    <w:rsid w:val="008863B2"/>
    <w:rsid w:val="00886584"/>
    <w:rsid w:val="00886745"/>
    <w:rsid w:val="00886D60"/>
    <w:rsid w:val="0088746E"/>
    <w:rsid w:val="00887814"/>
    <w:rsid w:val="008904A0"/>
    <w:rsid w:val="008916FF"/>
    <w:rsid w:val="008917A4"/>
    <w:rsid w:val="00891DB3"/>
    <w:rsid w:val="008922C0"/>
    <w:rsid w:val="0089280A"/>
    <w:rsid w:val="00895A85"/>
    <w:rsid w:val="00896F8E"/>
    <w:rsid w:val="008A0154"/>
    <w:rsid w:val="008A14A4"/>
    <w:rsid w:val="008A1D12"/>
    <w:rsid w:val="008A36DE"/>
    <w:rsid w:val="008A3A47"/>
    <w:rsid w:val="008A4A63"/>
    <w:rsid w:val="008A4D5B"/>
    <w:rsid w:val="008A57E8"/>
    <w:rsid w:val="008B4679"/>
    <w:rsid w:val="008B47F3"/>
    <w:rsid w:val="008B5C61"/>
    <w:rsid w:val="008B760D"/>
    <w:rsid w:val="008C0378"/>
    <w:rsid w:val="008C4AC3"/>
    <w:rsid w:val="008D1D39"/>
    <w:rsid w:val="008D4E58"/>
    <w:rsid w:val="008D5049"/>
    <w:rsid w:val="008D538C"/>
    <w:rsid w:val="008D5505"/>
    <w:rsid w:val="008D6DDF"/>
    <w:rsid w:val="008D721C"/>
    <w:rsid w:val="008D7E24"/>
    <w:rsid w:val="008E0E65"/>
    <w:rsid w:val="008E2C3C"/>
    <w:rsid w:val="008E33FD"/>
    <w:rsid w:val="008E44D1"/>
    <w:rsid w:val="008E661B"/>
    <w:rsid w:val="008E75E7"/>
    <w:rsid w:val="008E7F8A"/>
    <w:rsid w:val="008F1161"/>
    <w:rsid w:val="008F15F8"/>
    <w:rsid w:val="008F479E"/>
    <w:rsid w:val="008F65AC"/>
    <w:rsid w:val="009007A8"/>
    <w:rsid w:val="009011F1"/>
    <w:rsid w:val="00910014"/>
    <w:rsid w:val="009117F7"/>
    <w:rsid w:val="009127A6"/>
    <w:rsid w:val="00914463"/>
    <w:rsid w:val="0091528B"/>
    <w:rsid w:val="009157B1"/>
    <w:rsid w:val="009164F0"/>
    <w:rsid w:val="00917271"/>
    <w:rsid w:val="00917CAF"/>
    <w:rsid w:val="00921004"/>
    <w:rsid w:val="009271BE"/>
    <w:rsid w:val="009272D7"/>
    <w:rsid w:val="009305A8"/>
    <w:rsid w:val="00931787"/>
    <w:rsid w:val="00931A9B"/>
    <w:rsid w:val="00933532"/>
    <w:rsid w:val="00937B80"/>
    <w:rsid w:val="00941528"/>
    <w:rsid w:val="009416FD"/>
    <w:rsid w:val="00942733"/>
    <w:rsid w:val="00942B53"/>
    <w:rsid w:val="00943343"/>
    <w:rsid w:val="009439ED"/>
    <w:rsid w:val="009458C9"/>
    <w:rsid w:val="0094610C"/>
    <w:rsid w:val="00946694"/>
    <w:rsid w:val="009467D3"/>
    <w:rsid w:val="00946ECB"/>
    <w:rsid w:val="00950AD3"/>
    <w:rsid w:val="00950B5A"/>
    <w:rsid w:val="00951B99"/>
    <w:rsid w:val="00951CDB"/>
    <w:rsid w:val="00951EC0"/>
    <w:rsid w:val="00952F86"/>
    <w:rsid w:val="009542E8"/>
    <w:rsid w:val="00954C96"/>
    <w:rsid w:val="00955566"/>
    <w:rsid w:val="00955C03"/>
    <w:rsid w:val="00956DE7"/>
    <w:rsid w:val="00957420"/>
    <w:rsid w:val="00964237"/>
    <w:rsid w:val="009647EC"/>
    <w:rsid w:val="0096553C"/>
    <w:rsid w:val="00966813"/>
    <w:rsid w:val="00967B16"/>
    <w:rsid w:val="009718FA"/>
    <w:rsid w:val="0097301B"/>
    <w:rsid w:val="00973FEF"/>
    <w:rsid w:val="00974D2D"/>
    <w:rsid w:val="009754DD"/>
    <w:rsid w:val="009759AC"/>
    <w:rsid w:val="00977C78"/>
    <w:rsid w:val="00980C9E"/>
    <w:rsid w:val="0098136F"/>
    <w:rsid w:val="00982B8F"/>
    <w:rsid w:val="00983642"/>
    <w:rsid w:val="009841AC"/>
    <w:rsid w:val="00986F0C"/>
    <w:rsid w:val="00987D6D"/>
    <w:rsid w:val="00990B25"/>
    <w:rsid w:val="00992BDE"/>
    <w:rsid w:val="0099320E"/>
    <w:rsid w:val="009952E0"/>
    <w:rsid w:val="00997863"/>
    <w:rsid w:val="009978E7"/>
    <w:rsid w:val="009A31D3"/>
    <w:rsid w:val="009A3D48"/>
    <w:rsid w:val="009A40B3"/>
    <w:rsid w:val="009A54F3"/>
    <w:rsid w:val="009A5B27"/>
    <w:rsid w:val="009A6404"/>
    <w:rsid w:val="009A6BDC"/>
    <w:rsid w:val="009A701F"/>
    <w:rsid w:val="009A71E4"/>
    <w:rsid w:val="009A7279"/>
    <w:rsid w:val="009A7E68"/>
    <w:rsid w:val="009B29C9"/>
    <w:rsid w:val="009B4291"/>
    <w:rsid w:val="009B4F3F"/>
    <w:rsid w:val="009B559E"/>
    <w:rsid w:val="009B6B40"/>
    <w:rsid w:val="009B6BF4"/>
    <w:rsid w:val="009B73CD"/>
    <w:rsid w:val="009C05B2"/>
    <w:rsid w:val="009C0809"/>
    <w:rsid w:val="009C1066"/>
    <w:rsid w:val="009C1372"/>
    <w:rsid w:val="009C353B"/>
    <w:rsid w:val="009C5373"/>
    <w:rsid w:val="009C5669"/>
    <w:rsid w:val="009C570F"/>
    <w:rsid w:val="009C6404"/>
    <w:rsid w:val="009D1730"/>
    <w:rsid w:val="009D1CF8"/>
    <w:rsid w:val="009D3B98"/>
    <w:rsid w:val="009D56D8"/>
    <w:rsid w:val="009D5ECD"/>
    <w:rsid w:val="009D6055"/>
    <w:rsid w:val="009D7BF6"/>
    <w:rsid w:val="009E5F11"/>
    <w:rsid w:val="009E6703"/>
    <w:rsid w:val="009E7994"/>
    <w:rsid w:val="009F0ED6"/>
    <w:rsid w:val="009F143B"/>
    <w:rsid w:val="009F2DB4"/>
    <w:rsid w:val="009F2EEB"/>
    <w:rsid w:val="009F2F3F"/>
    <w:rsid w:val="009F34F3"/>
    <w:rsid w:val="009F47AA"/>
    <w:rsid w:val="009F506D"/>
    <w:rsid w:val="009F56DB"/>
    <w:rsid w:val="009F58BA"/>
    <w:rsid w:val="009F75DF"/>
    <w:rsid w:val="00A00055"/>
    <w:rsid w:val="00A00101"/>
    <w:rsid w:val="00A01EA9"/>
    <w:rsid w:val="00A02270"/>
    <w:rsid w:val="00A06238"/>
    <w:rsid w:val="00A077D2"/>
    <w:rsid w:val="00A07FA2"/>
    <w:rsid w:val="00A16942"/>
    <w:rsid w:val="00A17A72"/>
    <w:rsid w:val="00A20E69"/>
    <w:rsid w:val="00A23D9B"/>
    <w:rsid w:val="00A25795"/>
    <w:rsid w:val="00A25909"/>
    <w:rsid w:val="00A25F51"/>
    <w:rsid w:val="00A30393"/>
    <w:rsid w:val="00A31B48"/>
    <w:rsid w:val="00A32246"/>
    <w:rsid w:val="00A323F4"/>
    <w:rsid w:val="00A328C0"/>
    <w:rsid w:val="00A334EB"/>
    <w:rsid w:val="00A3714C"/>
    <w:rsid w:val="00A37412"/>
    <w:rsid w:val="00A37451"/>
    <w:rsid w:val="00A405C7"/>
    <w:rsid w:val="00A427D6"/>
    <w:rsid w:val="00A44782"/>
    <w:rsid w:val="00A46E96"/>
    <w:rsid w:val="00A46EF0"/>
    <w:rsid w:val="00A47679"/>
    <w:rsid w:val="00A47AAA"/>
    <w:rsid w:val="00A52030"/>
    <w:rsid w:val="00A5230D"/>
    <w:rsid w:val="00A52E51"/>
    <w:rsid w:val="00A532B7"/>
    <w:rsid w:val="00A5541B"/>
    <w:rsid w:val="00A5787A"/>
    <w:rsid w:val="00A60E9F"/>
    <w:rsid w:val="00A62A69"/>
    <w:rsid w:val="00A62BEC"/>
    <w:rsid w:val="00A658C1"/>
    <w:rsid w:val="00A71F66"/>
    <w:rsid w:val="00A7218A"/>
    <w:rsid w:val="00A734AD"/>
    <w:rsid w:val="00A73E6F"/>
    <w:rsid w:val="00A74C70"/>
    <w:rsid w:val="00A76050"/>
    <w:rsid w:val="00A770E4"/>
    <w:rsid w:val="00A81C21"/>
    <w:rsid w:val="00A82018"/>
    <w:rsid w:val="00A837A0"/>
    <w:rsid w:val="00A86D98"/>
    <w:rsid w:val="00A90707"/>
    <w:rsid w:val="00A90926"/>
    <w:rsid w:val="00A91A58"/>
    <w:rsid w:val="00A928EC"/>
    <w:rsid w:val="00A92E95"/>
    <w:rsid w:val="00A94273"/>
    <w:rsid w:val="00A97287"/>
    <w:rsid w:val="00AA15E5"/>
    <w:rsid w:val="00AA18F9"/>
    <w:rsid w:val="00AA1BD8"/>
    <w:rsid w:val="00AA2AA2"/>
    <w:rsid w:val="00AA2DED"/>
    <w:rsid w:val="00AA4E5D"/>
    <w:rsid w:val="00AA79FD"/>
    <w:rsid w:val="00AB1C66"/>
    <w:rsid w:val="00AB1E72"/>
    <w:rsid w:val="00AB435C"/>
    <w:rsid w:val="00AB6FE9"/>
    <w:rsid w:val="00AB7B1D"/>
    <w:rsid w:val="00AB7BFE"/>
    <w:rsid w:val="00AC0CD4"/>
    <w:rsid w:val="00AC1177"/>
    <w:rsid w:val="00AC1B11"/>
    <w:rsid w:val="00AC34ED"/>
    <w:rsid w:val="00AC45D8"/>
    <w:rsid w:val="00AC4C86"/>
    <w:rsid w:val="00AC4CF3"/>
    <w:rsid w:val="00AC507D"/>
    <w:rsid w:val="00AC5A9E"/>
    <w:rsid w:val="00AC6138"/>
    <w:rsid w:val="00AC74C2"/>
    <w:rsid w:val="00AD1FEC"/>
    <w:rsid w:val="00AD2B82"/>
    <w:rsid w:val="00AD2DF1"/>
    <w:rsid w:val="00AD392D"/>
    <w:rsid w:val="00AE4125"/>
    <w:rsid w:val="00AE4850"/>
    <w:rsid w:val="00AE58A1"/>
    <w:rsid w:val="00AE6BD5"/>
    <w:rsid w:val="00AE7B7F"/>
    <w:rsid w:val="00AF0724"/>
    <w:rsid w:val="00AF0F99"/>
    <w:rsid w:val="00AF19B6"/>
    <w:rsid w:val="00AF1C99"/>
    <w:rsid w:val="00AF3146"/>
    <w:rsid w:val="00AF5E87"/>
    <w:rsid w:val="00B00552"/>
    <w:rsid w:val="00B02BEE"/>
    <w:rsid w:val="00B03589"/>
    <w:rsid w:val="00B06740"/>
    <w:rsid w:val="00B104C8"/>
    <w:rsid w:val="00B106B7"/>
    <w:rsid w:val="00B11C1C"/>
    <w:rsid w:val="00B12E7A"/>
    <w:rsid w:val="00B13613"/>
    <w:rsid w:val="00B1418E"/>
    <w:rsid w:val="00B15A4E"/>
    <w:rsid w:val="00B17BD8"/>
    <w:rsid w:val="00B17E56"/>
    <w:rsid w:val="00B256E8"/>
    <w:rsid w:val="00B25C34"/>
    <w:rsid w:val="00B30B53"/>
    <w:rsid w:val="00B313E9"/>
    <w:rsid w:val="00B32325"/>
    <w:rsid w:val="00B32AAC"/>
    <w:rsid w:val="00B3379E"/>
    <w:rsid w:val="00B340A4"/>
    <w:rsid w:val="00B340D4"/>
    <w:rsid w:val="00B355EC"/>
    <w:rsid w:val="00B411A3"/>
    <w:rsid w:val="00B4353F"/>
    <w:rsid w:val="00B43B1D"/>
    <w:rsid w:val="00B443CF"/>
    <w:rsid w:val="00B45C2D"/>
    <w:rsid w:val="00B46402"/>
    <w:rsid w:val="00B46D45"/>
    <w:rsid w:val="00B50F76"/>
    <w:rsid w:val="00B53696"/>
    <w:rsid w:val="00B56649"/>
    <w:rsid w:val="00B625F2"/>
    <w:rsid w:val="00B64FA2"/>
    <w:rsid w:val="00B663DC"/>
    <w:rsid w:val="00B67430"/>
    <w:rsid w:val="00B7072E"/>
    <w:rsid w:val="00B710D8"/>
    <w:rsid w:val="00B73629"/>
    <w:rsid w:val="00B73646"/>
    <w:rsid w:val="00B7466E"/>
    <w:rsid w:val="00B779BD"/>
    <w:rsid w:val="00B8021E"/>
    <w:rsid w:val="00B8028F"/>
    <w:rsid w:val="00B833BE"/>
    <w:rsid w:val="00B83961"/>
    <w:rsid w:val="00B87B08"/>
    <w:rsid w:val="00B90F2F"/>
    <w:rsid w:val="00B93C7A"/>
    <w:rsid w:val="00B94AD0"/>
    <w:rsid w:val="00B956C4"/>
    <w:rsid w:val="00BA303A"/>
    <w:rsid w:val="00BA58BF"/>
    <w:rsid w:val="00BA65D3"/>
    <w:rsid w:val="00BA7FF0"/>
    <w:rsid w:val="00BB2152"/>
    <w:rsid w:val="00BB2BE0"/>
    <w:rsid w:val="00BB3529"/>
    <w:rsid w:val="00BB405B"/>
    <w:rsid w:val="00BB4B19"/>
    <w:rsid w:val="00BB68F9"/>
    <w:rsid w:val="00BB7806"/>
    <w:rsid w:val="00BC255B"/>
    <w:rsid w:val="00BC29D0"/>
    <w:rsid w:val="00BC3E16"/>
    <w:rsid w:val="00BC43AD"/>
    <w:rsid w:val="00BC6627"/>
    <w:rsid w:val="00BC6DB6"/>
    <w:rsid w:val="00BD6F2D"/>
    <w:rsid w:val="00BD797F"/>
    <w:rsid w:val="00BD7F12"/>
    <w:rsid w:val="00BE1470"/>
    <w:rsid w:val="00BE48F6"/>
    <w:rsid w:val="00BE7C72"/>
    <w:rsid w:val="00BF1421"/>
    <w:rsid w:val="00BF414E"/>
    <w:rsid w:val="00BF6BBF"/>
    <w:rsid w:val="00BF7562"/>
    <w:rsid w:val="00BF78BF"/>
    <w:rsid w:val="00C00BBF"/>
    <w:rsid w:val="00C02CC4"/>
    <w:rsid w:val="00C04330"/>
    <w:rsid w:val="00C04AA4"/>
    <w:rsid w:val="00C0523C"/>
    <w:rsid w:val="00C05445"/>
    <w:rsid w:val="00C05C35"/>
    <w:rsid w:val="00C12CBD"/>
    <w:rsid w:val="00C134DB"/>
    <w:rsid w:val="00C15F1B"/>
    <w:rsid w:val="00C16D8A"/>
    <w:rsid w:val="00C21890"/>
    <w:rsid w:val="00C25B78"/>
    <w:rsid w:val="00C264DC"/>
    <w:rsid w:val="00C32068"/>
    <w:rsid w:val="00C322AC"/>
    <w:rsid w:val="00C33FEF"/>
    <w:rsid w:val="00C355DF"/>
    <w:rsid w:val="00C37C97"/>
    <w:rsid w:val="00C4007D"/>
    <w:rsid w:val="00C4163B"/>
    <w:rsid w:val="00C41F24"/>
    <w:rsid w:val="00C43FD0"/>
    <w:rsid w:val="00C47619"/>
    <w:rsid w:val="00C51445"/>
    <w:rsid w:val="00C517DB"/>
    <w:rsid w:val="00C52848"/>
    <w:rsid w:val="00C61FF5"/>
    <w:rsid w:val="00C6662D"/>
    <w:rsid w:val="00C671F5"/>
    <w:rsid w:val="00C67ADF"/>
    <w:rsid w:val="00C67E5D"/>
    <w:rsid w:val="00C67F17"/>
    <w:rsid w:val="00C67F41"/>
    <w:rsid w:val="00C70DB9"/>
    <w:rsid w:val="00C72528"/>
    <w:rsid w:val="00C72FBF"/>
    <w:rsid w:val="00C74025"/>
    <w:rsid w:val="00C748FF"/>
    <w:rsid w:val="00C74DA7"/>
    <w:rsid w:val="00C74F6C"/>
    <w:rsid w:val="00C767DA"/>
    <w:rsid w:val="00C771BA"/>
    <w:rsid w:val="00C805FB"/>
    <w:rsid w:val="00C80CA7"/>
    <w:rsid w:val="00C8227D"/>
    <w:rsid w:val="00C8269C"/>
    <w:rsid w:val="00C83750"/>
    <w:rsid w:val="00C8675B"/>
    <w:rsid w:val="00C86CD7"/>
    <w:rsid w:val="00C86F17"/>
    <w:rsid w:val="00C87AD2"/>
    <w:rsid w:val="00C91865"/>
    <w:rsid w:val="00C9376B"/>
    <w:rsid w:val="00C9581A"/>
    <w:rsid w:val="00C960BE"/>
    <w:rsid w:val="00C9791B"/>
    <w:rsid w:val="00CA26CD"/>
    <w:rsid w:val="00CA27CB"/>
    <w:rsid w:val="00CA33CF"/>
    <w:rsid w:val="00CA346B"/>
    <w:rsid w:val="00CA3682"/>
    <w:rsid w:val="00CB0040"/>
    <w:rsid w:val="00CB44BB"/>
    <w:rsid w:val="00CC4AEF"/>
    <w:rsid w:val="00CC6C0C"/>
    <w:rsid w:val="00CC719D"/>
    <w:rsid w:val="00CD2CC0"/>
    <w:rsid w:val="00CD44B9"/>
    <w:rsid w:val="00CD482D"/>
    <w:rsid w:val="00CD4BE8"/>
    <w:rsid w:val="00CE2834"/>
    <w:rsid w:val="00CE7264"/>
    <w:rsid w:val="00CE7DAF"/>
    <w:rsid w:val="00CF158B"/>
    <w:rsid w:val="00CF36BC"/>
    <w:rsid w:val="00CF40F7"/>
    <w:rsid w:val="00CF5301"/>
    <w:rsid w:val="00CF534A"/>
    <w:rsid w:val="00CF55D6"/>
    <w:rsid w:val="00CF6484"/>
    <w:rsid w:val="00CF6F61"/>
    <w:rsid w:val="00CF772F"/>
    <w:rsid w:val="00CF78D3"/>
    <w:rsid w:val="00D02312"/>
    <w:rsid w:val="00D0306D"/>
    <w:rsid w:val="00D03A94"/>
    <w:rsid w:val="00D03EEF"/>
    <w:rsid w:val="00D06458"/>
    <w:rsid w:val="00D07344"/>
    <w:rsid w:val="00D10B27"/>
    <w:rsid w:val="00D10E98"/>
    <w:rsid w:val="00D121FA"/>
    <w:rsid w:val="00D12B6B"/>
    <w:rsid w:val="00D12CFF"/>
    <w:rsid w:val="00D14AF4"/>
    <w:rsid w:val="00D156AF"/>
    <w:rsid w:val="00D16367"/>
    <w:rsid w:val="00D16699"/>
    <w:rsid w:val="00D1747F"/>
    <w:rsid w:val="00D202C6"/>
    <w:rsid w:val="00D2092C"/>
    <w:rsid w:val="00D228DE"/>
    <w:rsid w:val="00D22DC3"/>
    <w:rsid w:val="00D25683"/>
    <w:rsid w:val="00D27042"/>
    <w:rsid w:val="00D322D9"/>
    <w:rsid w:val="00D36688"/>
    <w:rsid w:val="00D40191"/>
    <w:rsid w:val="00D4077C"/>
    <w:rsid w:val="00D40F53"/>
    <w:rsid w:val="00D422AF"/>
    <w:rsid w:val="00D4253A"/>
    <w:rsid w:val="00D43256"/>
    <w:rsid w:val="00D43EB8"/>
    <w:rsid w:val="00D46194"/>
    <w:rsid w:val="00D46AFD"/>
    <w:rsid w:val="00D46C5C"/>
    <w:rsid w:val="00D50B42"/>
    <w:rsid w:val="00D513C0"/>
    <w:rsid w:val="00D5307F"/>
    <w:rsid w:val="00D57228"/>
    <w:rsid w:val="00D57EC5"/>
    <w:rsid w:val="00D61642"/>
    <w:rsid w:val="00D61C6D"/>
    <w:rsid w:val="00D62940"/>
    <w:rsid w:val="00D64034"/>
    <w:rsid w:val="00D65726"/>
    <w:rsid w:val="00D719D5"/>
    <w:rsid w:val="00D72832"/>
    <w:rsid w:val="00D73109"/>
    <w:rsid w:val="00D76C43"/>
    <w:rsid w:val="00D810EC"/>
    <w:rsid w:val="00D835B6"/>
    <w:rsid w:val="00D84464"/>
    <w:rsid w:val="00D8548C"/>
    <w:rsid w:val="00D916FF"/>
    <w:rsid w:val="00D91782"/>
    <w:rsid w:val="00D94999"/>
    <w:rsid w:val="00D96D77"/>
    <w:rsid w:val="00DA0540"/>
    <w:rsid w:val="00DA15E2"/>
    <w:rsid w:val="00DA1BF9"/>
    <w:rsid w:val="00DA2175"/>
    <w:rsid w:val="00DA2840"/>
    <w:rsid w:val="00DA35EF"/>
    <w:rsid w:val="00DA4030"/>
    <w:rsid w:val="00DA6819"/>
    <w:rsid w:val="00DB15FD"/>
    <w:rsid w:val="00DB2E84"/>
    <w:rsid w:val="00DB3DD5"/>
    <w:rsid w:val="00DB3E74"/>
    <w:rsid w:val="00DB475E"/>
    <w:rsid w:val="00DB5079"/>
    <w:rsid w:val="00DB540A"/>
    <w:rsid w:val="00DB58EC"/>
    <w:rsid w:val="00DB5BD7"/>
    <w:rsid w:val="00DC22F2"/>
    <w:rsid w:val="00DC399B"/>
    <w:rsid w:val="00DC5CBD"/>
    <w:rsid w:val="00DC6538"/>
    <w:rsid w:val="00DC739C"/>
    <w:rsid w:val="00DC7518"/>
    <w:rsid w:val="00DD0F92"/>
    <w:rsid w:val="00DD1D7B"/>
    <w:rsid w:val="00DD5E2B"/>
    <w:rsid w:val="00DD71DA"/>
    <w:rsid w:val="00DE15FD"/>
    <w:rsid w:val="00DE1AEA"/>
    <w:rsid w:val="00DE5528"/>
    <w:rsid w:val="00DF0424"/>
    <w:rsid w:val="00DF3781"/>
    <w:rsid w:val="00DF6E69"/>
    <w:rsid w:val="00DF78AC"/>
    <w:rsid w:val="00E0140B"/>
    <w:rsid w:val="00E01785"/>
    <w:rsid w:val="00E01BEC"/>
    <w:rsid w:val="00E06EE2"/>
    <w:rsid w:val="00E107CA"/>
    <w:rsid w:val="00E113BC"/>
    <w:rsid w:val="00E1216B"/>
    <w:rsid w:val="00E14338"/>
    <w:rsid w:val="00E1477F"/>
    <w:rsid w:val="00E16C63"/>
    <w:rsid w:val="00E17DB5"/>
    <w:rsid w:val="00E212EA"/>
    <w:rsid w:val="00E23093"/>
    <w:rsid w:val="00E24EC7"/>
    <w:rsid w:val="00E25D54"/>
    <w:rsid w:val="00E2709A"/>
    <w:rsid w:val="00E30E76"/>
    <w:rsid w:val="00E3322A"/>
    <w:rsid w:val="00E341F5"/>
    <w:rsid w:val="00E3509F"/>
    <w:rsid w:val="00E35788"/>
    <w:rsid w:val="00E366C5"/>
    <w:rsid w:val="00E36DE4"/>
    <w:rsid w:val="00E42092"/>
    <w:rsid w:val="00E43B5E"/>
    <w:rsid w:val="00E43D94"/>
    <w:rsid w:val="00E4437A"/>
    <w:rsid w:val="00E45B51"/>
    <w:rsid w:val="00E531B9"/>
    <w:rsid w:val="00E53BC5"/>
    <w:rsid w:val="00E53DA9"/>
    <w:rsid w:val="00E55FEB"/>
    <w:rsid w:val="00E5758B"/>
    <w:rsid w:val="00E57869"/>
    <w:rsid w:val="00E6191D"/>
    <w:rsid w:val="00E61DBC"/>
    <w:rsid w:val="00E63A66"/>
    <w:rsid w:val="00E64057"/>
    <w:rsid w:val="00E64A39"/>
    <w:rsid w:val="00E668F5"/>
    <w:rsid w:val="00E66AFF"/>
    <w:rsid w:val="00E6771C"/>
    <w:rsid w:val="00E70381"/>
    <w:rsid w:val="00E705E6"/>
    <w:rsid w:val="00E70EAE"/>
    <w:rsid w:val="00E70F8F"/>
    <w:rsid w:val="00E729DC"/>
    <w:rsid w:val="00E73DEF"/>
    <w:rsid w:val="00E746CE"/>
    <w:rsid w:val="00E753EC"/>
    <w:rsid w:val="00E755B0"/>
    <w:rsid w:val="00E76B37"/>
    <w:rsid w:val="00E80D65"/>
    <w:rsid w:val="00E864E4"/>
    <w:rsid w:val="00E91723"/>
    <w:rsid w:val="00E930A5"/>
    <w:rsid w:val="00E934D9"/>
    <w:rsid w:val="00E96BC2"/>
    <w:rsid w:val="00EA13DF"/>
    <w:rsid w:val="00EA21E9"/>
    <w:rsid w:val="00EA4C4B"/>
    <w:rsid w:val="00EA77BE"/>
    <w:rsid w:val="00EB07A0"/>
    <w:rsid w:val="00EB0FDD"/>
    <w:rsid w:val="00EB5299"/>
    <w:rsid w:val="00EC1316"/>
    <w:rsid w:val="00EC19C1"/>
    <w:rsid w:val="00EC25F1"/>
    <w:rsid w:val="00EC283A"/>
    <w:rsid w:val="00EC3551"/>
    <w:rsid w:val="00EC3D79"/>
    <w:rsid w:val="00EC5E02"/>
    <w:rsid w:val="00EC7271"/>
    <w:rsid w:val="00EC7673"/>
    <w:rsid w:val="00ED1A33"/>
    <w:rsid w:val="00ED2086"/>
    <w:rsid w:val="00ED2615"/>
    <w:rsid w:val="00ED2F90"/>
    <w:rsid w:val="00ED38AF"/>
    <w:rsid w:val="00ED49DE"/>
    <w:rsid w:val="00ED5CDE"/>
    <w:rsid w:val="00ED60A1"/>
    <w:rsid w:val="00ED6123"/>
    <w:rsid w:val="00ED7CC6"/>
    <w:rsid w:val="00EE1C4A"/>
    <w:rsid w:val="00EE6D21"/>
    <w:rsid w:val="00EF1A79"/>
    <w:rsid w:val="00EF54D6"/>
    <w:rsid w:val="00F01B55"/>
    <w:rsid w:val="00F0237B"/>
    <w:rsid w:val="00F0320A"/>
    <w:rsid w:val="00F03C15"/>
    <w:rsid w:val="00F06498"/>
    <w:rsid w:val="00F06853"/>
    <w:rsid w:val="00F06E99"/>
    <w:rsid w:val="00F0723B"/>
    <w:rsid w:val="00F0786F"/>
    <w:rsid w:val="00F11634"/>
    <w:rsid w:val="00F11E0A"/>
    <w:rsid w:val="00F13013"/>
    <w:rsid w:val="00F130B2"/>
    <w:rsid w:val="00F14D9E"/>
    <w:rsid w:val="00F14F22"/>
    <w:rsid w:val="00F16104"/>
    <w:rsid w:val="00F16CF9"/>
    <w:rsid w:val="00F20B09"/>
    <w:rsid w:val="00F21BC5"/>
    <w:rsid w:val="00F221E2"/>
    <w:rsid w:val="00F228CA"/>
    <w:rsid w:val="00F24EDD"/>
    <w:rsid w:val="00F25216"/>
    <w:rsid w:val="00F25CB6"/>
    <w:rsid w:val="00F2749C"/>
    <w:rsid w:val="00F3167E"/>
    <w:rsid w:val="00F324DD"/>
    <w:rsid w:val="00F3335E"/>
    <w:rsid w:val="00F33742"/>
    <w:rsid w:val="00F33829"/>
    <w:rsid w:val="00F349E0"/>
    <w:rsid w:val="00F368DD"/>
    <w:rsid w:val="00F36BF0"/>
    <w:rsid w:val="00F37DF8"/>
    <w:rsid w:val="00F41A64"/>
    <w:rsid w:val="00F439B5"/>
    <w:rsid w:val="00F44002"/>
    <w:rsid w:val="00F45F80"/>
    <w:rsid w:val="00F52512"/>
    <w:rsid w:val="00F52E75"/>
    <w:rsid w:val="00F54303"/>
    <w:rsid w:val="00F54C75"/>
    <w:rsid w:val="00F57DED"/>
    <w:rsid w:val="00F63F49"/>
    <w:rsid w:val="00F64B39"/>
    <w:rsid w:val="00F65837"/>
    <w:rsid w:val="00F67957"/>
    <w:rsid w:val="00F713A4"/>
    <w:rsid w:val="00F72D00"/>
    <w:rsid w:val="00F81150"/>
    <w:rsid w:val="00F81CB6"/>
    <w:rsid w:val="00F833B7"/>
    <w:rsid w:val="00F83A22"/>
    <w:rsid w:val="00F84CF9"/>
    <w:rsid w:val="00F87C6C"/>
    <w:rsid w:val="00F87E38"/>
    <w:rsid w:val="00F9075C"/>
    <w:rsid w:val="00F91A73"/>
    <w:rsid w:val="00F92849"/>
    <w:rsid w:val="00F92DBC"/>
    <w:rsid w:val="00F94424"/>
    <w:rsid w:val="00F952C2"/>
    <w:rsid w:val="00F97EA2"/>
    <w:rsid w:val="00FA155E"/>
    <w:rsid w:val="00FA1AC7"/>
    <w:rsid w:val="00FA2322"/>
    <w:rsid w:val="00FA244A"/>
    <w:rsid w:val="00FA31B9"/>
    <w:rsid w:val="00FB0928"/>
    <w:rsid w:val="00FB1203"/>
    <w:rsid w:val="00FB297F"/>
    <w:rsid w:val="00FB2A2C"/>
    <w:rsid w:val="00FB4B0C"/>
    <w:rsid w:val="00FB638E"/>
    <w:rsid w:val="00FC0980"/>
    <w:rsid w:val="00FC0D10"/>
    <w:rsid w:val="00FC1934"/>
    <w:rsid w:val="00FC4117"/>
    <w:rsid w:val="00FC5555"/>
    <w:rsid w:val="00FC6977"/>
    <w:rsid w:val="00FD78D4"/>
    <w:rsid w:val="00FE1EA4"/>
    <w:rsid w:val="00FE2169"/>
    <w:rsid w:val="00FE38F0"/>
    <w:rsid w:val="00FE400D"/>
    <w:rsid w:val="00FE43A9"/>
    <w:rsid w:val="00FE6072"/>
    <w:rsid w:val="00FE6588"/>
    <w:rsid w:val="00FE73F3"/>
    <w:rsid w:val="00FE754C"/>
    <w:rsid w:val="00FF1931"/>
    <w:rsid w:val="00FF41F3"/>
    <w:rsid w:val="00FF525B"/>
    <w:rsid w:val="00FF5670"/>
    <w:rsid w:val="00FF58CB"/>
    <w:rsid w:val="00FF59EB"/>
    <w:rsid w:val="00FF7B4A"/>
    <w:rsid w:val="059F47CA"/>
    <w:rsid w:val="0E00D3F2"/>
    <w:rsid w:val="138206B1"/>
    <w:rsid w:val="1E19CFBD"/>
    <w:rsid w:val="1F219901"/>
    <w:rsid w:val="20036F3D"/>
    <w:rsid w:val="2587C44F"/>
    <w:rsid w:val="2719E0FF"/>
    <w:rsid w:val="2EA21C2B"/>
    <w:rsid w:val="2ECDD58B"/>
    <w:rsid w:val="320B9032"/>
    <w:rsid w:val="39A56AF7"/>
    <w:rsid w:val="3F9D5E19"/>
    <w:rsid w:val="453C697D"/>
    <w:rsid w:val="45EC5C25"/>
    <w:rsid w:val="4A8D9204"/>
    <w:rsid w:val="4CED5431"/>
    <w:rsid w:val="4E134AC7"/>
    <w:rsid w:val="549DDE02"/>
    <w:rsid w:val="5DB1AFDF"/>
    <w:rsid w:val="64142050"/>
    <w:rsid w:val="679AD428"/>
    <w:rsid w:val="6E5BFB41"/>
    <w:rsid w:val="6F91A9A8"/>
    <w:rsid w:val="72CB95DB"/>
    <w:rsid w:val="737AD2E9"/>
    <w:rsid w:val="74588BCD"/>
    <w:rsid w:val="7579FB74"/>
    <w:rsid w:val="759AF1F0"/>
    <w:rsid w:val="76C16E15"/>
    <w:rsid w:val="7F633852"/>
    <w:rsid w:val="7FE7A5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10D3A1AA-39F5-4DC7-A084-700BC302ACF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iPriority="0"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E4850"/>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styleId="TextonotapieCar" w:customStyle="1">
    <w:name w:val="Texto nota pie Car"/>
    <w:basedOn w:val="Fuentedeprrafopredeter"/>
    <w:link w:val="Textonotapie"/>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semiHidden/>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uiPriority w:val="1"/>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uiPriority w:val="1"/>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resultssummary" w:customStyle="1">
    <w:name w:val="results_summary"/>
    <w:basedOn w:val="Fuentedeprrafopredeter"/>
    <w:rsid w:val="00E930A5"/>
  </w:style>
  <w:style w:type="character" w:styleId="byauthor" w:customStyle="1">
    <w:name w:val="byauthor"/>
    <w:basedOn w:val="Fuentedeprrafopredeter"/>
    <w:rsid w:val="00E930A5"/>
  </w:style>
  <w:style w:type="character" w:styleId="relatorcode" w:customStyle="1">
    <w:name w:val="relatorcode"/>
    <w:basedOn w:val="Fuentedeprrafopredeter"/>
    <w:rsid w:val="00E930A5"/>
  </w:style>
  <w:style w:type="character" w:styleId="label" w:customStyle="1">
    <w:name w:val="label"/>
    <w:basedOn w:val="Fuentedeprrafopredeter"/>
    <w:rsid w:val="00E930A5"/>
  </w:style>
  <w:style w:type="character" w:styleId="publisherplace" w:customStyle="1">
    <w:name w:val="publisher_place"/>
    <w:basedOn w:val="Fuentedeprrafopredeter"/>
    <w:rsid w:val="00E930A5"/>
  </w:style>
  <w:style w:type="character" w:styleId="publishername" w:customStyle="1">
    <w:name w:val="publisher_name"/>
    <w:basedOn w:val="Fuentedeprrafopredeter"/>
    <w:rsid w:val="00E930A5"/>
  </w:style>
  <w:style w:type="character" w:styleId="publisherdate" w:customStyle="1">
    <w:name w:val="publisher_date"/>
    <w:basedOn w:val="Fuentedeprrafopredeter"/>
    <w:rsid w:val="00E930A5"/>
  </w:style>
  <w:style w:type="character" w:styleId="annotation" w:customStyle="1">
    <w:name w:val="annotation"/>
    <w:basedOn w:val="Fuentedeprrafopredeter"/>
    <w:rsid w:val="005D44FA"/>
  </w:style>
  <w:style w:type="character" w:styleId="directivas" w:customStyle="1">
    <w:name w:val="directivas"/>
    <w:basedOn w:val="Fuentedeprrafopredeter"/>
    <w:rsid w:val="00117028"/>
  </w:style>
  <w:style w:type="character" w:styleId="resoldirectorales" w:customStyle="1">
    <w:name w:val="resoldirectorales"/>
    <w:basedOn w:val="Fuentedeprrafopredeter"/>
    <w:rsid w:val="00117028"/>
  </w:style>
  <w:style w:type="paragraph" w:styleId="Textoindependiente2">
    <w:name w:val="Body Text 2"/>
    <w:basedOn w:val="Normal"/>
    <w:link w:val="Textoindependiente2Car"/>
    <w:uiPriority w:val="99"/>
    <w:unhideWhenUsed/>
    <w:rsid w:val="000542F7"/>
    <w:pPr>
      <w:spacing w:after="120" w:line="480" w:lineRule="auto"/>
    </w:pPr>
  </w:style>
  <w:style w:type="character" w:styleId="Textoindependiente2Car" w:customStyle="1">
    <w:name w:val="Texto independiente 2 Car"/>
    <w:basedOn w:val="Fuentedeprrafopredeter"/>
    <w:link w:val="Textoindependiente2"/>
    <w:uiPriority w:val="99"/>
    <w:rsid w:val="000542F7"/>
  </w:style>
  <w:style w:type="character" w:styleId="Refdenotaalfinal">
    <w:name w:val="endnote reference"/>
    <w:semiHidden/>
    <w:rsid w:val="00F11634"/>
    <w:rPr>
      <w:vertAlign w:val="superscript"/>
    </w:rPr>
  </w:style>
  <w:style w:type="paragraph" w:styleId="Textocomentario">
    <w:name w:val="annotation text"/>
    <w:basedOn w:val="Normal"/>
    <w:link w:val="TextocomentarioCar"/>
    <w:uiPriority w:val="99"/>
    <w:semiHidden/>
    <w:unhideWhenUsed/>
    <w:rsid w:val="004B38A9"/>
    <w:pPr>
      <w:spacing w:after="200" w:line="240" w:lineRule="auto"/>
    </w:pPr>
    <w:rPr>
      <w:rFonts w:ascii="Times New Roman" w:hAnsi="Times New Roman"/>
      <w:sz w:val="20"/>
      <w:szCs w:val="20"/>
      <w:lang w:val="es-PE"/>
    </w:rPr>
  </w:style>
  <w:style w:type="character" w:styleId="TextocomentarioCar" w:customStyle="1">
    <w:name w:val="Texto comentario Car"/>
    <w:basedOn w:val="Fuentedeprrafopredeter"/>
    <w:link w:val="Textocomentario"/>
    <w:uiPriority w:val="99"/>
    <w:semiHidden/>
    <w:rsid w:val="004B38A9"/>
    <w:rPr>
      <w:rFonts w:ascii="Times New Roman" w:hAnsi="Times New Roman"/>
      <w:sz w:val="20"/>
      <w:szCs w:val="20"/>
      <w:lang w:val="es-PE"/>
    </w:rPr>
  </w:style>
  <w:style w:type="character" w:styleId="PrrafodelistaCar" w:customStyle="1">
    <w:name w:val="Párrafo de lista Car"/>
    <w:aliases w:val="Number List 1 Car"/>
    <w:link w:val="Prrafodelista"/>
    <w:uiPriority w:val="34"/>
    <w:locked/>
    <w:rsid w:val="00B83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9261">
      <w:bodyDiv w:val="1"/>
      <w:marLeft w:val="0"/>
      <w:marRight w:val="0"/>
      <w:marTop w:val="0"/>
      <w:marBottom w:val="0"/>
      <w:divBdr>
        <w:top w:val="none" w:sz="0" w:space="0" w:color="auto"/>
        <w:left w:val="none" w:sz="0" w:space="0" w:color="auto"/>
        <w:bottom w:val="none" w:sz="0" w:space="0" w:color="auto"/>
        <w:right w:val="none" w:sz="0" w:space="0" w:color="auto"/>
      </w:divBdr>
    </w:div>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23222445">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6359031">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741755499">
                              <w:marLeft w:val="0"/>
                              <w:marRight w:val="0"/>
                              <w:marTop w:val="0"/>
                              <w:marBottom w:val="0"/>
                              <w:divBdr>
                                <w:top w:val="none" w:sz="0" w:space="0" w:color="auto"/>
                                <w:left w:val="none" w:sz="0" w:space="0" w:color="auto"/>
                                <w:bottom w:val="none" w:sz="0" w:space="0" w:color="auto"/>
                                <w:right w:val="none" w:sz="0" w:space="0" w:color="auto"/>
                              </w:divBdr>
                            </w:div>
                            <w:div w:id="125096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1666206289">
                              <w:marLeft w:val="0"/>
                              <w:marRight w:val="0"/>
                              <w:marTop w:val="0"/>
                              <w:marBottom w:val="0"/>
                              <w:divBdr>
                                <w:top w:val="none" w:sz="0" w:space="0" w:color="auto"/>
                                <w:left w:val="none" w:sz="0" w:space="0" w:color="auto"/>
                                <w:bottom w:val="none" w:sz="0" w:space="0" w:color="auto"/>
                                <w:right w:val="none" w:sz="0" w:space="0" w:color="auto"/>
                              </w:divBdr>
                            </w:div>
                            <w:div w:id="29198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889605789">
                              <w:marLeft w:val="0"/>
                              <w:marRight w:val="0"/>
                              <w:marTop w:val="0"/>
                              <w:marBottom w:val="0"/>
                              <w:divBdr>
                                <w:top w:val="none" w:sz="0" w:space="0" w:color="auto"/>
                                <w:left w:val="none" w:sz="0" w:space="0" w:color="auto"/>
                                <w:bottom w:val="none" w:sz="0" w:space="0" w:color="auto"/>
                                <w:right w:val="none" w:sz="0" w:space="0" w:color="auto"/>
                              </w:divBdr>
                            </w:div>
                            <w:div w:id="125347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354113932">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9332322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35008600">
      <w:bodyDiv w:val="1"/>
      <w:marLeft w:val="0"/>
      <w:marRight w:val="0"/>
      <w:marTop w:val="0"/>
      <w:marBottom w:val="0"/>
      <w:divBdr>
        <w:top w:val="none" w:sz="0" w:space="0" w:color="auto"/>
        <w:left w:val="none" w:sz="0" w:space="0" w:color="auto"/>
        <w:bottom w:val="none" w:sz="0" w:space="0" w:color="auto"/>
        <w:right w:val="none" w:sz="0" w:space="0" w:color="auto"/>
      </w:divBdr>
      <w:divsChild>
        <w:div w:id="475680352">
          <w:marLeft w:val="0"/>
          <w:marRight w:val="0"/>
          <w:marTop w:val="0"/>
          <w:marBottom w:val="0"/>
          <w:divBdr>
            <w:top w:val="none" w:sz="0" w:space="0" w:color="auto"/>
            <w:left w:val="none" w:sz="0" w:space="0" w:color="auto"/>
            <w:bottom w:val="none" w:sz="0" w:space="0" w:color="auto"/>
            <w:right w:val="none" w:sz="0" w:space="0" w:color="auto"/>
          </w:divBdr>
          <w:divsChild>
            <w:div w:id="979073824">
              <w:marLeft w:val="0"/>
              <w:marRight w:val="0"/>
              <w:marTop w:val="0"/>
              <w:marBottom w:val="0"/>
              <w:divBdr>
                <w:top w:val="none" w:sz="0" w:space="0" w:color="auto"/>
                <w:left w:val="none" w:sz="0" w:space="0" w:color="auto"/>
                <w:bottom w:val="none" w:sz="0" w:space="0" w:color="auto"/>
                <w:right w:val="none" w:sz="0" w:space="0" w:color="auto"/>
              </w:divBdr>
              <w:divsChild>
                <w:div w:id="19658417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03563501">
          <w:marLeft w:val="0"/>
          <w:marRight w:val="0"/>
          <w:marTop w:val="0"/>
          <w:marBottom w:val="0"/>
          <w:divBdr>
            <w:top w:val="none" w:sz="0" w:space="0" w:color="auto"/>
            <w:left w:val="none" w:sz="0" w:space="0" w:color="auto"/>
            <w:bottom w:val="none" w:sz="0" w:space="0" w:color="auto"/>
            <w:right w:val="none" w:sz="0" w:space="0" w:color="auto"/>
          </w:divBdr>
          <w:divsChild>
            <w:div w:id="2134518633">
              <w:marLeft w:val="0"/>
              <w:marRight w:val="0"/>
              <w:marTop w:val="0"/>
              <w:marBottom w:val="0"/>
              <w:divBdr>
                <w:top w:val="none" w:sz="0" w:space="0" w:color="auto"/>
                <w:left w:val="none" w:sz="0" w:space="0" w:color="auto"/>
                <w:bottom w:val="none" w:sz="0" w:space="0" w:color="auto"/>
                <w:right w:val="none" w:sz="0" w:space="0" w:color="auto"/>
              </w:divBdr>
              <w:divsChild>
                <w:div w:id="151029176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1021295">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61889464">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388454858">
      <w:bodyDiv w:val="1"/>
      <w:marLeft w:val="0"/>
      <w:marRight w:val="0"/>
      <w:marTop w:val="0"/>
      <w:marBottom w:val="0"/>
      <w:divBdr>
        <w:top w:val="none" w:sz="0" w:space="0" w:color="auto"/>
        <w:left w:val="none" w:sz="0" w:space="0" w:color="auto"/>
        <w:bottom w:val="none" w:sz="0" w:space="0" w:color="auto"/>
        <w:right w:val="none" w:sz="0" w:space="0" w:color="auto"/>
      </w:divBdr>
    </w:div>
    <w:div w:id="1389301136">
      <w:bodyDiv w:val="1"/>
      <w:marLeft w:val="0"/>
      <w:marRight w:val="0"/>
      <w:marTop w:val="0"/>
      <w:marBottom w:val="0"/>
      <w:divBdr>
        <w:top w:val="none" w:sz="0" w:space="0" w:color="auto"/>
        <w:left w:val="none" w:sz="0" w:space="0" w:color="auto"/>
        <w:bottom w:val="none" w:sz="0" w:space="0" w:color="auto"/>
        <w:right w:val="none" w:sz="0" w:space="0" w:color="auto"/>
      </w:divBdr>
      <w:divsChild>
        <w:div w:id="839083084">
          <w:marLeft w:val="0"/>
          <w:marRight w:val="0"/>
          <w:marTop w:val="0"/>
          <w:marBottom w:val="0"/>
          <w:divBdr>
            <w:top w:val="none" w:sz="0" w:space="0" w:color="auto"/>
            <w:left w:val="none" w:sz="0" w:space="0" w:color="auto"/>
            <w:bottom w:val="none" w:sz="0" w:space="0" w:color="auto"/>
            <w:right w:val="none" w:sz="0" w:space="0" w:color="auto"/>
          </w:divBdr>
          <w:divsChild>
            <w:div w:id="1892379473">
              <w:marLeft w:val="0"/>
              <w:marRight w:val="0"/>
              <w:marTop w:val="0"/>
              <w:marBottom w:val="0"/>
              <w:divBdr>
                <w:top w:val="none" w:sz="0" w:space="0" w:color="auto"/>
                <w:left w:val="none" w:sz="0" w:space="0" w:color="auto"/>
                <w:bottom w:val="none" w:sz="0" w:space="0" w:color="auto"/>
                <w:right w:val="none" w:sz="0" w:space="0" w:color="auto"/>
              </w:divBdr>
              <w:divsChild>
                <w:div w:id="378013589">
                  <w:marLeft w:val="0"/>
                  <w:marRight w:val="0"/>
                  <w:marTop w:val="0"/>
                  <w:marBottom w:val="0"/>
                  <w:divBdr>
                    <w:top w:val="none" w:sz="0" w:space="0" w:color="auto"/>
                    <w:left w:val="none" w:sz="0" w:space="0" w:color="auto"/>
                    <w:bottom w:val="none" w:sz="0" w:space="0" w:color="auto"/>
                    <w:right w:val="none" w:sz="0" w:space="0" w:color="auto"/>
                  </w:divBdr>
                  <w:divsChild>
                    <w:div w:id="207867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571759">
          <w:marLeft w:val="0"/>
          <w:marRight w:val="0"/>
          <w:marTop w:val="0"/>
          <w:marBottom w:val="0"/>
          <w:divBdr>
            <w:top w:val="none" w:sz="0" w:space="0" w:color="auto"/>
            <w:left w:val="none" w:sz="0" w:space="0" w:color="auto"/>
            <w:bottom w:val="none" w:sz="0" w:space="0" w:color="auto"/>
            <w:right w:val="none" w:sz="0" w:space="0" w:color="auto"/>
          </w:divBdr>
          <w:divsChild>
            <w:div w:id="1609850133">
              <w:marLeft w:val="0"/>
              <w:marRight w:val="0"/>
              <w:marTop w:val="0"/>
              <w:marBottom w:val="0"/>
              <w:divBdr>
                <w:top w:val="none" w:sz="0" w:space="0" w:color="auto"/>
                <w:left w:val="none" w:sz="0" w:space="0" w:color="auto"/>
                <w:bottom w:val="none" w:sz="0" w:space="0" w:color="auto"/>
                <w:right w:val="none" w:sz="0" w:space="0" w:color="auto"/>
              </w:divBdr>
              <w:divsChild>
                <w:div w:id="1751390973">
                  <w:marLeft w:val="0"/>
                  <w:marRight w:val="0"/>
                  <w:marTop w:val="0"/>
                  <w:marBottom w:val="0"/>
                  <w:divBdr>
                    <w:top w:val="none" w:sz="0" w:space="0" w:color="auto"/>
                    <w:left w:val="none" w:sz="0" w:space="0" w:color="auto"/>
                    <w:bottom w:val="none" w:sz="0" w:space="0" w:color="auto"/>
                    <w:right w:val="none" w:sz="0" w:space="0" w:color="auto"/>
                  </w:divBdr>
                  <w:divsChild>
                    <w:div w:id="159215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742456">
          <w:marLeft w:val="0"/>
          <w:marRight w:val="0"/>
          <w:marTop w:val="0"/>
          <w:marBottom w:val="0"/>
          <w:divBdr>
            <w:top w:val="none" w:sz="0" w:space="0" w:color="auto"/>
            <w:left w:val="none" w:sz="0" w:space="0" w:color="auto"/>
            <w:bottom w:val="none" w:sz="0" w:space="0" w:color="auto"/>
            <w:right w:val="none" w:sz="0" w:space="0" w:color="auto"/>
          </w:divBdr>
          <w:divsChild>
            <w:div w:id="2094862432">
              <w:marLeft w:val="0"/>
              <w:marRight w:val="0"/>
              <w:marTop w:val="0"/>
              <w:marBottom w:val="0"/>
              <w:divBdr>
                <w:top w:val="none" w:sz="0" w:space="0" w:color="auto"/>
                <w:left w:val="none" w:sz="0" w:space="0" w:color="auto"/>
                <w:bottom w:val="none" w:sz="0" w:space="0" w:color="auto"/>
                <w:right w:val="none" w:sz="0" w:space="0" w:color="auto"/>
              </w:divBdr>
              <w:divsChild>
                <w:div w:id="417872379">
                  <w:marLeft w:val="0"/>
                  <w:marRight w:val="0"/>
                  <w:marTop w:val="0"/>
                  <w:marBottom w:val="0"/>
                  <w:divBdr>
                    <w:top w:val="none" w:sz="0" w:space="0" w:color="auto"/>
                    <w:left w:val="none" w:sz="0" w:space="0" w:color="auto"/>
                    <w:bottom w:val="none" w:sz="0" w:space="0" w:color="auto"/>
                    <w:right w:val="none" w:sz="0" w:space="0" w:color="auto"/>
                  </w:divBdr>
                  <w:divsChild>
                    <w:div w:id="211015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02043066">
      <w:bodyDiv w:val="1"/>
      <w:marLeft w:val="0"/>
      <w:marRight w:val="0"/>
      <w:marTop w:val="0"/>
      <w:marBottom w:val="0"/>
      <w:divBdr>
        <w:top w:val="none" w:sz="0" w:space="0" w:color="auto"/>
        <w:left w:val="none" w:sz="0" w:space="0" w:color="auto"/>
        <w:bottom w:val="none" w:sz="0" w:space="0" w:color="auto"/>
        <w:right w:val="none" w:sz="0" w:space="0" w:color="auto"/>
      </w:divBdr>
      <w:divsChild>
        <w:div w:id="1021324228">
          <w:marLeft w:val="0"/>
          <w:marRight w:val="0"/>
          <w:marTop w:val="0"/>
          <w:marBottom w:val="0"/>
          <w:divBdr>
            <w:top w:val="none" w:sz="0" w:space="0" w:color="auto"/>
            <w:left w:val="none" w:sz="0" w:space="0" w:color="auto"/>
            <w:bottom w:val="none" w:sz="0" w:space="0" w:color="auto"/>
            <w:right w:val="none" w:sz="0" w:space="0" w:color="auto"/>
          </w:divBdr>
          <w:divsChild>
            <w:div w:id="511846041">
              <w:marLeft w:val="0"/>
              <w:marRight w:val="0"/>
              <w:marTop w:val="0"/>
              <w:marBottom w:val="0"/>
              <w:divBdr>
                <w:top w:val="none" w:sz="0" w:space="0" w:color="auto"/>
                <w:left w:val="none" w:sz="0" w:space="0" w:color="auto"/>
                <w:bottom w:val="none" w:sz="0" w:space="0" w:color="auto"/>
                <w:right w:val="none" w:sz="0" w:space="0" w:color="auto"/>
              </w:divBdr>
              <w:divsChild>
                <w:div w:id="112179914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694381751">
          <w:marLeft w:val="0"/>
          <w:marRight w:val="0"/>
          <w:marTop w:val="0"/>
          <w:marBottom w:val="0"/>
          <w:divBdr>
            <w:top w:val="none" w:sz="0" w:space="0" w:color="auto"/>
            <w:left w:val="none" w:sz="0" w:space="0" w:color="auto"/>
            <w:bottom w:val="none" w:sz="0" w:space="0" w:color="auto"/>
            <w:right w:val="none" w:sz="0" w:space="0" w:color="auto"/>
          </w:divBdr>
          <w:divsChild>
            <w:div w:id="628710052">
              <w:marLeft w:val="0"/>
              <w:marRight w:val="0"/>
              <w:marTop w:val="0"/>
              <w:marBottom w:val="0"/>
              <w:divBdr>
                <w:top w:val="none" w:sz="0" w:space="0" w:color="auto"/>
                <w:left w:val="none" w:sz="0" w:space="0" w:color="auto"/>
                <w:bottom w:val="none" w:sz="0" w:space="0" w:color="auto"/>
                <w:right w:val="none" w:sz="0" w:space="0" w:color="auto"/>
              </w:divBdr>
              <w:divsChild>
                <w:div w:id="51453519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651327673">
          <w:marLeft w:val="0"/>
          <w:marRight w:val="0"/>
          <w:marTop w:val="0"/>
          <w:marBottom w:val="0"/>
          <w:divBdr>
            <w:top w:val="none" w:sz="0" w:space="0" w:color="auto"/>
            <w:left w:val="none" w:sz="0" w:space="0" w:color="auto"/>
            <w:bottom w:val="none" w:sz="0" w:space="0" w:color="auto"/>
            <w:right w:val="none" w:sz="0" w:space="0" w:color="auto"/>
          </w:divBdr>
          <w:divsChild>
            <w:div w:id="917902732">
              <w:marLeft w:val="0"/>
              <w:marRight w:val="0"/>
              <w:marTop w:val="0"/>
              <w:marBottom w:val="0"/>
              <w:divBdr>
                <w:top w:val="none" w:sz="0" w:space="0" w:color="auto"/>
                <w:left w:val="none" w:sz="0" w:space="0" w:color="auto"/>
                <w:bottom w:val="none" w:sz="0" w:space="0" w:color="auto"/>
                <w:right w:val="none" w:sz="0" w:space="0" w:color="auto"/>
              </w:divBdr>
              <w:divsChild>
                <w:div w:id="66763679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10191389">
          <w:marLeft w:val="0"/>
          <w:marRight w:val="0"/>
          <w:marTop w:val="0"/>
          <w:marBottom w:val="0"/>
          <w:divBdr>
            <w:top w:val="none" w:sz="0" w:space="0" w:color="auto"/>
            <w:left w:val="none" w:sz="0" w:space="0" w:color="auto"/>
            <w:bottom w:val="none" w:sz="0" w:space="0" w:color="auto"/>
            <w:right w:val="none" w:sz="0" w:space="0" w:color="auto"/>
          </w:divBdr>
          <w:divsChild>
            <w:div w:id="1169522268">
              <w:marLeft w:val="0"/>
              <w:marRight w:val="0"/>
              <w:marTop w:val="0"/>
              <w:marBottom w:val="0"/>
              <w:divBdr>
                <w:top w:val="none" w:sz="0" w:space="0" w:color="auto"/>
                <w:left w:val="none" w:sz="0" w:space="0" w:color="auto"/>
                <w:bottom w:val="none" w:sz="0" w:space="0" w:color="auto"/>
                <w:right w:val="none" w:sz="0" w:space="0" w:color="auto"/>
              </w:divBdr>
            </w:div>
          </w:divsChild>
        </w:div>
        <w:div w:id="1290017542">
          <w:marLeft w:val="0"/>
          <w:marRight w:val="0"/>
          <w:marTop w:val="0"/>
          <w:marBottom w:val="0"/>
          <w:divBdr>
            <w:top w:val="none" w:sz="0" w:space="0" w:color="auto"/>
            <w:left w:val="none" w:sz="0" w:space="0" w:color="auto"/>
            <w:bottom w:val="none" w:sz="0" w:space="0" w:color="auto"/>
            <w:right w:val="none" w:sz="0" w:space="0" w:color="auto"/>
          </w:divBdr>
          <w:divsChild>
            <w:div w:id="1494029575">
              <w:marLeft w:val="0"/>
              <w:marRight w:val="0"/>
              <w:marTop w:val="0"/>
              <w:marBottom w:val="0"/>
              <w:divBdr>
                <w:top w:val="none" w:sz="0" w:space="0" w:color="auto"/>
                <w:left w:val="none" w:sz="0" w:space="0" w:color="auto"/>
                <w:bottom w:val="none" w:sz="0" w:space="0" w:color="auto"/>
                <w:right w:val="none" w:sz="0" w:space="0" w:color="auto"/>
              </w:divBdr>
              <w:divsChild>
                <w:div w:id="6379872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49964885">
          <w:marLeft w:val="0"/>
          <w:marRight w:val="0"/>
          <w:marTop w:val="0"/>
          <w:marBottom w:val="0"/>
          <w:divBdr>
            <w:top w:val="none" w:sz="0" w:space="0" w:color="auto"/>
            <w:left w:val="none" w:sz="0" w:space="0" w:color="auto"/>
            <w:bottom w:val="none" w:sz="0" w:space="0" w:color="auto"/>
            <w:right w:val="none" w:sz="0" w:space="0" w:color="auto"/>
          </w:divBdr>
          <w:divsChild>
            <w:div w:id="785199571">
              <w:marLeft w:val="0"/>
              <w:marRight w:val="0"/>
              <w:marTop w:val="0"/>
              <w:marBottom w:val="0"/>
              <w:divBdr>
                <w:top w:val="none" w:sz="0" w:space="0" w:color="auto"/>
                <w:left w:val="none" w:sz="0" w:space="0" w:color="auto"/>
                <w:bottom w:val="none" w:sz="0" w:space="0" w:color="auto"/>
                <w:right w:val="none" w:sz="0" w:space="0" w:color="auto"/>
              </w:divBdr>
              <w:divsChild>
                <w:div w:id="749545734">
                  <w:marLeft w:val="-420"/>
                  <w:marRight w:val="0"/>
                  <w:marTop w:val="0"/>
                  <w:marBottom w:val="0"/>
                  <w:divBdr>
                    <w:top w:val="none" w:sz="0" w:space="0" w:color="auto"/>
                    <w:left w:val="none" w:sz="0" w:space="0" w:color="auto"/>
                    <w:bottom w:val="none" w:sz="0" w:space="0" w:color="auto"/>
                    <w:right w:val="none" w:sz="0" w:space="0" w:color="auto"/>
                  </w:divBdr>
                  <w:divsChild>
                    <w:div w:id="1202130285">
                      <w:marLeft w:val="0"/>
                      <w:marRight w:val="0"/>
                      <w:marTop w:val="0"/>
                      <w:marBottom w:val="0"/>
                      <w:divBdr>
                        <w:top w:val="none" w:sz="0" w:space="0" w:color="auto"/>
                        <w:left w:val="none" w:sz="0" w:space="0" w:color="auto"/>
                        <w:bottom w:val="none" w:sz="0" w:space="0" w:color="auto"/>
                        <w:right w:val="none" w:sz="0" w:space="0" w:color="auto"/>
                      </w:divBdr>
                      <w:divsChild>
                        <w:div w:id="862865722">
                          <w:marLeft w:val="0"/>
                          <w:marRight w:val="0"/>
                          <w:marTop w:val="0"/>
                          <w:marBottom w:val="0"/>
                          <w:divBdr>
                            <w:top w:val="none" w:sz="0" w:space="0" w:color="auto"/>
                            <w:left w:val="none" w:sz="0" w:space="0" w:color="auto"/>
                            <w:bottom w:val="none" w:sz="0" w:space="0" w:color="auto"/>
                            <w:right w:val="none" w:sz="0" w:space="0" w:color="auto"/>
                          </w:divBdr>
                          <w:divsChild>
                            <w:div w:id="77749258">
                              <w:marLeft w:val="0"/>
                              <w:marRight w:val="0"/>
                              <w:marTop w:val="0"/>
                              <w:marBottom w:val="0"/>
                              <w:divBdr>
                                <w:top w:val="none" w:sz="0" w:space="0" w:color="auto"/>
                                <w:left w:val="none" w:sz="0" w:space="0" w:color="auto"/>
                                <w:bottom w:val="none" w:sz="0" w:space="0" w:color="auto"/>
                                <w:right w:val="none" w:sz="0" w:space="0" w:color="auto"/>
                              </w:divBdr>
                            </w:div>
                            <w:div w:id="21223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878431">
                  <w:marLeft w:val="-420"/>
                  <w:marRight w:val="0"/>
                  <w:marTop w:val="0"/>
                  <w:marBottom w:val="0"/>
                  <w:divBdr>
                    <w:top w:val="none" w:sz="0" w:space="0" w:color="auto"/>
                    <w:left w:val="none" w:sz="0" w:space="0" w:color="auto"/>
                    <w:bottom w:val="none" w:sz="0" w:space="0" w:color="auto"/>
                    <w:right w:val="none" w:sz="0" w:space="0" w:color="auto"/>
                  </w:divBdr>
                  <w:divsChild>
                    <w:div w:id="1000426383">
                      <w:marLeft w:val="0"/>
                      <w:marRight w:val="0"/>
                      <w:marTop w:val="0"/>
                      <w:marBottom w:val="0"/>
                      <w:divBdr>
                        <w:top w:val="none" w:sz="0" w:space="0" w:color="auto"/>
                        <w:left w:val="none" w:sz="0" w:space="0" w:color="auto"/>
                        <w:bottom w:val="none" w:sz="0" w:space="0" w:color="auto"/>
                        <w:right w:val="none" w:sz="0" w:space="0" w:color="auto"/>
                      </w:divBdr>
                      <w:divsChild>
                        <w:div w:id="1634478718">
                          <w:marLeft w:val="0"/>
                          <w:marRight w:val="0"/>
                          <w:marTop w:val="0"/>
                          <w:marBottom w:val="0"/>
                          <w:divBdr>
                            <w:top w:val="none" w:sz="0" w:space="0" w:color="auto"/>
                            <w:left w:val="none" w:sz="0" w:space="0" w:color="auto"/>
                            <w:bottom w:val="none" w:sz="0" w:space="0" w:color="auto"/>
                            <w:right w:val="none" w:sz="0" w:space="0" w:color="auto"/>
                          </w:divBdr>
                          <w:divsChild>
                            <w:div w:id="1825274554">
                              <w:marLeft w:val="0"/>
                              <w:marRight w:val="0"/>
                              <w:marTop w:val="0"/>
                              <w:marBottom w:val="0"/>
                              <w:divBdr>
                                <w:top w:val="none" w:sz="0" w:space="0" w:color="auto"/>
                                <w:left w:val="none" w:sz="0" w:space="0" w:color="auto"/>
                                <w:bottom w:val="none" w:sz="0" w:space="0" w:color="auto"/>
                                <w:right w:val="none" w:sz="0" w:space="0" w:color="auto"/>
                              </w:divBdr>
                            </w:div>
                            <w:div w:id="131722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2204197">
          <w:marLeft w:val="0"/>
          <w:marRight w:val="0"/>
          <w:marTop w:val="0"/>
          <w:marBottom w:val="0"/>
          <w:divBdr>
            <w:top w:val="none" w:sz="0" w:space="0" w:color="auto"/>
            <w:left w:val="none" w:sz="0" w:space="0" w:color="auto"/>
            <w:bottom w:val="none" w:sz="0" w:space="0" w:color="auto"/>
            <w:right w:val="none" w:sz="0" w:space="0" w:color="auto"/>
          </w:divBdr>
          <w:divsChild>
            <w:div w:id="835076586">
              <w:marLeft w:val="0"/>
              <w:marRight w:val="0"/>
              <w:marTop w:val="0"/>
              <w:marBottom w:val="0"/>
              <w:divBdr>
                <w:top w:val="none" w:sz="0" w:space="0" w:color="auto"/>
                <w:left w:val="none" w:sz="0" w:space="0" w:color="auto"/>
                <w:bottom w:val="none" w:sz="0" w:space="0" w:color="auto"/>
                <w:right w:val="none" w:sz="0" w:space="0" w:color="auto"/>
              </w:divBdr>
              <w:divsChild>
                <w:div w:id="127031145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55676481">
          <w:marLeft w:val="0"/>
          <w:marRight w:val="0"/>
          <w:marTop w:val="0"/>
          <w:marBottom w:val="0"/>
          <w:divBdr>
            <w:top w:val="none" w:sz="0" w:space="0" w:color="auto"/>
            <w:left w:val="none" w:sz="0" w:space="0" w:color="auto"/>
            <w:bottom w:val="none" w:sz="0" w:space="0" w:color="auto"/>
            <w:right w:val="none" w:sz="0" w:space="0" w:color="auto"/>
          </w:divBdr>
          <w:divsChild>
            <w:div w:id="500966856">
              <w:marLeft w:val="0"/>
              <w:marRight w:val="0"/>
              <w:marTop w:val="0"/>
              <w:marBottom w:val="0"/>
              <w:divBdr>
                <w:top w:val="none" w:sz="0" w:space="0" w:color="auto"/>
                <w:left w:val="none" w:sz="0" w:space="0" w:color="auto"/>
                <w:bottom w:val="none" w:sz="0" w:space="0" w:color="auto"/>
                <w:right w:val="none" w:sz="0" w:space="0" w:color="auto"/>
              </w:divBdr>
              <w:divsChild>
                <w:div w:id="15449183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170636418">
          <w:marLeft w:val="0"/>
          <w:marRight w:val="0"/>
          <w:marTop w:val="0"/>
          <w:marBottom w:val="0"/>
          <w:divBdr>
            <w:top w:val="none" w:sz="0" w:space="0" w:color="auto"/>
            <w:left w:val="none" w:sz="0" w:space="0" w:color="auto"/>
            <w:bottom w:val="none" w:sz="0" w:space="0" w:color="auto"/>
            <w:right w:val="none" w:sz="0" w:space="0" w:color="auto"/>
          </w:divBdr>
          <w:divsChild>
            <w:div w:id="816846871">
              <w:marLeft w:val="0"/>
              <w:marRight w:val="0"/>
              <w:marTop w:val="0"/>
              <w:marBottom w:val="0"/>
              <w:divBdr>
                <w:top w:val="none" w:sz="0" w:space="0" w:color="auto"/>
                <w:left w:val="none" w:sz="0" w:space="0" w:color="auto"/>
                <w:bottom w:val="none" w:sz="0" w:space="0" w:color="auto"/>
                <w:right w:val="none" w:sz="0" w:space="0" w:color="auto"/>
              </w:divBdr>
              <w:divsChild>
                <w:div w:id="4052125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82799078">
          <w:marLeft w:val="0"/>
          <w:marRight w:val="0"/>
          <w:marTop w:val="0"/>
          <w:marBottom w:val="0"/>
          <w:divBdr>
            <w:top w:val="none" w:sz="0" w:space="0" w:color="auto"/>
            <w:left w:val="none" w:sz="0" w:space="0" w:color="auto"/>
            <w:bottom w:val="none" w:sz="0" w:space="0" w:color="auto"/>
            <w:right w:val="none" w:sz="0" w:space="0" w:color="auto"/>
          </w:divBdr>
          <w:divsChild>
            <w:div w:id="70432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690930">
      <w:bodyDiv w:val="1"/>
      <w:marLeft w:val="0"/>
      <w:marRight w:val="0"/>
      <w:marTop w:val="0"/>
      <w:marBottom w:val="0"/>
      <w:divBdr>
        <w:top w:val="none" w:sz="0" w:space="0" w:color="auto"/>
        <w:left w:val="none" w:sz="0" w:space="0" w:color="auto"/>
        <w:bottom w:val="none" w:sz="0" w:space="0" w:color="auto"/>
        <w:right w:val="none" w:sz="0" w:space="0" w:color="auto"/>
      </w:divBdr>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settings" Target="settings.xm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C44DC95-A074-465A-AE59-FC0A87B94090}"/>
</file>

<file path=customXml/itemProps3.xml><?xml version="1.0" encoding="utf-8"?>
<ds:datastoreItem xmlns:ds="http://schemas.openxmlformats.org/officeDocument/2006/customXml" ds:itemID="{87FD8BC2-3BB5-4972-B619-319A025ED04B}"/>
</file>

<file path=customXml/itemProps4.xml><?xml version="1.0" encoding="utf-8"?>
<ds:datastoreItem xmlns:ds="http://schemas.openxmlformats.org/officeDocument/2006/customXml" ds:itemID="{53D944DD-05AE-423A-A7CD-FABAF20749D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45</cp:revision>
  <cp:lastPrinted>2025-10-09T17:47:00Z</cp:lastPrinted>
  <dcterms:created xsi:type="dcterms:W3CDTF">2025-07-10T06:06:00Z</dcterms:created>
  <dcterms:modified xsi:type="dcterms:W3CDTF">2026-05-21T14:51:26Z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