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E03EC" w:rsidR="00D12B6B" w:rsidP="009731FA" w:rsidRDefault="00D12B6B" w14:paraId="450BB199" w14:textId="77777777">
      <w:pPr>
        <w:spacing w:after="0" w:line="240" w:lineRule="auto"/>
        <w:jc w:val="center"/>
        <w:rPr>
          <w:rFonts w:ascii="Times New Roman" w:hAnsi="Times New Roman" w:cs="Times New Roman"/>
          <w:b/>
          <w:sz w:val="24"/>
          <w:szCs w:val="24"/>
          <w:lang w:val="es-PE" w:eastAsia="ar-SA"/>
        </w:rPr>
      </w:pPr>
    </w:p>
    <w:p w:rsidRPr="00367CB5" w:rsidR="001E245E" w:rsidP="00367CB5" w:rsidRDefault="00201C0D" w14:paraId="1FF7A1D6" w14:textId="4A84E202">
      <w:pPr>
        <w:spacing w:after="0" w:line="240" w:lineRule="auto"/>
        <w:jc w:val="center"/>
        <w:rPr>
          <w:rFonts w:ascii="Times New Roman" w:hAnsi="Times New Roman" w:cs="Times New Roman"/>
          <w:b/>
          <w:sz w:val="24"/>
          <w:szCs w:val="24"/>
          <w:lang w:val="es-PE" w:eastAsia="ar-SA"/>
        </w:rPr>
      </w:pPr>
      <w:r w:rsidRPr="00CE03EC">
        <w:rPr>
          <w:rFonts w:ascii="Times New Roman" w:hAnsi="Times New Roman" w:cs="Times New Roman"/>
          <w:b/>
          <w:sz w:val="24"/>
          <w:szCs w:val="24"/>
          <w:lang w:val="es-PE" w:eastAsia="ar-SA"/>
        </w:rPr>
        <w:t xml:space="preserve">RESOLUCIÓN </w:t>
      </w:r>
      <w:r w:rsidRPr="00CE03EC" w:rsidR="00D12B6B">
        <w:rPr>
          <w:rFonts w:ascii="Times New Roman" w:hAnsi="Times New Roman" w:cs="Times New Roman"/>
          <w:b/>
          <w:sz w:val="24"/>
          <w:szCs w:val="24"/>
          <w:lang w:val="es-PE" w:eastAsia="ar-SA"/>
        </w:rPr>
        <w:t>N</w:t>
      </w:r>
      <w:r w:rsidRPr="00CE03EC" w:rsidR="009731FA">
        <w:rPr>
          <w:rFonts w:ascii="Times New Roman" w:hAnsi="Times New Roman" w:cs="Times New Roman"/>
          <w:b/>
          <w:sz w:val="24"/>
          <w:szCs w:val="24"/>
          <w:lang w:val="es-PE" w:eastAsia="ar-SA"/>
        </w:rPr>
        <w:t>° 1</w:t>
      </w:r>
      <w:r w:rsidR="0045040D">
        <w:rPr>
          <w:rFonts w:ascii="Times New Roman" w:hAnsi="Times New Roman" w:cs="Times New Roman"/>
          <w:b/>
          <w:sz w:val="24"/>
          <w:szCs w:val="24"/>
          <w:lang w:val="es-PE" w:eastAsia="ar-SA"/>
        </w:rPr>
        <w:t>6</w:t>
      </w:r>
      <w:r w:rsidR="00F71A2A">
        <w:rPr>
          <w:rFonts w:ascii="Times New Roman" w:hAnsi="Times New Roman" w:cs="Times New Roman"/>
          <w:b/>
          <w:sz w:val="24"/>
          <w:szCs w:val="24"/>
          <w:lang w:val="es-PE" w:eastAsia="ar-SA"/>
        </w:rPr>
        <w:t>1</w:t>
      </w:r>
      <w:r w:rsidRPr="00CE03EC" w:rsidR="00AA2AA2">
        <w:rPr>
          <w:rFonts w:ascii="Times New Roman" w:hAnsi="Times New Roman" w:cs="Times New Roman"/>
          <w:b/>
          <w:sz w:val="24"/>
          <w:szCs w:val="24"/>
          <w:lang w:val="es-PE" w:eastAsia="ar-SA"/>
        </w:rPr>
        <w:t>/25</w:t>
      </w:r>
      <w:bookmarkStart w:name="_Hlk198053358" w:id="0"/>
    </w:p>
    <w:p w:rsidRPr="001E245E" w:rsidR="001E245E" w:rsidP="001E245E" w:rsidRDefault="001E245E" w14:paraId="34364F45" w14:textId="616D324E">
      <w:pPr>
        <w:spacing w:after="200" w:line="240" w:lineRule="auto"/>
        <w:jc w:val="both"/>
        <w:rPr>
          <w:rFonts w:ascii="Times New Roman" w:hAnsi="Times New Roman" w:cs="Times New Roman"/>
          <w:b/>
          <w:bCs/>
          <w:sz w:val="24"/>
          <w:szCs w:val="24"/>
          <w:lang w:val="es-PE"/>
        </w:rPr>
      </w:pPr>
      <w:r w:rsidRPr="001E245E">
        <w:rPr>
          <w:rFonts w:ascii="Times New Roman" w:hAnsi="Times New Roman" w:cs="Times New Roman"/>
          <w:b/>
          <w:bCs/>
          <w:sz w:val="24"/>
          <w:szCs w:val="24"/>
          <w:lang w:val="es-PE"/>
        </w:rPr>
        <w:t>Vistos:</w:t>
      </w:r>
    </w:p>
    <w:p w:rsidRPr="001E245E" w:rsidR="001E245E" w:rsidP="001E245E" w:rsidRDefault="001E245E" w14:paraId="6B908E81" w14:textId="0B268773">
      <w:pPr>
        <w:spacing w:after="200" w:line="240" w:lineRule="auto"/>
        <w:jc w:val="both"/>
        <w:rPr>
          <w:rFonts w:ascii="Times New Roman" w:hAnsi="Times New Roman" w:cs="Times New Roman"/>
          <w:sz w:val="24"/>
          <w:szCs w:val="24"/>
          <w:lang w:val="es-ES"/>
        </w:rPr>
      </w:pPr>
      <w:r w:rsidRPr="2CA6E011" w:rsidR="2366145C">
        <w:rPr>
          <w:rFonts w:ascii="Times New Roman" w:hAnsi="Times New Roman" w:cs="Times New Roman"/>
          <w:sz w:val="24"/>
          <w:szCs w:val="24"/>
          <w:lang w:val="es-PE"/>
        </w:rPr>
        <w:t xml:space="preserve">Que, con fecha 26 de mayo de 2025 doña </w:t>
      </w:r>
      <w:r w:rsidRPr="2CA6E011" w:rsidR="3C204D41">
        <w:rPr>
          <w:rFonts w:ascii="Times New Roman" w:hAnsi="Times New Roman" w:cs="Times New Roman"/>
          <w:sz w:val="24"/>
          <w:szCs w:val="24"/>
          <w:lang w:val="es-PE"/>
        </w:rPr>
        <w:t>..........................................................................</w:t>
      </w:r>
      <w:r w:rsidRPr="2CA6E011" w:rsidR="2366145C">
        <w:rPr>
          <w:rFonts w:ascii="Times New Roman" w:hAnsi="Times New Roman" w:cs="Times New Roman"/>
          <w:sz w:val="24"/>
          <w:szCs w:val="24"/>
          <w:lang w:val="es-PE"/>
        </w:rPr>
        <w:t xml:space="preserve"> </w:t>
      </w:r>
      <w:r w:rsidRPr="2CA6E011" w:rsidR="2366145C">
        <w:rPr>
          <w:rFonts w:ascii="Times New Roman" w:hAnsi="Times New Roman" w:cs="Times New Roman"/>
          <w:sz w:val="24"/>
          <w:szCs w:val="24"/>
          <w:lang w:val="es-PE"/>
        </w:rPr>
        <w:t>i</w:t>
      </w:r>
      <w:r w:rsidRPr="2CA6E011" w:rsidR="2366145C">
        <w:rPr>
          <w:rFonts w:ascii="Times New Roman" w:hAnsi="Times New Roman" w:cs="Times New Roman"/>
          <w:sz w:val="24"/>
          <w:szCs w:val="24"/>
          <w:lang w:val="es-PE"/>
        </w:rPr>
        <w:t xml:space="preserve">nterpone reclamación ante esta Defensoría del Asegurado (DEFASEG), solicitando que </w:t>
      </w:r>
      <w:r w:rsidRPr="2CA6E011" w:rsidR="2FB9EC2C">
        <w:rPr>
          <w:rFonts w:ascii="Times New Roman" w:hAnsi="Times New Roman" w:cs="Times New Roman"/>
          <w:sz w:val="24"/>
          <w:szCs w:val="24"/>
          <w:lang w:val="es-PE"/>
        </w:rPr>
        <w:t>...................................</w:t>
      </w:r>
      <w:r w:rsidRPr="2CA6E011" w:rsidR="2366145C">
        <w:rPr>
          <w:rFonts w:ascii="Times New Roman" w:hAnsi="Times New Roman" w:cs="Times New Roman"/>
          <w:sz w:val="24"/>
          <w:szCs w:val="24"/>
          <w:lang w:val="es-ES"/>
        </w:rPr>
        <w:t xml:space="preserve"> le </w:t>
      </w:r>
      <w:r w:rsidRPr="2CA6E011" w:rsidR="2366145C">
        <w:rPr>
          <w:rFonts w:ascii="Times New Roman" w:hAnsi="Times New Roman" w:cs="Times New Roman"/>
          <w:sz w:val="24"/>
          <w:szCs w:val="24"/>
          <w:lang w:val="es-PE"/>
        </w:rPr>
        <w:t xml:space="preserve">otorgue cobertura por hospitalización conforme </w:t>
      </w:r>
      <w:bookmarkStart w:name="OLE_LINK2" w:id="1"/>
      <w:r w:rsidRPr="2CA6E011" w:rsidR="2366145C">
        <w:rPr>
          <w:rFonts w:ascii="Times New Roman" w:hAnsi="Times New Roman" w:cs="Times New Roman"/>
          <w:sz w:val="24"/>
          <w:szCs w:val="24"/>
          <w:lang w:val="es-PE"/>
        </w:rPr>
        <w:t>a la Póliza de Seguro de Renta Hospitalaria, contratada a través del Banco BBVA.</w:t>
      </w:r>
      <w:bookmarkEnd w:id="1"/>
    </w:p>
    <w:p w:rsidRPr="001E245E" w:rsidR="001E245E" w:rsidP="001E245E" w:rsidRDefault="001E245E" w14:paraId="5D9A2CC6" w14:textId="2CD3F3EE">
      <w:pPr>
        <w:spacing w:after="200" w:line="240" w:lineRule="auto"/>
        <w:jc w:val="both"/>
        <w:rPr>
          <w:rFonts w:ascii="Times New Roman" w:hAnsi="Times New Roman" w:cs="Times New Roman"/>
          <w:sz w:val="24"/>
          <w:szCs w:val="24"/>
          <w:lang w:val="es-PE"/>
        </w:rPr>
      </w:pPr>
      <w:r w:rsidRPr="2CA6E011" w:rsidR="7E0FB390">
        <w:rPr>
          <w:rFonts w:ascii="Times New Roman" w:hAnsi="Times New Roman" w:cs="Times New Roman"/>
          <w:sz w:val="24"/>
          <w:szCs w:val="24"/>
          <w:lang w:val="es-PE"/>
        </w:rPr>
        <w:t>s</w:t>
      </w:r>
      <w:r w:rsidRPr="2CA6E011" w:rsidR="2366145C">
        <w:rPr>
          <w:rFonts w:ascii="Times New Roman" w:hAnsi="Times New Roman" w:cs="Times New Roman"/>
          <w:sz w:val="24"/>
          <w:szCs w:val="24"/>
          <w:lang w:val="es-PE"/>
        </w:rPr>
        <w:t>Que</w:t>
      </w:r>
      <w:r w:rsidRPr="2CA6E011" w:rsidR="2366145C">
        <w:rPr>
          <w:rFonts w:ascii="Times New Roman" w:hAnsi="Times New Roman" w:cs="Times New Roman"/>
          <w:sz w:val="24"/>
          <w:szCs w:val="24"/>
          <w:lang w:val="es-PE"/>
        </w:rPr>
        <w:t>, la señalada reclamación cumple con los requisitos de materia, cuantía y oportunidad establecidos en el reglamento de la DEFASEG (http://www.defaseg.com.pe/reglamento);</w:t>
      </w:r>
    </w:p>
    <w:p w:rsidRPr="001E245E" w:rsidR="001E245E" w:rsidP="001E245E" w:rsidRDefault="001E245E" w14:paraId="6D6799CC" w14:textId="123B6D36">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 xml:space="preserve">Que, habiéndosele corrido traslado de la señalada reclamación, la aseguradora solicitó un plazo adicional para presentar sus descargos, los cuales finalmente presenta el </w:t>
      </w:r>
      <w:proofErr w:type="gramStart"/>
      <w:r w:rsidRPr="001E245E">
        <w:rPr>
          <w:rFonts w:ascii="Times New Roman" w:hAnsi="Times New Roman" w:cs="Times New Roman"/>
          <w:sz w:val="24"/>
          <w:szCs w:val="24"/>
          <w:lang w:val="es-PE"/>
        </w:rPr>
        <w:t>24  de</w:t>
      </w:r>
      <w:proofErr w:type="gramEnd"/>
      <w:r w:rsidRPr="001E245E">
        <w:rPr>
          <w:rFonts w:ascii="Times New Roman" w:hAnsi="Times New Roman" w:cs="Times New Roman"/>
          <w:sz w:val="24"/>
          <w:szCs w:val="24"/>
          <w:lang w:val="es-PE"/>
        </w:rPr>
        <w:t xml:space="preserve"> julio de 2025 adjuntado la póliza de seguros, así como el audio a través del cual se realizó la venta telefónica;  </w:t>
      </w:r>
    </w:p>
    <w:p w:rsidRPr="001E245E" w:rsidR="001E245E" w:rsidP="001E245E" w:rsidRDefault="001E245E" w14:paraId="78A613AC" w14:textId="1AB532EF">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Que, el 22 de setiembre de 2025 se realizó la audiencia virtual de vista con la participación de ambas partes, quienes sustentaron sus respectivas posiciones respecto de la reclamación, absolviendo las diversas preguntas formuladas por este colegiado, conforme consta de la correspondiente acta;</w:t>
      </w:r>
    </w:p>
    <w:p w:rsidRPr="001E245E" w:rsidR="001E245E" w:rsidP="001E245E" w:rsidRDefault="001E245E" w14:paraId="3B1041A7" w14:textId="524D474D">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 xml:space="preserve">Que, la reclamación interpuesta se sustenta resumidamente en los hechos y fundamentos siguientes: a) La mielitis transversa aguda es una inflamación de la médula espinal, no es una enfermedad, es una condición, que la generan varias enfermedades como lupus, VIH, tuberculosis, enfermedades autoinmunes, </w:t>
      </w:r>
      <w:proofErr w:type="spellStart"/>
      <w:r w:rsidRPr="001E245E">
        <w:rPr>
          <w:rFonts w:ascii="Times New Roman" w:hAnsi="Times New Roman" w:cs="Times New Roman"/>
          <w:sz w:val="24"/>
          <w:szCs w:val="24"/>
          <w:lang w:val="es-PE"/>
        </w:rPr>
        <w:t>covid</w:t>
      </w:r>
      <w:proofErr w:type="spellEnd"/>
      <w:r w:rsidRPr="001E245E">
        <w:rPr>
          <w:rFonts w:ascii="Times New Roman" w:hAnsi="Times New Roman" w:cs="Times New Roman"/>
          <w:sz w:val="24"/>
          <w:szCs w:val="24"/>
          <w:lang w:val="es-PE"/>
        </w:rPr>
        <w:t xml:space="preserve">, etc.; b) esta condición está cerrada porque cuando la hospitalizaron en el 2018 en el Hospital Carrión le realizaron exámenes de todo tipo buscando la causa, pero todas las enfermedades que causan esa condición salieron negativas, y concluyeron que era la numero 6 en todo el mundo que da esa condición sin un por qué y cerraron su caso porque no había enfermedad que tratar; c) para mejorar su movilidad en miembros inferiores solo le indicaron terapia física; d) gestionó durante 2 años que la aceptaran en el INR, pero por pandemia no pudo cumplir con los objetivos de especialistas en lesiones medulares, y a todos abruptamente les dieron de alta; e) es una persona totalmente sana y ello se indica en los exámenes que se repitieron en el INR porque el neurólogo insistía que en el 2018 pudo haber un falso negativo porque era raro que tuviera esa condición sin una enfermedad de por medio; y al repetir los exámenes salió negativo nuevamente a alguna enfermedad; f) le han rechazado la cobertura por enfermedad preexistente antes de contratar el seguro, pero no tiene enfermedad alguna sino una condición (mielitis transversa aguda) que la dejó incapacitada de poder caminar y su internamiento no fue para tratar la mielitis transversa aguda, fue para terapias física psicológica ocupacional para poder ser más independiente; g) se pregunta si no es discriminación hacia personas con discapacidad negarles su derecho a mejorar su condición de vida y negarles su derecho a su póliza cuando estuvo pagando por más de un año; era una persona sana porque no tenía enfermedad sino esa condición y con esa información brindada se le vendió el seguro, solicita que busquen la llamada, pues no se ha internado por una enfermedad preexistente, se ha internada para rehabilitación; h) no se le puede negar la cobertura por rehabilitación ya que no se ha internado para tratar la mielitis porque no existe tratamiento para eso, ingresó al INR para mejorar su discapacidad  y por ende no hay reincidencia de nada; solicita el pago de la cobertura de hospitalización por los 60 días que estuvo internada. </w:t>
      </w:r>
      <w:proofErr w:type="gramStart"/>
      <w:r w:rsidRPr="001E245E">
        <w:rPr>
          <w:rFonts w:ascii="Times New Roman" w:hAnsi="Times New Roman" w:cs="Times New Roman"/>
          <w:sz w:val="24"/>
          <w:szCs w:val="24"/>
          <w:lang w:val="es-PE"/>
        </w:rPr>
        <w:t>Asimismo</w:t>
      </w:r>
      <w:proofErr w:type="gramEnd"/>
      <w:r w:rsidRPr="001E245E">
        <w:rPr>
          <w:rFonts w:ascii="Times New Roman" w:hAnsi="Times New Roman" w:cs="Times New Roman"/>
          <w:sz w:val="24"/>
          <w:szCs w:val="24"/>
          <w:lang w:val="es-PE"/>
        </w:rPr>
        <w:t xml:space="preserve"> en la audiencia de vista indicó que se internó debido a una caída.</w:t>
      </w:r>
    </w:p>
    <w:p w:rsidRPr="001E245E" w:rsidR="001E245E" w:rsidP="001E245E" w:rsidRDefault="001E245E" w14:paraId="723C7FED" w14:textId="7A523281">
      <w:pPr>
        <w:spacing w:after="200" w:line="240" w:lineRule="auto"/>
        <w:jc w:val="both"/>
        <w:rPr>
          <w:rFonts w:ascii="Times New Roman" w:hAnsi="Times New Roman" w:cs="Times New Roman"/>
          <w:sz w:val="24"/>
          <w:szCs w:val="24"/>
          <w:lang w:val="es-PE"/>
        </w:rPr>
      </w:pPr>
      <w:r w:rsidRPr="2CA6E011" w:rsidR="2366145C">
        <w:rPr>
          <w:rFonts w:ascii="Times New Roman" w:hAnsi="Times New Roman" w:cs="Times New Roman"/>
          <w:sz w:val="24"/>
          <w:szCs w:val="24"/>
          <w:lang w:val="es-PE"/>
        </w:rPr>
        <w:t xml:space="preserve">Que, por su parte, </w:t>
      </w:r>
      <w:r w:rsidRPr="2CA6E011" w:rsidR="2FB9EC2C">
        <w:rPr>
          <w:rFonts w:ascii="Times New Roman" w:hAnsi="Times New Roman" w:cs="Times New Roman"/>
          <w:sz w:val="24"/>
          <w:szCs w:val="24"/>
          <w:lang w:val="es-PE"/>
        </w:rPr>
        <w:t>...................................</w:t>
      </w:r>
      <w:r w:rsidRPr="2CA6E011" w:rsidR="2366145C">
        <w:rPr>
          <w:rFonts w:ascii="Times New Roman" w:hAnsi="Times New Roman" w:cs="Times New Roman"/>
          <w:sz w:val="24"/>
          <w:szCs w:val="24"/>
          <w:lang w:val="es-PE"/>
        </w:rPr>
        <w:t xml:space="preserve"> solicita en sus descargos que la reclamación sea desestimada, atendiendo resumidamente a lo siguiente: a) la </w:t>
      </w:r>
      <w:r w:rsidRPr="2CA6E011" w:rsidR="2366145C">
        <w:rPr>
          <w:rFonts w:ascii="Times New Roman" w:hAnsi="Times New Roman" w:cs="Times New Roman"/>
          <w:sz w:val="24"/>
          <w:szCs w:val="24"/>
          <w:lang w:val="es-PE"/>
        </w:rPr>
        <w:t>Sra</w:t>
      </w:r>
      <w:r w:rsidRPr="2CA6E011" w:rsidR="2366145C">
        <w:rPr>
          <w:rFonts w:ascii="Times New Roman" w:hAnsi="Times New Roman" w:cs="Times New Roman"/>
          <w:sz w:val="24"/>
          <w:szCs w:val="24"/>
          <w:lang w:val="es-PE"/>
        </w:rPr>
        <w:t xml:space="preserve"> </w:t>
      </w:r>
      <w:r w:rsidRPr="2CA6E011" w:rsidR="38C9F3AE">
        <w:rPr>
          <w:rFonts w:ascii="Times New Roman" w:hAnsi="Times New Roman" w:cs="Times New Roman"/>
          <w:sz w:val="24"/>
          <w:szCs w:val="24"/>
          <w:lang w:val="es-PE"/>
        </w:rPr>
        <w:t>...............</w:t>
      </w:r>
      <w:r w:rsidRPr="2CA6E011" w:rsidR="2366145C">
        <w:rPr>
          <w:rFonts w:ascii="Times New Roman" w:hAnsi="Times New Roman" w:cs="Times New Roman"/>
          <w:sz w:val="24"/>
          <w:szCs w:val="24"/>
          <w:lang w:val="es-PE"/>
        </w:rPr>
        <w:t xml:space="preserve"> fue incorporada en calidad de asegurada al contrato de seguro renta hospitalaria BBVA el 07 de mayo de 2024, la adquisición fue realizada por venta telefónica, adjuntan el audio de la llamada; b) con fecha 12 de febrero de 2025 la reclamante ingresó al departamento de investigación, docencia y rehabilitación por el diagnóstico de mielitis transversa aguda, del cual venía siendo tratada desde el año 2018; c) en atención a dicho suceso el 20 de mayo de 2025 la reclamante solicita la activación del seguro renta hospitalaria; d) han rechazado la cobertura ya que lo solicitado atendía a un diagnóstico realizado antes de la fecha de inicio de vigencia, por lo cual se considera un evento preexistente excluido de la cobertura de seguro; e) el diagnóstico consta en la historia clínica, particularmente en la epicrisis emitida por el Instituto Nacional de Rehabilitación del Ministerio de Salud que da cuenta de las fechas de atención y diagnóstico previo; la mielitis transversa es una inflamación (condición médica) de ambos lados de una sección de la médula espinal, este trastorno neurológico a menudo daña el material aislante que cubre las fibras de las células nerviosas (mielina), interrumpiendo los mensajes que los nervios de la médula envían a todo el cuerpo, esto puede causar dolor, debilidad muscular, parálisis, problemas sensoriales o disfunción de la vejiga y el intestino;  f) brindaron toda la información relevante al contratar el seguro mencionando incluso que las enfermedades o diagnósticos preexistentes no encuentran cobertura alguna en la póliza, por ser exclusiones informadas; g) siendo que la mielitis fue diagnostica en el 2018 y la póliza fue contratada en el 2024, es claro que estamos ante una evento preexistente excluido del seguro;  por lo que solicitan declarar infundado el reclamo.</w:t>
      </w:r>
    </w:p>
    <w:p w:rsidRPr="001E245E" w:rsidR="001E245E" w:rsidP="001E245E" w:rsidRDefault="001E245E" w14:paraId="4B034D2F" w14:textId="731AF5C0">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b/>
          <w:bCs/>
          <w:sz w:val="24"/>
          <w:szCs w:val="24"/>
          <w:lang w:val="es-PE"/>
        </w:rPr>
        <w:t>Considerando:</w:t>
      </w:r>
    </w:p>
    <w:p w:rsidRPr="001E245E" w:rsidR="001E245E" w:rsidP="001E245E" w:rsidRDefault="001E245E" w14:paraId="30CE67DC" w14:textId="6D1BA82C">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b/>
          <w:sz w:val="24"/>
          <w:szCs w:val="24"/>
          <w:u w:val="single"/>
          <w:lang w:val="es-PE"/>
        </w:rPr>
        <w:t>Primero</w:t>
      </w:r>
      <w:r w:rsidRPr="001E245E">
        <w:rPr>
          <w:rFonts w:ascii="Times New Roman" w:hAnsi="Times New Roman" w:cs="Times New Roman"/>
          <w:b/>
          <w:sz w:val="24"/>
          <w:szCs w:val="24"/>
          <w:lang w:val="es-PE"/>
        </w:rPr>
        <w:t xml:space="preserve">: </w:t>
      </w:r>
      <w:r w:rsidRPr="001E245E">
        <w:rPr>
          <w:rFonts w:ascii="Times New Roman" w:hAnsi="Times New Roman" w:cs="Times New Roman"/>
          <w:sz w:val="24"/>
          <w:szCs w:val="24"/>
          <w:lang w:val="es-PE"/>
        </w:rPr>
        <w:t>Conforme a su reglamento, la</w:t>
      </w:r>
      <w:r w:rsidRPr="001E245E">
        <w:rPr>
          <w:rFonts w:ascii="Times New Roman" w:hAnsi="Times New Roman" w:cs="Times New Roman"/>
          <w:b/>
          <w:bCs/>
          <w:sz w:val="24"/>
          <w:szCs w:val="24"/>
          <w:lang w:val="es-PE"/>
        </w:rPr>
        <w:t xml:space="preserve"> </w:t>
      </w:r>
      <w:r w:rsidRPr="001E245E">
        <w:rPr>
          <w:rFonts w:ascii="Times New Roman" w:hAnsi="Times New Roman" w:cs="Times New Roman"/>
          <w:sz w:val="24"/>
          <w:szCs w:val="24"/>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1E245E" w:rsidR="001E245E" w:rsidP="001E245E" w:rsidRDefault="001E245E" w14:paraId="79731F50" w14:textId="77777777">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b/>
          <w:bCs/>
          <w:sz w:val="24"/>
          <w:szCs w:val="24"/>
          <w:u w:val="single"/>
          <w:lang w:val="es-PE"/>
        </w:rPr>
        <w:t>Segundo</w:t>
      </w:r>
      <w:r w:rsidRPr="001E245E">
        <w:rPr>
          <w:rFonts w:ascii="Times New Roman" w:hAnsi="Times New Roman" w:cs="Times New Roman"/>
          <w:b/>
          <w:bCs/>
          <w:sz w:val="24"/>
          <w:szCs w:val="24"/>
          <w:lang w:val="es-PE"/>
        </w:rPr>
        <w:t xml:space="preserve">: </w:t>
      </w:r>
      <w:r w:rsidRPr="001E245E">
        <w:rPr>
          <w:rFonts w:ascii="Times New Roman" w:hAnsi="Times New Roman" w:cs="Times New Roman"/>
          <w:sz w:val="24"/>
          <w:szCs w:val="24"/>
          <w:lang w:val="es-PE"/>
        </w:rPr>
        <w:t>Asimismo, de acuerdo con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1E245E" w:rsidR="001E245E" w:rsidP="001E245E" w:rsidRDefault="001E245E" w14:paraId="1F8FAA07" w14:textId="77777777">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Conforme a la señalada competencia, esta Defensoría destaca que, cualquier reclamación relativa a las actuaciones de la aseguradora, sus funcionarios y personal, así como de los terceros que la misma se valga, y que corresponden a lo que se califica como idoneidad de servicio, deben ser sometidas a conocimiento de las autoridades o entidades competentes, dado que la DEFASEG carece reglamentariamente de competencia para su conocimiento y resolución.</w:t>
      </w:r>
    </w:p>
    <w:p w:rsidRPr="001E245E" w:rsidR="001E245E" w:rsidP="001E245E" w:rsidRDefault="001E245E" w14:paraId="657A8397" w14:textId="77777777">
      <w:pPr>
        <w:spacing w:after="200" w:line="240" w:lineRule="auto"/>
        <w:jc w:val="both"/>
        <w:rPr>
          <w:rFonts w:ascii="Times New Roman" w:hAnsi="Times New Roman" w:cs="Times New Roman"/>
          <w:bCs/>
          <w:sz w:val="24"/>
          <w:szCs w:val="24"/>
          <w:lang w:val="es-PE"/>
        </w:rPr>
      </w:pPr>
    </w:p>
    <w:p w:rsidRPr="001E245E" w:rsidR="001E245E" w:rsidP="001E245E" w:rsidRDefault="001E245E" w14:paraId="1B840382" w14:textId="27E3B22C">
      <w:pPr>
        <w:spacing w:after="200" w:line="240" w:lineRule="auto"/>
        <w:jc w:val="both"/>
        <w:rPr>
          <w:rFonts w:ascii="Times New Roman" w:hAnsi="Times New Roman" w:cs="Times New Roman"/>
          <w:sz w:val="24"/>
          <w:szCs w:val="24"/>
          <w:lang w:val="es-ES"/>
        </w:rPr>
      </w:pPr>
      <w:r w:rsidRPr="001E245E">
        <w:rPr>
          <w:rFonts w:ascii="Times New Roman" w:hAnsi="Times New Roman" w:cs="Times New Roman"/>
          <w:b/>
          <w:bCs/>
          <w:sz w:val="24"/>
          <w:szCs w:val="24"/>
          <w:u w:val="single"/>
          <w:lang w:val="es-PE"/>
        </w:rPr>
        <w:lastRenderedPageBreak/>
        <w:t>Tercero</w:t>
      </w:r>
      <w:r w:rsidRPr="001E245E">
        <w:rPr>
          <w:rFonts w:ascii="Times New Roman" w:hAnsi="Times New Roman" w:cs="Times New Roman"/>
          <w:b/>
          <w:bCs/>
          <w:sz w:val="24"/>
          <w:szCs w:val="24"/>
          <w:lang w:val="es-PE"/>
        </w:rPr>
        <w:t>:</w:t>
      </w:r>
      <w:r w:rsidRPr="001E245E">
        <w:rPr>
          <w:rFonts w:ascii="Times New Roman" w:hAnsi="Times New Roman" w:cs="Times New Roman"/>
          <w:sz w:val="24"/>
          <w:szCs w:val="24"/>
          <w:lang w:val="es-PE"/>
        </w:rPr>
        <w:t xml:space="preserve"> De acuerdo a la Ley Nro. </w:t>
      </w:r>
      <w:r w:rsidRPr="001E245E">
        <w:rPr>
          <w:rFonts w:ascii="Times New Roman" w:hAnsi="Times New Roman" w:cs="Times New Roman"/>
          <w:sz w:val="24"/>
          <w:szCs w:val="24"/>
          <w:lang w:val="es-ES"/>
        </w:rPr>
        <w:t xml:space="preserve">29946 – Ley del Contrato de Seguro, norma legal vigente con ocasión de la celebración del contrato al cual se contrae el presente caso, </w:t>
      </w:r>
      <w:r w:rsidRPr="001E245E">
        <w:rPr>
          <w:rFonts w:ascii="Times New Roman" w:hAnsi="Times New Roman" w:cs="Times New Roman"/>
          <w:sz w:val="24"/>
          <w:szCs w:val="24"/>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E245E" w:rsidR="001E245E" w:rsidP="001E245E" w:rsidRDefault="001E245E" w14:paraId="09FA2288" w14:textId="5B43646A">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b/>
          <w:sz w:val="24"/>
          <w:szCs w:val="24"/>
          <w:u w:val="single"/>
          <w:lang w:val="es-PE"/>
        </w:rPr>
        <w:t>Cuarto</w:t>
      </w:r>
      <w:r w:rsidRPr="001E245E">
        <w:rPr>
          <w:rFonts w:ascii="Times New Roman" w:hAnsi="Times New Roman" w:cs="Times New Roman"/>
          <w:b/>
          <w:sz w:val="24"/>
          <w:szCs w:val="24"/>
          <w:lang w:val="es-PE"/>
        </w:rPr>
        <w:t>:</w:t>
      </w:r>
      <w:r w:rsidRPr="001E245E">
        <w:rPr>
          <w:rFonts w:ascii="Times New Roman" w:hAnsi="Times New Roman" w:cs="Times New Roman"/>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E245E" w:rsidR="001E245E" w:rsidP="001E245E" w:rsidRDefault="001E245E" w14:paraId="3FBA8DFA" w14:textId="2976DA15">
      <w:pPr>
        <w:spacing w:after="200" w:line="240" w:lineRule="auto"/>
        <w:jc w:val="both"/>
        <w:rPr>
          <w:rFonts w:ascii="Times New Roman" w:hAnsi="Times New Roman" w:cs="Times New Roman"/>
          <w:sz w:val="24"/>
          <w:szCs w:val="24"/>
          <w:lang w:val="es-ES"/>
        </w:rPr>
      </w:pPr>
      <w:r w:rsidRPr="001E245E">
        <w:rPr>
          <w:rFonts w:ascii="Times New Roman" w:hAnsi="Times New Roman" w:cs="Times New Roman"/>
          <w:b/>
          <w:bCs/>
          <w:sz w:val="24"/>
          <w:szCs w:val="24"/>
          <w:u w:val="single"/>
          <w:lang w:val="es-PE"/>
        </w:rPr>
        <w:t>Quinto</w:t>
      </w:r>
      <w:r w:rsidRPr="001E245E">
        <w:rPr>
          <w:rFonts w:ascii="Times New Roman" w:hAnsi="Times New Roman" w:cs="Times New Roman"/>
          <w:b/>
          <w:bCs/>
          <w:sz w:val="24"/>
          <w:szCs w:val="24"/>
          <w:lang w:val="es-PE"/>
        </w:rPr>
        <w:t xml:space="preserve">: </w:t>
      </w:r>
      <w:r w:rsidRPr="001E245E">
        <w:rPr>
          <w:rFonts w:ascii="Times New Roman" w:hAnsi="Times New Roman" w:cs="Times New Roman"/>
          <w:sz w:val="24"/>
          <w:szCs w:val="24"/>
          <w:lang w:val="es-PE"/>
        </w:rPr>
        <w:t>Conforme a un elemental criterio jurídico, recogido en el</w:t>
      </w:r>
      <w:r w:rsidRPr="001E245E">
        <w:rPr>
          <w:rFonts w:ascii="Times New Roman" w:hAnsi="Times New Roman" w:cs="Times New Roman"/>
          <w:b/>
          <w:bCs/>
          <w:sz w:val="24"/>
          <w:szCs w:val="24"/>
          <w:lang w:val="es-PE"/>
        </w:rPr>
        <w:t xml:space="preserve"> </w:t>
      </w:r>
      <w:r w:rsidRPr="001E245E">
        <w:rPr>
          <w:rFonts w:ascii="Times New Roman" w:hAnsi="Times New Roman" w:cs="Times New Roman"/>
          <w:sz w:val="24"/>
          <w:szCs w:val="24"/>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rsidRPr="001E245E" w:rsidR="001E245E" w:rsidP="001E245E" w:rsidRDefault="001E245E" w14:paraId="6C269B52" w14:textId="3AD88456">
      <w:pPr>
        <w:spacing w:after="200" w:line="240" w:lineRule="auto"/>
        <w:jc w:val="both"/>
        <w:rPr>
          <w:rFonts w:ascii="Times New Roman" w:hAnsi="Times New Roman" w:cs="Times New Roman"/>
          <w:sz w:val="24"/>
          <w:szCs w:val="24"/>
          <w:lang w:val="es-PE"/>
        </w:rPr>
      </w:pPr>
      <w:bookmarkStart w:name="_Hlk54023627" w:id="2"/>
      <w:r w:rsidRPr="2CA6E011" w:rsidR="2366145C">
        <w:rPr>
          <w:rFonts w:ascii="Times New Roman" w:hAnsi="Times New Roman" w:cs="Times New Roman"/>
          <w:b w:val="1"/>
          <w:bCs w:val="1"/>
          <w:sz w:val="24"/>
          <w:szCs w:val="24"/>
          <w:u w:val="single"/>
          <w:lang w:val="es-ES"/>
        </w:rPr>
        <w:t>Sexto</w:t>
      </w:r>
      <w:r w:rsidRPr="2CA6E011" w:rsidR="2366145C">
        <w:rPr>
          <w:rFonts w:ascii="Times New Roman" w:hAnsi="Times New Roman" w:cs="Times New Roman"/>
          <w:b w:val="1"/>
          <w:bCs w:val="1"/>
          <w:sz w:val="24"/>
          <w:szCs w:val="24"/>
          <w:lang w:val="es-ES"/>
        </w:rPr>
        <w:t>:</w:t>
      </w:r>
      <w:r w:rsidRPr="2CA6E011" w:rsidR="2366145C">
        <w:rPr>
          <w:rFonts w:ascii="Times New Roman" w:hAnsi="Times New Roman" w:cs="Times New Roman"/>
          <w:b w:val="1"/>
          <w:bCs w:val="1"/>
          <w:sz w:val="24"/>
          <w:szCs w:val="24"/>
          <w:lang w:val="es-PE"/>
        </w:rPr>
        <w:t xml:space="preserve"> </w:t>
      </w:r>
      <w:r w:rsidRPr="2CA6E011" w:rsidR="2366145C">
        <w:rPr>
          <w:rFonts w:ascii="Times New Roman" w:hAnsi="Times New Roman" w:cs="Times New Roman"/>
          <w:sz w:val="24"/>
          <w:szCs w:val="24"/>
          <w:lang w:val="es-PE"/>
        </w:rPr>
        <w:t xml:space="preserve">Sobre la base de los términos contenidos en la reclamación y en la absolución de </w:t>
      </w:r>
      <w:r w:rsidRPr="2CA6E011" w:rsidR="2366145C">
        <w:rPr>
          <w:rFonts w:ascii="Times New Roman" w:hAnsi="Times New Roman" w:cs="Times New Roman"/>
          <w:sz w:val="24"/>
          <w:szCs w:val="24"/>
          <w:lang w:val="es-PE"/>
        </w:rPr>
        <w:t xml:space="preserve">la </w:t>
      </w:r>
      <w:bookmarkEnd w:id="2"/>
      <w:r w:rsidRPr="2CA6E011" w:rsidR="2366145C">
        <w:rPr>
          <w:rFonts w:ascii="Times New Roman" w:hAnsi="Times New Roman" w:cs="Times New Roman"/>
          <w:sz w:val="24"/>
          <w:szCs w:val="24"/>
          <w:lang w:val="es-PE"/>
        </w:rPr>
        <w:t>misma</w:t>
      </w:r>
      <w:r w:rsidRPr="2CA6E011" w:rsidR="2366145C">
        <w:rPr>
          <w:rFonts w:ascii="Times New Roman" w:hAnsi="Times New Roman" w:cs="Times New Roman"/>
          <w:sz w:val="24"/>
          <w:szCs w:val="24"/>
          <w:lang w:val="es-PE"/>
        </w:rPr>
        <w:t xml:space="preserve">, la cuestión controvertida radica en determinar si el rechazo de cobertura comunicado por </w:t>
      </w:r>
      <w:r w:rsidRPr="2CA6E011" w:rsidR="2FB9EC2C">
        <w:rPr>
          <w:rFonts w:ascii="Times New Roman" w:hAnsi="Times New Roman" w:cs="Times New Roman"/>
          <w:sz w:val="24"/>
          <w:szCs w:val="24"/>
          <w:lang w:val="es-PE"/>
        </w:rPr>
        <w:t>...................................</w:t>
      </w:r>
      <w:r w:rsidRPr="2CA6E011" w:rsidR="2366145C">
        <w:rPr>
          <w:rFonts w:ascii="Times New Roman" w:hAnsi="Times New Roman" w:cs="Times New Roman"/>
          <w:sz w:val="24"/>
          <w:szCs w:val="24"/>
          <w:lang w:val="es-PE"/>
        </w:rPr>
        <w:t xml:space="preserve"> es legítimo o no.  Dicho rechazo se sustenta en que la hospitalización se produce por el diagnóstico de “otras enfermedades de la médula espinal, mielitis transversa”, siendo que antes de la contratación de la póliza la asegurada ya presentaba dicho diagnóstico, por lo que el evento se encuentra excluido de cobertura de seguro por preexistencia, conforme a lo establecido en la póliza.</w:t>
      </w:r>
    </w:p>
    <w:p w:rsidRPr="001E245E" w:rsidR="001E245E" w:rsidP="001E245E" w:rsidRDefault="001E245E" w14:paraId="427BAB17" w14:textId="123032BF">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 xml:space="preserve">A </w:t>
      </w:r>
      <w:proofErr w:type="gramStart"/>
      <w:r w:rsidRPr="001E245E">
        <w:rPr>
          <w:rFonts w:ascii="Times New Roman" w:hAnsi="Times New Roman" w:cs="Times New Roman"/>
          <w:sz w:val="24"/>
          <w:szCs w:val="24"/>
          <w:lang w:val="es-PE"/>
        </w:rPr>
        <w:t>continuación</w:t>
      </w:r>
      <w:proofErr w:type="gramEnd"/>
      <w:r w:rsidRPr="001E245E">
        <w:rPr>
          <w:rFonts w:ascii="Times New Roman" w:hAnsi="Times New Roman" w:cs="Times New Roman"/>
          <w:sz w:val="24"/>
          <w:szCs w:val="24"/>
          <w:lang w:val="es-PE"/>
        </w:rPr>
        <w:t xml:space="preserve"> se copia parte pertinente de la carta de rechazo de fecha 22 de mayo de 2025, presentada por la aseguradora:</w:t>
      </w:r>
    </w:p>
    <w:p w:rsidR="167B65A5" w:rsidP="2CA6E011" w:rsidRDefault="167B65A5" w14:paraId="0A47E6FF" w14:textId="2BA43DCF">
      <w:pPr>
        <w:spacing w:after="200" w:line="240" w:lineRule="auto"/>
        <w:jc w:val="both"/>
      </w:pPr>
      <w:r w:rsidR="167B65A5">
        <w:rPr/>
        <w:t>........................................................................................................................................................</w:t>
      </w:r>
    </w:p>
    <w:p w:rsidRPr="001E245E" w:rsidR="001E245E" w:rsidP="001E245E" w:rsidRDefault="001E245E" w14:paraId="51128791" w14:textId="59693600">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lastRenderedPageBreak/>
        <w:t>A efectos de analizar la legitimidad del rechazo, se analizará primero la oponibilidad de la exclusión, y en segundo lugar si la misma se encuentra configurada.</w:t>
      </w:r>
    </w:p>
    <w:p w:rsidRPr="001E245E" w:rsidR="001E245E" w:rsidP="001E245E" w:rsidRDefault="001E245E" w14:paraId="29BF3B85" w14:textId="6CA03B9A">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 xml:space="preserve">Las exclusiones corresponden a una delimitación del riesgo en términos negativos, esto es, a que en determinadas situaciones o circunstancias no corresponde otorgar cobertura, por lo que no se configura un siniestro indemnizable.  </w:t>
      </w:r>
    </w:p>
    <w:p w:rsidRPr="001E245E" w:rsidR="001E245E" w:rsidP="001E245E" w:rsidRDefault="001E245E" w14:paraId="4B6EAD16" w14:textId="278D3A92">
      <w:pPr>
        <w:spacing w:after="200" w:line="240" w:lineRule="auto"/>
        <w:jc w:val="both"/>
        <w:rPr>
          <w:rFonts w:ascii="Times New Roman" w:hAnsi="Times New Roman" w:cs="Times New Roman"/>
          <w:b/>
          <w:bCs/>
          <w:i/>
          <w:iCs/>
          <w:sz w:val="24"/>
          <w:szCs w:val="24"/>
          <w:lang w:val="es-PE"/>
        </w:rPr>
      </w:pPr>
      <w:r w:rsidRPr="001E245E">
        <w:rPr>
          <w:rFonts w:ascii="Times New Roman" w:hAnsi="Times New Roman" w:cs="Times New Roman"/>
          <w:b/>
          <w:bCs/>
          <w:i/>
          <w:iCs/>
          <w:sz w:val="24"/>
          <w:szCs w:val="24"/>
          <w:lang w:val="es-PE"/>
        </w:rPr>
        <w:t>6.1. Oponibilidad de la exclusión:</w:t>
      </w:r>
    </w:p>
    <w:p w:rsidRPr="001E245E" w:rsidR="001E245E" w:rsidP="001E245E" w:rsidRDefault="001E245E" w14:paraId="58EA7A41" w14:textId="41E2DF3B">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Tratándose del rechazo por exclusiones de cobertura, como bien es sabido, esta Defensoría aplica un criterio uniforme, siguiendo el criterio derivado de diversos precedentes sostenidos en el tiempo, en el sentido que su eficacia está subordinada que el correspondiente pacto contractual sea de efectivo conocimiento del asegurado, de manera que se pueda aplicar ante el correspondiente supuesto de hecho.  De allí que requiera verificarse: (i) si la póliza contiene la exclusión, (</w:t>
      </w:r>
      <w:proofErr w:type="spellStart"/>
      <w:r w:rsidRPr="001E245E">
        <w:rPr>
          <w:rFonts w:ascii="Times New Roman" w:hAnsi="Times New Roman" w:cs="Times New Roman"/>
          <w:sz w:val="24"/>
          <w:szCs w:val="24"/>
          <w:lang w:val="es-PE"/>
        </w:rPr>
        <w:t>ii</w:t>
      </w:r>
      <w:proofErr w:type="spellEnd"/>
      <w:r w:rsidRPr="001E245E">
        <w:rPr>
          <w:rFonts w:ascii="Times New Roman" w:hAnsi="Times New Roman" w:cs="Times New Roman"/>
          <w:sz w:val="24"/>
          <w:szCs w:val="24"/>
          <w:lang w:val="es-PE"/>
        </w:rPr>
        <w:t>) si dicha exclusión fue oportuna, adecuada y suficientemente informada al asegurado, y (</w:t>
      </w:r>
      <w:proofErr w:type="spellStart"/>
      <w:r w:rsidRPr="001E245E">
        <w:rPr>
          <w:rFonts w:ascii="Times New Roman" w:hAnsi="Times New Roman" w:cs="Times New Roman"/>
          <w:sz w:val="24"/>
          <w:szCs w:val="24"/>
          <w:lang w:val="es-PE"/>
        </w:rPr>
        <w:t>iii</w:t>
      </w:r>
      <w:proofErr w:type="spellEnd"/>
      <w:r w:rsidRPr="001E245E">
        <w:rPr>
          <w:rFonts w:ascii="Times New Roman" w:hAnsi="Times New Roman" w:cs="Times New Roman"/>
          <w:sz w:val="24"/>
          <w:szCs w:val="24"/>
          <w:lang w:val="es-PE"/>
        </w:rPr>
        <w:t>) si está probada la exclusión invocada.</w:t>
      </w:r>
    </w:p>
    <w:p w:rsidRPr="001E245E" w:rsidR="001E245E" w:rsidP="001E245E" w:rsidRDefault="001E245E" w14:paraId="42DCAB4A" w14:textId="2C6EA662">
      <w:pPr>
        <w:spacing w:after="200" w:line="240" w:lineRule="auto"/>
        <w:jc w:val="both"/>
        <w:rPr>
          <w:rFonts w:ascii="Times New Roman" w:hAnsi="Times New Roman" w:cs="Times New Roman"/>
          <w:sz w:val="24"/>
          <w:szCs w:val="24"/>
          <w:lang w:val="es-PE"/>
        </w:rPr>
      </w:pPr>
      <w:r w:rsidRPr="2CA6E011" w:rsidR="2366145C">
        <w:rPr>
          <w:rFonts w:ascii="Times New Roman" w:hAnsi="Times New Roman" w:cs="Times New Roman"/>
          <w:sz w:val="24"/>
          <w:szCs w:val="24"/>
          <w:lang w:val="es-PE"/>
        </w:rPr>
        <w:t xml:space="preserve">En este caso, </w:t>
      </w:r>
      <w:r w:rsidRPr="2CA6E011" w:rsidR="63C34433">
        <w:rPr>
          <w:rFonts w:ascii="Times New Roman" w:hAnsi="Times New Roman" w:cs="Times New Roman"/>
          <w:sz w:val="24"/>
          <w:szCs w:val="24"/>
          <w:lang w:val="es-PE"/>
        </w:rPr>
        <w:t>...................................</w:t>
      </w:r>
      <w:r w:rsidRPr="2CA6E011" w:rsidR="2366145C">
        <w:rPr>
          <w:rFonts w:ascii="Times New Roman" w:hAnsi="Times New Roman" w:cs="Times New Roman"/>
          <w:sz w:val="24"/>
          <w:szCs w:val="24"/>
          <w:lang w:val="es-PE"/>
        </w:rPr>
        <w:t xml:space="preserve"> ha presentado el audio de la venta telefónica, realizada el 07 de mayo de 2024, donde se aprecia que la aseguradora llama a la reclamante debido a que le informan que estaba interesada en tomar el seguro de renta hospitalaria a través del Banco BBVA, ante lo cual la reclamante menciona que se afilió por la página web, que le salió que la afiliación había sido </w:t>
      </w:r>
      <w:r w:rsidRPr="2CA6E011" w:rsidR="2366145C">
        <w:rPr>
          <w:rFonts w:ascii="Times New Roman" w:hAnsi="Times New Roman" w:cs="Times New Roman"/>
          <w:sz w:val="24"/>
          <w:szCs w:val="24"/>
          <w:lang w:val="es-PE"/>
        </w:rPr>
        <w:t>exitosa</w:t>
      </w:r>
      <w:r w:rsidRPr="2CA6E011" w:rsidR="2366145C">
        <w:rPr>
          <w:rFonts w:ascii="Times New Roman" w:hAnsi="Times New Roman" w:cs="Times New Roman"/>
          <w:sz w:val="24"/>
          <w:szCs w:val="24"/>
          <w:lang w:val="es-PE"/>
        </w:rPr>
        <w:t xml:space="preserve"> pero llamó y le dijeron que no figuraba nada. Al respecto, la asesora telefónica le indica que se registró en la página, pero que se le debía leer la póliza, que le enviarían la póliza al correo electrónico, para lo cual le piden sus datos y le informan el monto de prima mensual, la que es aceptada. Asimismo, le indican que la póliza contempla exclusiones, dentro de ellas se mencionan a las enfermedades preexistentes como una de las principales exclusiones de la póliza, además de otras referidas en la llamada. A continuación, confirman sus datos, la asegurada acepta el seguro y cobro de la prima y finalmente le indican que tiene 15 días para arrepentirse del contrato luego de recibir la póliza.</w:t>
      </w:r>
    </w:p>
    <w:p w:rsidRPr="001E245E" w:rsidR="001E245E" w:rsidP="001E245E" w:rsidRDefault="001E245E" w14:paraId="7FFEB23C" w14:textId="61396800">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Adicionalmente, obra en el expediente la Póliza de Seguros, dentro de la cual se verifica la siguiente exclusión:</w:t>
      </w:r>
    </w:p>
    <w:p w:rsidRPr="001E245E" w:rsidR="001E245E" w:rsidP="001E245E" w:rsidRDefault="001E245E" w14:paraId="0DF9448A" w14:textId="79272BB1">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En el caso de la Póliza 5224776, las exclusiones figuran en la página 12. A continuación se copia parte pertinente del encabezado y de la respectiva exclusión:</w:t>
      </w:r>
    </w:p>
    <w:p w:rsidRPr="001E245E" w:rsidR="001E245E" w:rsidP="001E245E" w:rsidRDefault="001E245E" w14:paraId="2EC72AD1" w14:textId="77777777">
      <w:pPr>
        <w:spacing w:after="200" w:line="240" w:lineRule="auto"/>
        <w:jc w:val="both"/>
        <w:rPr>
          <w:rFonts w:ascii="Times New Roman" w:hAnsi="Times New Roman" w:cs="Times New Roman"/>
          <w:i/>
          <w:iCs/>
          <w:sz w:val="24"/>
          <w:szCs w:val="24"/>
          <w:lang w:val="es-PE"/>
        </w:rPr>
      </w:pPr>
      <w:r w:rsidRPr="001E245E">
        <w:rPr>
          <w:rFonts w:ascii="Times New Roman" w:hAnsi="Times New Roman" w:cs="Times New Roman"/>
          <w:i/>
          <w:iCs/>
          <w:sz w:val="24"/>
          <w:szCs w:val="24"/>
          <w:lang w:val="es-PE"/>
        </w:rPr>
        <w:t>“ARTICULO 27</w:t>
      </w:r>
      <w:proofErr w:type="gramStart"/>
      <w:r w:rsidRPr="001E245E">
        <w:rPr>
          <w:rFonts w:ascii="Times New Roman" w:hAnsi="Times New Roman" w:cs="Times New Roman"/>
          <w:i/>
          <w:iCs/>
          <w:sz w:val="24"/>
          <w:szCs w:val="24"/>
          <w:lang w:val="es-PE"/>
        </w:rPr>
        <w:t>°.-</w:t>
      </w:r>
      <w:proofErr w:type="gramEnd"/>
      <w:r w:rsidRPr="001E245E">
        <w:rPr>
          <w:rFonts w:ascii="Times New Roman" w:hAnsi="Times New Roman" w:cs="Times New Roman"/>
          <w:i/>
          <w:iCs/>
          <w:sz w:val="24"/>
          <w:szCs w:val="24"/>
          <w:lang w:val="es-PE"/>
        </w:rPr>
        <w:t xml:space="preserve"> EXCLUSIONES:</w:t>
      </w:r>
    </w:p>
    <w:p w:rsidRPr="001E245E" w:rsidR="001E245E" w:rsidP="001E245E" w:rsidRDefault="001E245E" w14:paraId="29C24EBF" w14:textId="77777777">
      <w:pPr>
        <w:spacing w:after="200" w:line="240" w:lineRule="auto"/>
        <w:jc w:val="both"/>
        <w:rPr>
          <w:rFonts w:ascii="Times New Roman" w:hAnsi="Times New Roman" w:cs="Times New Roman"/>
          <w:i/>
          <w:iCs/>
          <w:sz w:val="24"/>
          <w:szCs w:val="24"/>
          <w:lang w:val="es-PE"/>
        </w:rPr>
      </w:pPr>
      <w:r w:rsidRPr="001E245E">
        <w:rPr>
          <w:rFonts w:ascii="Times New Roman" w:hAnsi="Times New Roman" w:cs="Times New Roman"/>
          <w:i/>
          <w:iCs/>
          <w:sz w:val="24"/>
          <w:szCs w:val="24"/>
          <w:lang w:val="es-PE"/>
        </w:rPr>
        <w:t xml:space="preserve">La presente Póliza no cubre ningún gasto originado por prestaciones médicas. Tampoco indemnizará al ASEGURADO en caso las hospitalizaciones sean originadas, </w:t>
      </w:r>
      <w:r w:rsidRPr="001E245E">
        <w:rPr>
          <w:rFonts w:ascii="Times New Roman" w:hAnsi="Times New Roman" w:cs="Times New Roman"/>
          <w:b/>
          <w:bCs/>
          <w:i/>
          <w:iCs/>
          <w:sz w:val="24"/>
          <w:szCs w:val="24"/>
          <w:u w:val="single"/>
          <w:lang w:val="es-PE"/>
        </w:rPr>
        <w:t>relacionadas</w:t>
      </w:r>
      <w:r w:rsidRPr="001E245E">
        <w:rPr>
          <w:rFonts w:ascii="Times New Roman" w:hAnsi="Times New Roman" w:cs="Times New Roman"/>
          <w:i/>
          <w:iCs/>
          <w:sz w:val="24"/>
          <w:szCs w:val="24"/>
          <w:lang w:val="es-PE"/>
        </w:rPr>
        <w:t xml:space="preserve"> o causadas por:</w:t>
      </w:r>
    </w:p>
    <w:p w:rsidRPr="001E245E" w:rsidR="001E245E" w:rsidP="001E245E" w:rsidRDefault="001E245E" w14:paraId="1E53BF6B" w14:textId="77777777">
      <w:pPr>
        <w:spacing w:after="200" w:line="240" w:lineRule="auto"/>
        <w:jc w:val="both"/>
        <w:rPr>
          <w:rFonts w:ascii="Times New Roman" w:hAnsi="Times New Roman" w:cs="Times New Roman"/>
          <w:i/>
          <w:iCs/>
          <w:sz w:val="24"/>
          <w:szCs w:val="24"/>
          <w:lang w:val="es-PE"/>
        </w:rPr>
      </w:pPr>
      <w:r w:rsidRPr="001E245E">
        <w:rPr>
          <w:rFonts w:ascii="Times New Roman" w:hAnsi="Times New Roman" w:cs="Times New Roman"/>
          <w:i/>
          <w:iCs/>
          <w:sz w:val="24"/>
          <w:szCs w:val="24"/>
          <w:lang w:val="es-PE"/>
        </w:rPr>
        <w:t>(…)</w:t>
      </w:r>
    </w:p>
    <w:p w:rsidRPr="001E245E" w:rsidR="001E245E" w:rsidP="001E245E" w:rsidRDefault="001E245E" w14:paraId="0DE33109" w14:textId="77777777">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i/>
          <w:iCs/>
          <w:sz w:val="24"/>
          <w:szCs w:val="24"/>
          <w:lang w:val="es-PE"/>
        </w:rPr>
        <w:t xml:space="preserve">d) Enfermedades y/o </w:t>
      </w:r>
      <w:r w:rsidRPr="001E245E">
        <w:rPr>
          <w:rFonts w:ascii="Times New Roman" w:hAnsi="Times New Roman" w:cs="Times New Roman"/>
          <w:b/>
          <w:bCs/>
          <w:i/>
          <w:iCs/>
          <w:sz w:val="24"/>
          <w:szCs w:val="24"/>
          <w:u w:val="single"/>
          <w:lang w:val="es-PE"/>
        </w:rPr>
        <w:t>condiciones preexistentes</w:t>
      </w:r>
      <w:r w:rsidRPr="001E245E">
        <w:rPr>
          <w:rFonts w:ascii="Times New Roman" w:hAnsi="Times New Roman" w:cs="Times New Roman"/>
          <w:i/>
          <w:iCs/>
          <w:sz w:val="24"/>
          <w:szCs w:val="24"/>
          <w:lang w:val="es-PE"/>
        </w:rPr>
        <w:t xml:space="preserve"> al inicio del presente seguro, conforme se señala en el artículo 14° precedente.” </w:t>
      </w:r>
      <w:r w:rsidRPr="001E245E">
        <w:rPr>
          <w:rFonts w:ascii="Times New Roman" w:hAnsi="Times New Roman" w:cs="Times New Roman"/>
          <w:sz w:val="24"/>
          <w:szCs w:val="24"/>
          <w:lang w:val="es-PE"/>
        </w:rPr>
        <w:t>(el subrayado y resaltado es nuestro).</w:t>
      </w:r>
    </w:p>
    <w:p w:rsidRPr="001E245E" w:rsidR="001E245E" w:rsidP="001E245E" w:rsidRDefault="001E245E" w14:paraId="5FDCCC7B" w14:textId="77777777">
      <w:pPr>
        <w:spacing w:after="200" w:line="240" w:lineRule="auto"/>
        <w:jc w:val="both"/>
        <w:rPr>
          <w:rFonts w:ascii="Times New Roman" w:hAnsi="Times New Roman" w:cs="Times New Roman"/>
          <w:sz w:val="24"/>
          <w:szCs w:val="24"/>
          <w:lang w:val="es-PE"/>
        </w:rPr>
      </w:pPr>
    </w:p>
    <w:p w:rsidRPr="001E245E" w:rsidR="001E245E" w:rsidP="001E245E" w:rsidRDefault="001E245E" w14:paraId="18CF5032" w14:textId="34AB9728">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 xml:space="preserve">El artículo 14 al cual se refiere dicho inciso, define lo que se considera una enfermedad preexistente, y algunos supuestos que no califican como enfermedad preexistente, como son </w:t>
      </w:r>
      <w:r w:rsidRPr="001E245E">
        <w:rPr>
          <w:rFonts w:ascii="Times New Roman" w:hAnsi="Times New Roman" w:cs="Times New Roman"/>
          <w:sz w:val="24"/>
          <w:szCs w:val="24"/>
          <w:lang w:val="es-PE"/>
        </w:rPr>
        <w:lastRenderedPageBreak/>
        <w:t xml:space="preserve">aquellos que hayan estado cubiertos por otro contrato de seguro durante un periodo inmediato anterior bajo determinadas condiciones.  </w:t>
      </w:r>
    </w:p>
    <w:p w:rsidRPr="001E245E" w:rsidR="001E245E" w:rsidP="001E245E" w:rsidRDefault="001E245E" w14:paraId="29690452" w14:textId="287CC7D2">
      <w:pPr>
        <w:spacing w:after="200" w:line="240" w:lineRule="auto"/>
        <w:jc w:val="both"/>
        <w:rPr>
          <w:rFonts w:ascii="Times New Roman" w:hAnsi="Times New Roman" w:cs="Times New Roman"/>
          <w:sz w:val="24"/>
          <w:szCs w:val="24"/>
          <w:lang w:val="es-PE"/>
        </w:rPr>
      </w:pPr>
      <w:proofErr w:type="gramStart"/>
      <w:r w:rsidRPr="001E245E">
        <w:rPr>
          <w:rFonts w:ascii="Times New Roman" w:hAnsi="Times New Roman" w:cs="Times New Roman"/>
          <w:sz w:val="24"/>
          <w:szCs w:val="24"/>
          <w:lang w:val="es-PE"/>
        </w:rPr>
        <w:t>En virtud a</w:t>
      </w:r>
      <w:proofErr w:type="gramEnd"/>
      <w:r w:rsidRPr="001E245E">
        <w:rPr>
          <w:rFonts w:ascii="Times New Roman" w:hAnsi="Times New Roman" w:cs="Times New Roman"/>
          <w:sz w:val="24"/>
          <w:szCs w:val="24"/>
          <w:lang w:val="es-PE"/>
        </w:rPr>
        <w:t xml:space="preserve"> ello, se confirma que la exclusión de preexistencia, así como las otras exclusiones señaladas en la venta telefónica y contenidas en la póliza de seguros, forman parte del contrato de seguro y fueron puestas en conocimiento de la asegurada al momento de la contratación del seguro, figurando en la póliza de seguro, por lo que las mismas resultan oponibles.</w:t>
      </w:r>
    </w:p>
    <w:p w:rsidRPr="001E245E" w:rsidR="001E245E" w:rsidP="001E245E" w:rsidRDefault="001E245E" w14:paraId="3431A08F" w14:textId="01943F88">
      <w:pPr>
        <w:spacing w:after="200" w:line="240" w:lineRule="auto"/>
        <w:jc w:val="both"/>
        <w:rPr>
          <w:rFonts w:ascii="Times New Roman" w:hAnsi="Times New Roman" w:cs="Times New Roman"/>
          <w:b/>
          <w:bCs/>
          <w:i/>
          <w:iCs/>
          <w:sz w:val="24"/>
          <w:szCs w:val="24"/>
          <w:lang w:val="es-PE"/>
        </w:rPr>
      </w:pPr>
      <w:r w:rsidRPr="001E245E">
        <w:rPr>
          <w:rFonts w:ascii="Times New Roman" w:hAnsi="Times New Roman" w:cs="Times New Roman"/>
          <w:b/>
          <w:bCs/>
          <w:i/>
          <w:iCs/>
          <w:sz w:val="24"/>
          <w:szCs w:val="24"/>
          <w:lang w:val="es-PE"/>
        </w:rPr>
        <w:t>6.2. Configuración de la exclusión:</w:t>
      </w:r>
    </w:p>
    <w:p w:rsidRPr="001E245E" w:rsidR="001E245E" w:rsidP="001E245E" w:rsidRDefault="001E245E" w14:paraId="0BD4FB55" w14:textId="1931C169">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La parte reclamante no niega que haya sido diagnosticada de mielitis transversa aguda en el año 2018, es decir, antes de la contratación del seguro. Es solo que señala: (i) que ella no constituye una enfermedad sino una condición; y, (</w:t>
      </w:r>
      <w:proofErr w:type="spellStart"/>
      <w:r w:rsidRPr="001E245E">
        <w:rPr>
          <w:rFonts w:ascii="Times New Roman" w:hAnsi="Times New Roman" w:cs="Times New Roman"/>
          <w:sz w:val="24"/>
          <w:szCs w:val="24"/>
          <w:lang w:val="es-PE"/>
        </w:rPr>
        <w:t>ii</w:t>
      </w:r>
      <w:proofErr w:type="spellEnd"/>
      <w:r w:rsidRPr="001E245E">
        <w:rPr>
          <w:rFonts w:ascii="Times New Roman" w:hAnsi="Times New Roman" w:cs="Times New Roman"/>
          <w:sz w:val="24"/>
          <w:szCs w:val="24"/>
          <w:lang w:val="es-PE"/>
        </w:rPr>
        <w:t>) que la hospitalización no fue para tratar dicha condición, sino para rehabilitarse y poder tener una mejor calidad de vida.</w:t>
      </w:r>
    </w:p>
    <w:p w:rsidRPr="001E245E" w:rsidR="001E245E" w:rsidP="001E245E" w:rsidRDefault="001E245E" w14:paraId="08D61CD6" w14:textId="55F21243">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Al respecto, es necesario precisar que la póliza expresamente señala que no cubre las hospitalizaciones que sean originadas, relacionadas o causadas por enfermedades o “condiciones” preexistentes, motivo por el cual, si la causa de la hospitalización fue la mielitis preexistente a la contratación del seguro, el rechazo de cobertura basado en una condición preexistente sería legítimo.</w:t>
      </w:r>
    </w:p>
    <w:p w:rsidRPr="001E245E" w:rsidR="001E245E" w:rsidP="001E245E" w:rsidRDefault="001E245E" w14:paraId="04539A8F" w14:textId="67166792">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 xml:space="preserve">En este caso, en la Epicrisis (informe médico) emitido por el Instituto Nacional de Rehabilitación, con motivo de la hospitalización del 12.02.2025 al 12.04.2025, se da cuenta que estamos ante un reingreso, </w:t>
      </w:r>
      <w:proofErr w:type="gramStart"/>
      <w:r w:rsidRPr="001E245E">
        <w:rPr>
          <w:rFonts w:ascii="Times New Roman" w:hAnsi="Times New Roman" w:cs="Times New Roman"/>
          <w:sz w:val="24"/>
          <w:szCs w:val="24"/>
          <w:lang w:val="es-PE"/>
        </w:rPr>
        <w:t>y  que</w:t>
      </w:r>
      <w:proofErr w:type="gramEnd"/>
      <w:r w:rsidRPr="001E245E">
        <w:rPr>
          <w:rFonts w:ascii="Times New Roman" w:hAnsi="Times New Roman" w:cs="Times New Roman"/>
          <w:sz w:val="24"/>
          <w:szCs w:val="24"/>
          <w:lang w:val="es-PE"/>
        </w:rPr>
        <w:t xml:space="preserve"> el primer ingreso (la primera hospitalización) fue el 14.02.2020 al </w:t>
      </w:r>
      <w:proofErr w:type="gramStart"/>
      <w:r w:rsidRPr="001E245E">
        <w:rPr>
          <w:rFonts w:ascii="Times New Roman" w:hAnsi="Times New Roman" w:cs="Times New Roman"/>
          <w:sz w:val="24"/>
          <w:szCs w:val="24"/>
          <w:lang w:val="es-PE"/>
        </w:rPr>
        <w:t>16.03.2020 ,</w:t>
      </w:r>
      <w:proofErr w:type="gramEnd"/>
      <w:r w:rsidRPr="001E245E">
        <w:rPr>
          <w:rFonts w:ascii="Times New Roman" w:hAnsi="Times New Roman" w:cs="Times New Roman"/>
          <w:sz w:val="24"/>
          <w:szCs w:val="24"/>
          <w:lang w:val="es-PE"/>
        </w:rPr>
        <w:t xml:space="preserve"> debido al mismo diagnóstico: “otra enfermedad de la médula espinal NN L1 </w:t>
      </w:r>
      <w:proofErr w:type="spellStart"/>
      <w:r w:rsidRPr="001E245E">
        <w:rPr>
          <w:rFonts w:ascii="Times New Roman" w:hAnsi="Times New Roman" w:cs="Times New Roman"/>
          <w:sz w:val="24"/>
          <w:szCs w:val="24"/>
          <w:lang w:val="es-PE"/>
        </w:rPr>
        <w:t>AiS</w:t>
      </w:r>
      <w:proofErr w:type="spellEnd"/>
      <w:r w:rsidRPr="001E245E">
        <w:rPr>
          <w:rFonts w:ascii="Times New Roman" w:hAnsi="Times New Roman" w:cs="Times New Roman"/>
          <w:sz w:val="24"/>
          <w:szCs w:val="24"/>
          <w:lang w:val="es-PE"/>
        </w:rPr>
        <w:t xml:space="preserve"> B por Mielitis Transversa, conforme puede apreciarse a continuación:</w:t>
      </w:r>
    </w:p>
    <w:p w:rsidRPr="001E245E" w:rsidR="001E245E" w:rsidP="001E245E" w:rsidRDefault="001E245E" w14:paraId="11A8D4E1" w14:textId="647D81EE">
      <w:pPr>
        <w:spacing w:after="200" w:line="240" w:lineRule="auto"/>
        <w:jc w:val="both"/>
      </w:pPr>
      <w:r w:rsidR="1E85359A">
        <w:rPr/>
        <w:t>............................................................................................................................................................</w:t>
      </w:r>
    </w:p>
    <w:p w:rsidRPr="001E245E" w:rsidR="001E245E" w:rsidP="001E245E" w:rsidRDefault="001E245E" w14:paraId="0E9B4F00" w14:textId="46B2BDA1">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Asimismo, en dicha epicrisis se da cuenta del primer diagnóstico y de los exámenes realizados a su reingreso, el tratamiento, la evolución y complicaciones, comentarios y recomendaciones. En lo que respecta al acápite enfermedad actual, se destaca lo siguiente:</w:t>
      </w:r>
    </w:p>
    <w:p w:rsidRPr="001E245E" w:rsidR="001E245E" w:rsidP="00367CB5" w:rsidRDefault="001E245E" w14:paraId="619DFE7E" w14:textId="156C52AB">
      <w:pPr>
        <w:spacing w:after="200" w:line="240" w:lineRule="auto"/>
        <w:jc w:val="center"/>
      </w:pPr>
      <w:r w:rsidR="5F7F827A">
        <w:rPr/>
        <w:t>.....................................................................................................................................................</w:t>
      </w:r>
    </w:p>
    <w:p w:rsidRPr="001E245E" w:rsidR="001E245E" w:rsidP="001E245E" w:rsidRDefault="001E245E" w14:paraId="7AE808B3" w14:textId="2E2694CF">
      <w:pPr>
        <w:spacing w:after="200" w:line="240" w:lineRule="auto"/>
        <w:jc w:val="both"/>
        <w:rPr>
          <w:rFonts w:ascii="Times New Roman" w:hAnsi="Times New Roman" w:cs="Times New Roman"/>
          <w:sz w:val="24"/>
          <w:szCs w:val="24"/>
          <w:lang w:val="es-PE"/>
        </w:rPr>
      </w:pPr>
      <w:r w:rsidRPr="001E245E">
        <w:rPr>
          <w:rFonts w:ascii="Times New Roman" w:hAnsi="Times New Roman" w:cs="Times New Roman"/>
          <w:sz w:val="24"/>
          <w:szCs w:val="24"/>
          <w:lang w:val="es-PE"/>
        </w:rPr>
        <w:t>Si bien la reclamante señala que la hospitalización no fue para tratar la condición de mielitis sino su rehabilitación y que se internó producto de una caída, de la lectura de la epicrisis que sustenta la hospitalización que motiva el reclamo, se aprecia que la caída se produce por presentar pérdida de fuerza en miembros inferiores, que es uno de los síntomas de la mielitis transversa aguda</w:t>
      </w:r>
      <w:r w:rsidRPr="001E245E">
        <w:rPr>
          <w:rFonts w:ascii="Times New Roman" w:hAnsi="Times New Roman" w:cs="Times New Roman"/>
          <w:sz w:val="24"/>
          <w:szCs w:val="24"/>
          <w:vertAlign w:val="superscript"/>
          <w:lang w:val="es-PE"/>
        </w:rPr>
        <w:footnoteReference w:id="1"/>
      </w:r>
      <w:r w:rsidRPr="001E245E">
        <w:rPr>
          <w:rFonts w:ascii="Times New Roman" w:hAnsi="Times New Roman" w:cs="Times New Roman"/>
          <w:sz w:val="24"/>
          <w:szCs w:val="24"/>
          <w:lang w:val="es-PE"/>
        </w:rPr>
        <w:t>, por lo que en opinión de este colegiado es claro que la hospitalización sí fue para tratar las consecuencias o síntomas que se generan por dicha condición. En consecuencia, siendo que la póliza no cubre las hospitalizaciones “relacionadas” con una condición preexistente (y en este caso claramente lo está pues si la asegurada no tuviera dicha condición no requeriría la rehabilitación recomendada, la cual justamente se produce en atención al diagnóstico de dicha condición), el rechazo de cobertura resulta legítimo.</w:t>
      </w:r>
    </w:p>
    <w:p w:rsidRPr="001E245E" w:rsidR="001E245E" w:rsidP="001E245E" w:rsidRDefault="001E245E" w14:paraId="25B0F24E" w14:textId="3DB3BFB5">
      <w:pPr>
        <w:spacing w:after="200" w:line="240" w:lineRule="auto"/>
        <w:jc w:val="both"/>
        <w:rPr>
          <w:rFonts w:ascii="Times New Roman" w:hAnsi="Times New Roman" w:cs="Times New Roman"/>
          <w:b/>
          <w:sz w:val="24"/>
          <w:szCs w:val="24"/>
          <w:lang w:val="es-PE"/>
        </w:rPr>
      </w:pPr>
      <w:r w:rsidRPr="001E245E">
        <w:rPr>
          <w:rFonts w:ascii="Times New Roman" w:hAnsi="Times New Roman" w:cs="Times New Roman"/>
          <w:b/>
          <w:sz w:val="24"/>
          <w:szCs w:val="24"/>
          <w:lang w:val="es-PE"/>
        </w:rPr>
        <w:t xml:space="preserve">Atendiendo a lo expresado, este colegiado </w:t>
      </w:r>
      <w:r w:rsidRPr="001E245E">
        <w:rPr>
          <w:rFonts w:ascii="Times New Roman" w:hAnsi="Times New Roman" w:cs="Times New Roman"/>
          <w:b/>
          <w:sz w:val="24"/>
          <w:szCs w:val="24"/>
          <w:lang w:val="es-ES"/>
        </w:rPr>
        <w:t>concluye su apreciación razonada y conjunta, al amparo de lo establecido en su Reglamento, estimando que el rechazo de cobertura es legítimo; por lo que</w:t>
      </w:r>
      <w:r w:rsidRPr="001E245E">
        <w:rPr>
          <w:rFonts w:ascii="Times New Roman" w:hAnsi="Times New Roman" w:cs="Times New Roman"/>
          <w:b/>
          <w:sz w:val="24"/>
          <w:szCs w:val="24"/>
          <w:lang w:val="es-PE"/>
        </w:rPr>
        <w:t xml:space="preserve"> </w:t>
      </w:r>
    </w:p>
    <w:p w:rsidRPr="001E245E" w:rsidR="001E245E" w:rsidP="001E245E" w:rsidRDefault="001E245E" w14:paraId="5F511CAF" w14:textId="786C2917">
      <w:pPr>
        <w:spacing w:after="200" w:line="240" w:lineRule="auto"/>
        <w:jc w:val="both"/>
        <w:rPr>
          <w:rFonts w:ascii="Times New Roman" w:hAnsi="Times New Roman" w:cs="Times New Roman"/>
          <w:b/>
          <w:sz w:val="24"/>
          <w:szCs w:val="24"/>
          <w:lang w:val="es-ES"/>
        </w:rPr>
      </w:pPr>
      <w:r w:rsidRPr="001E245E">
        <w:rPr>
          <w:rFonts w:ascii="Times New Roman" w:hAnsi="Times New Roman" w:cs="Times New Roman"/>
          <w:b/>
          <w:sz w:val="24"/>
          <w:szCs w:val="24"/>
          <w:lang w:val="es-PE"/>
        </w:rPr>
        <w:t>Resuelve:</w:t>
      </w:r>
    </w:p>
    <w:p w:rsidRPr="001E245E" w:rsidR="001E245E" w:rsidP="001E245E" w:rsidRDefault="001E245E" w14:paraId="45C64688" w14:textId="55F1B259">
      <w:pPr>
        <w:spacing w:after="200" w:line="240" w:lineRule="auto"/>
        <w:jc w:val="both"/>
        <w:rPr>
          <w:rFonts w:ascii="Times New Roman" w:hAnsi="Times New Roman" w:cs="Times New Roman"/>
          <w:sz w:val="24"/>
          <w:szCs w:val="24"/>
          <w:lang w:val="es-PE"/>
        </w:rPr>
      </w:pPr>
      <w:r w:rsidRPr="2CA6E011" w:rsidR="2366145C">
        <w:rPr>
          <w:rFonts w:ascii="Times New Roman" w:hAnsi="Times New Roman" w:cs="Times New Roman"/>
          <w:sz w:val="24"/>
          <w:szCs w:val="24"/>
          <w:lang w:val="es-PE"/>
        </w:rPr>
        <w:t xml:space="preserve">Declarar </w:t>
      </w:r>
      <w:r w:rsidRPr="2CA6E011" w:rsidR="2366145C">
        <w:rPr>
          <w:rFonts w:ascii="Times New Roman" w:hAnsi="Times New Roman" w:cs="Times New Roman"/>
          <w:b w:val="1"/>
          <w:bCs w:val="1"/>
          <w:sz w:val="24"/>
          <w:szCs w:val="24"/>
          <w:lang w:val="es-PE"/>
        </w:rPr>
        <w:t>INFUNDADA</w:t>
      </w:r>
      <w:r w:rsidRPr="2CA6E011" w:rsidR="2366145C">
        <w:rPr>
          <w:rFonts w:ascii="Times New Roman" w:hAnsi="Times New Roman" w:cs="Times New Roman"/>
          <w:sz w:val="24"/>
          <w:szCs w:val="24"/>
          <w:lang w:val="es-PE"/>
        </w:rPr>
        <w:t xml:space="preserve"> la reclamación interpuesta por doña </w:t>
      </w:r>
      <w:r w:rsidRPr="2CA6E011" w:rsidR="3C204D41">
        <w:rPr>
          <w:rFonts w:ascii="Times New Roman" w:hAnsi="Times New Roman" w:cs="Times New Roman"/>
          <w:sz w:val="24"/>
          <w:szCs w:val="24"/>
          <w:lang w:val="es-PE"/>
        </w:rPr>
        <w:t>..........................................................................</w:t>
      </w:r>
      <w:r w:rsidRPr="2CA6E011" w:rsidR="2366145C">
        <w:rPr>
          <w:rFonts w:ascii="Times New Roman" w:hAnsi="Times New Roman" w:cs="Times New Roman"/>
          <w:sz w:val="24"/>
          <w:szCs w:val="24"/>
          <w:lang w:val="es-PE"/>
        </w:rPr>
        <w:t xml:space="preserve"> contra </w:t>
      </w:r>
      <w:r w:rsidRPr="2CA6E011" w:rsidR="63C34433">
        <w:rPr>
          <w:rFonts w:ascii="Times New Roman" w:hAnsi="Times New Roman" w:cs="Times New Roman"/>
          <w:sz w:val="24"/>
          <w:szCs w:val="24"/>
          <w:lang w:val="es-PE"/>
        </w:rPr>
        <w:t>...................................</w:t>
      </w:r>
      <w:r w:rsidRPr="2CA6E011" w:rsidR="2366145C">
        <w:rPr>
          <w:rFonts w:ascii="Times New Roman" w:hAnsi="Times New Roman" w:cs="Times New Roman"/>
          <w:sz w:val="24"/>
          <w:szCs w:val="24"/>
          <w:lang w:val="es-PE"/>
        </w:rPr>
        <w:t>, respecto del seguro Renta Hospitalaria, dejándose a salvo su derecho de hacer valer su pretensión en las instancias que estime pertinentes.</w:t>
      </w:r>
    </w:p>
    <w:p w:rsidRPr="00367CB5" w:rsidR="00033B9E" w:rsidP="00367CB5" w:rsidRDefault="00033B9E" w14:paraId="10ECF88E" w14:textId="29A0C5C6">
      <w:pPr>
        <w:spacing w:after="200" w:line="240" w:lineRule="auto"/>
        <w:jc w:val="right"/>
        <w:rPr>
          <w:rFonts w:ascii="Times New Roman" w:hAnsi="Times New Roman" w:cs="Times New Roman"/>
          <w:sz w:val="24"/>
          <w:szCs w:val="24"/>
          <w:lang w:val="es-PE"/>
        </w:rPr>
      </w:pPr>
      <w:r w:rsidRPr="00CE03EC">
        <w:rPr>
          <w:rFonts w:ascii="Times New Roman" w:hAnsi="Times New Roman" w:cs="Times New Roman"/>
          <w:sz w:val="24"/>
          <w:szCs w:val="24"/>
          <w:lang w:val="es-PE"/>
        </w:rPr>
        <w:t xml:space="preserve">Lima, </w:t>
      </w:r>
      <w:r w:rsidR="00F71A2A">
        <w:rPr>
          <w:rFonts w:ascii="Times New Roman" w:hAnsi="Times New Roman" w:cs="Times New Roman"/>
          <w:sz w:val="24"/>
          <w:szCs w:val="24"/>
          <w:lang w:val="es-PE"/>
        </w:rPr>
        <w:t>13</w:t>
      </w:r>
      <w:r w:rsidRPr="00CE03EC">
        <w:rPr>
          <w:rFonts w:ascii="Times New Roman" w:hAnsi="Times New Roman" w:cs="Times New Roman"/>
          <w:sz w:val="24"/>
          <w:szCs w:val="24"/>
          <w:lang w:val="es-PE"/>
        </w:rPr>
        <w:t xml:space="preserve"> de </w:t>
      </w:r>
      <w:r w:rsidRPr="00CE03EC" w:rsidR="00F4038B">
        <w:rPr>
          <w:rFonts w:ascii="Times New Roman" w:hAnsi="Times New Roman" w:cs="Times New Roman"/>
          <w:sz w:val="24"/>
          <w:szCs w:val="24"/>
          <w:lang w:val="es-PE"/>
        </w:rPr>
        <w:t>octubre d</w:t>
      </w:r>
      <w:r w:rsidRPr="00CE03EC">
        <w:rPr>
          <w:rFonts w:ascii="Times New Roman" w:hAnsi="Times New Roman" w:cs="Times New Roman"/>
          <w:sz w:val="24"/>
          <w:szCs w:val="24"/>
          <w:lang w:val="es-PE"/>
        </w:rPr>
        <w:t xml:space="preserve">e 2025 </w:t>
      </w:r>
    </w:p>
    <w:p w:rsidRPr="00CE03EC" w:rsidR="00033B9E" w:rsidP="009731FA" w:rsidRDefault="00033B9E" w14:paraId="6E081B4D" w14:textId="77777777">
      <w:pPr>
        <w:spacing w:after="200" w:line="240" w:lineRule="auto"/>
        <w:jc w:val="both"/>
        <w:rPr>
          <w:rFonts w:ascii="Times New Roman" w:hAnsi="Times New Roman" w:cs="Times New Roman"/>
          <w:b/>
          <w:bCs/>
          <w:i/>
          <w:iCs/>
          <w:sz w:val="24"/>
          <w:szCs w:val="24"/>
          <w:lang w:val="es-PE"/>
        </w:rPr>
      </w:pPr>
      <w:r w:rsidRPr="00CE03EC">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CE03EC" w:rsidR="009731FA" w:rsidP="009731FA" w:rsidRDefault="009731FA" w14:paraId="54F465C7" w14:textId="2AE3847E">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 xml:space="preserve">Antonio Rodriguez Lobatón – </w:t>
      </w:r>
      <w:proofErr w:type="gramStart"/>
      <w:r w:rsidRPr="00CE03EC">
        <w:rPr>
          <w:rFonts w:ascii="Times New Roman" w:hAnsi="Times New Roman" w:cs="Times New Roman"/>
          <w:b/>
          <w:bCs/>
          <w:sz w:val="24"/>
          <w:szCs w:val="24"/>
          <w:lang w:val="es-PE"/>
        </w:rPr>
        <w:t>Presidente</w:t>
      </w:r>
      <w:proofErr w:type="gramEnd"/>
    </w:p>
    <w:p w:rsidRPr="00CE03EC" w:rsidR="00033B9E" w:rsidP="009731FA" w:rsidRDefault="00033B9E" w14:paraId="1B6FD469" w14:textId="244A643E">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 xml:space="preserve">María Eugenia Valdez Fernández Baca </w:t>
      </w:r>
      <w:r w:rsidRPr="00CE03EC" w:rsidR="00090598">
        <w:rPr>
          <w:rFonts w:ascii="Times New Roman" w:hAnsi="Times New Roman" w:cs="Times New Roman"/>
          <w:b/>
          <w:bCs/>
          <w:sz w:val="24"/>
          <w:szCs w:val="24"/>
          <w:lang w:val="es-PE"/>
        </w:rPr>
        <w:t>–</w:t>
      </w:r>
      <w:r w:rsidRPr="00CE03EC">
        <w:rPr>
          <w:rFonts w:ascii="Times New Roman" w:hAnsi="Times New Roman" w:cs="Times New Roman"/>
          <w:b/>
          <w:bCs/>
          <w:sz w:val="24"/>
          <w:szCs w:val="24"/>
          <w:lang w:val="es-PE"/>
        </w:rPr>
        <w:t xml:space="preserve"> Vocal</w:t>
      </w:r>
    </w:p>
    <w:p w:rsidRPr="00CE03EC" w:rsidR="009731FA" w:rsidP="009731FA" w:rsidRDefault="009731FA" w14:paraId="0639EADC" w14:textId="07585331">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 xml:space="preserve">Rolando Eyzaguirre </w:t>
      </w:r>
      <w:proofErr w:type="spellStart"/>
      <w:r w:rsidRPr="00CE03EC">
        <w:rPr>
          <w:rFonts w:ascii="Times New Roman" w:hAnsi="Times New Roman" w:cs="Times New Roman"/>
          <w:b/>
          <w:bCs/>
          <w:sz w:val="24"/>
          <w:szCs w:val="24"/>
          <w:lang w:val="es-PE"/>
        </w:rPr>
        <w:t>Maccan</w:t>
      </w:r>
      <w:proofErr w:type="spellEnd"/>
      <w:r w:rsidRPr="00CE03EC">
        <w:rPr>
          <w:rFonts w:ascii="Times New Roman" w:hAnsi="Times New Roman" w:cs="Times New Roman"/>
          <w:b/>
          <w:bCs/>
          <w:sz w:val="24"/>
          <w:szCs w:val="24"/>
          <w:lang w:val="es-PE"/>
        </w:rPr>
        <w:t xml:space="preserve"> – Vocal</w:t>
      </w:r>
    </w:p>
    <w:bookmarkEnd w:id="0"/>
    <w:p w:rsidRPr="00CE03EC" w:rsidR="00F71A2A" w:rsidP="00F71A2A" w:rsidRDefault="00F71A2A" w14:paraId="41234A74" w14:textId="6B2F4B06">
      <w:pPr>
        <w:spacing w:after="200" w:line="240" w:lineRule="auto"/>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Juan Fry Cipriani</w:t>
      </w:r>
      <w:r w:rsidRPr="00CE03EC">
        <w:rPr>
          <w:rFonts w:ascii="Times New Roman" w:hAnsi="Times New Roman" w:cs="Times New Roman"/>
          <w:b/>
          <w:bCs/>
          <w:sz w:val="24"/>
          <w:szCs w:val="24"/>
          <w:lang w:val="es-PE"/>
        </w:rPr>
        <w:t xml:space="preserve"> – Vocal</w:t>
      </w:r>
    </w:p>
    <w:p w:rsidRPr="009731FA" w:rsidR="00090598" w:rsidP="009731FA" w:rsidRDefault="00090598" w14:paraId="6C5C5449" w14:textId="388DAF43">
      <w:pPr>
        <w:spacing w:after="200" w:line="240" w:lineRule="auto"/>
        <w:jc w:val="center"/>
        <w:rPr>
          <w:rFonts w:ascii="Times New Roman" w:hAnsi="Times New Roman" w:cs="Times New Roman"/>
          <w:b/>
          <w:bCs/>
          <w:sz w:val="24"/>
          <w:szCs w:val="24"/>
          <w:lang w:val="es-PE"/>
        </w:rPr>
      </w:pPr>
    </w:p>
    <w:sectPr w:rsidRPr="009731FA" w:rsidR="00090598" w:rsidSect="002019FA">
      <w:headerReference w:type="default" r:id="rId11"/>
      <w:footerReference w:type="default" r:id="rId12"/>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0E0B" w:rsidP="00784355" w:rsidRDefault="00870E0B" w14:paraId="292C74BD" w14:textId="77777777">
      <w:pPr>
        <w:spacing w:after="0" w:line="240" w:lineRule="auto"/>
      </w:pPr>
      <w:r>
        <w:separator/>
      </w:r>
    </w:p>
  </w:endnote>
  <w:endnote w:type="continuationSeparator" w:id="0">
    <w:p w:rsidR="00870E0B" w:rsidP="00784355" w:rsidRDefault="00870E0B" w14:paraId="43CC96D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CE03EC">
              <w:rPr>
                <w:rFonts w:ascii="Times New Roman" w:hAnsi="Times New Roman" w:cs="Times New Roman"/>
                <w:sz w:val="18"/>
                <w:szCs w:val="18"/>
                <w:lang w:val="es-ES"/>
              </w:rPr>
              <w:t xml:space="preserve">Página </w:t>
            </w:r>
            <w:r w:rsidRPr="00CE03EC">
              <w:rPr>
                <w:rFonts w:ascii="Times New Roman" w:hAnsi="Times New Roman" w:cs="Times New Roman"/>
                <w:b/>
                <w:bCs/>
                <w:sz w:val="18"/>
                <w:szCs w:val="18"/>
              </w:rPr>
              <w:fldChar w:fldCharType="begin"/>
            </w:r>
            <w:r w:rsidRPr="00CE03EC">
              <w:rPr>
                <w:rFonts w:ascii="Times New Roman" w:hAnsi="Times New Roman" w:cs="Times New Roman"/>
                <w:b/>
                <w:bCs/>
                <w:sz w:val="18"/>
                <w:szCs w:val="18"/>
              </w:rPr>
              <w:instrText>PAGE</w:instrText>
            </w:r>
            <w:r w:rsidRPr="00CE03EC">
              <w:rPr>
                <w:rFonts w:ascii="Times New Roman" w:hAnsi="Times New Roman" w:cs="Times New Roman"/>
                <w:b/>
                <w:bCs/>
                <w:sz w:val="18"/>
                <w:szCs w:val="18"/>
              </w:rPr>
              <w:fldChar w:fldCharType="separate"/>
            </w:r>
            <w:r w:rsidRPr="00CE03EC">
              <w:rPr>
                <w:rFonts w:ascii="Times New Roman" w:hAnsi="Times New Roman" w:cs="Times New Roman"/>
                <w:b/>
                <w:bCs/>
                <w:sz w:val="18"/>
                <w:szCs w:val="18"/>
                <w:lang w:val="es-ES"/>
              </w:rPr>
              <w:t>2</w:t>
            </w:r>
            <w:r w:rsidRPr="00CE03EC">
              <w:rPr>
                <w:rFonts w:ascii="Times New Roman" w:hAnsi="Times New Roman" w:cs="Times New Roman"/>
                <w:b/>
                <w:bCs/>
                <w:sz w:val="18"/>
                <w:szCs w:val="18"/>
              </w:rPr>
              <w:fldChar w:fldCharType="end"/>
            </w:r>
            <w:r w:rsidRPr="00CE03EC">
              <w:rPr>
                <w:rFonts w:ascii="Times New Roman" w:hAnsi="Times New Roman" w:cs="Times New Roman"/>
                <w:sz w:val="18"/>
                <w:szCs w:val="18"/>
                <w:lang w:val="es-ES"/>
              </w:rPr>
              <w:t xml:space="preserve"> de </w:t>
            </w:r>
            <w:r w:rsidRPr="00CE03EC">
              <w:rPr>
                <w:rFonts w:ascii="Times New Roman" w:hAnsi="Times New Roman" w:cs="Times New Roman"/>
                <w:b/>
                <w:bCs/>
                <w:sz w:val="18"/>
                <w:szCs w:val="18"/>
              </w:rPr>
              <w:fldChar w:fldCharType="begin"/>
            </w:r>
            <w:r w:rsidRPr="00CE03EC">
              <w:rPr>
                <w:rFonts w:ascii="Times New Roman" w:hAnsi="Times New Roman" w:cs="Times New Roman"/>
                <w:b/>
                <w:bCs/>
                <w:sz w:val="18"/>
                <w:szCs w:val="18"/>
              </w:rPr>
              <w:instrText>NUMPAGES</w:instrText>
            </w:r>
            <w:r w:rsidRPr="00CE03EC">
              <w:rPr>
                <w:rFonts w:ascii="Times New Roman" w:hAnsi="Times New Roman" w:cs="Times New Roman"/>
                <w:b/>
                <w:bCs/>
                <w:sz w:val="18"/>
                <w:szCs w:val="18"/>
              </w:rPr>
              <w:fldChar w:fldCharType="separate"/>
            </w:r>
            <w:r w:rsidRPr="00CE03EC">
              <w:rPr>
                <w:rFonts w:ascii="Times New Roman" w:hAnsi="Times New Roman" w:cs="Times New Roman"/>
                <w:b/>
                <w:bCs/>
                <w:sz w:val="18"/>
                <w:szCs w:val="18"/>
                <w:lang w:val="es-ES"/>
              </w:rPr>
              <w:t>2</w:t>
            </w:r>
            <w:r w:rsidRPr="00CE03EC">
              <w:rPr>
                <w:rFonts w:ascii="Times New Roman" w:hAnsi="Times New Roman"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0E0B" w:rsidP="00784355" w:rsidRDefault="00870E0B" w14:paraId="79F8D2F7" w14:textId="77777777">
      <w:pPr>
        <w:spacing w:after="0" w:line="240" w:lineRule="auto"/>
      </w:pPr>
      <w:r>
        <w:separator/>
      </w:r>
    </w:p>
  </w:footnote>
  <w:footnote w:type="continuationSeparator" w:id="0">
    <w:p w:rsidR="00870E0B" w:rsidP="00784355" w:rsidRDefault="00870E0B" w14:paraId="0DBEC0F4" w14:textId="77777777">
      <w:pPr>
        <w:spacing w:after="0" w:line="240" w:lineRule="auto"/>
      </w:pPr>
      <w:r>
        <w:continuationSeparator/>
      </w:r>
    </w:p>
  </w:footnote>
  <w:footnote w:id="1">
    <w:p w:rsidRPr="00367CB5" w:rsidR="001E245E" w:rsidP="001E245E" w:rsidRDefault="001E245E" w14:paraId="628CAAE4" w14:textId="77777777">
      <w:pPr>
        <w:pStyle w:val="Textonotapie"/>
        <w:rPr>
          <w:rFonts w:ascii="Times New Roman" w:hAnsi="Times New Roman" w:cs="Times New Roman"/>
          <w:sz w:val="18"/>
          <w:szCs w:val="18"/>
          <w:lang w:val="es-PE"/>
        </w:rPr>
      </w:pPr>
      <w:r w:rsidRPr="00367CB5">
        <w:rPr>
          <w:rStyle w:val="Refdenotaalpie"/>
          <w:rFonts w:ascii="Times New Roman" w:hAnsi="Times New Roman" w:cs="Times New Roman"/>
          <w:sz w:val="18"/>
          <w:szCs w:val="18"/>
        </w:rPr>
        <w:footnoteRef/>
      </w:r>
      <w:r w:rsidRPr="00367CB5">
        <w:rPr>
          <w:rFonts w:ascii="Times New Roman" w:hAnsi="Times New Roman" w:cs="Times New Roman"/>
          <w:sz w:val="18"/>
          <w:szCs w:val="18"/>
        </w:rPr>
        <w:t xml:space="preserve"> https://www.mayoclinic.org/es/diseases-conditions/transverse-myelitis/symptoms-causes/syc-20354726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2A1AE"/>
    <w:multiLevelType w:val="hybridMultilevel"/>
    <w:tmpl w:val="48E636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3AA77B"/>
    <w:multiLevelType w:val="hybridMultilevel"/>
    <w:tmpl w:val="0715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78B1057"/>
    <w:multiLevelType w:val="hybridMultilevel"/>
    <w:tmpl w:val="F70A32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421FEC3"/>
    <w:multiLevelType w:val="hybridMultilevel"/>
    <w:tmpl w:val="CE156B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F456A3"/>
    <w:multiLevelType w:val="hybridMultilevel"/>
    <w:tmpl w:val="62AA38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484A279"/>
    <w:multiLevelType w:val="hybridMultilevel"/>
    <w:tmpl w:val="F4D7B3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41BCDE9"/>
    <w:multiLevelType w:val="hybridMultilevel"/>
    <w:tmpl w:val="E0ED516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E48BE51"/>
    <w:multiLevelType w:val="hybridMultilevel"/>
    <w:tmpl w:val="A8DD33D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D7969E0"/>
    <w:multiLevelType w:val="hybridMultilevel"/>
    <w:tmpl w:val="899155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1FEAD55"/>
    <w:multiLevelType w:val="hybridMultilevel"/>
    <w:tmpl w:val="71412B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35EBBB4"/>
    <w:multiLevelType w:val="hybridMultilevel"/>
    <w:tmpl w:val="B4B6F9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B763CF5"/>
    <w:multiLevelType w:val="hybridMultilevel"/>
    <w:tmpl w:val="24216E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1D15168"/>
    <w:multiLevelType w:val="hybridMultilevel"/>
    <w:tmpl w:val="DE6088A8"/>
    <w:lvl w:ilvl="0" w:tplc="241EF6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3" w15:restartNumberingAfterBreak="0">
    <w:nsid w:val="171E7EDE"/>
    <w:multiLevelType w:val="hybridMultilevel"/>
    <w:tmpl w:val="628CF2AC"/>
    <w:lvl w:ilvl="0" w:tplc="F7529D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4" w15:restartNumberingAfterBreak="0">
    <w:nsid w:val="24D937E1"/>
    <w:multiLevelType w:val="hybridMultilevel"/>
    <w:tmpl w:val="96E58D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467A16"/>
    <w:multiLevelType w:val="hybridMultilevel"/>
    <w:tmpl w:val="4CF011B8"/>
    <w:lvl w:ilvl="0" w:tplc="80E44A92">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40BDED90"/>
    <w:multiLevelType w:val="hybridMultilevel"/>
    <w:tmpl w:val="551D45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F160A9C"/>
    <w:multiLevelType w:val="hybridMultilevel"/>
    <w:tmpl w:val="39C789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25424E4"/>
    <w:multiLevelType w:val="hybridMultilevel"/>
    <w:tmpl w:val="E6F534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D4551A4"/>
    <w:multiLevelType w:val="hybridMultilevel"/>
    <w:tmpl w:val="758124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09928137">
    <w:abstractNumId w:val="21"/>
  </w:num>
  <w:num w:numId="2" w16cid:durableId="855851662">
    <w:abstractNumId w:val="11"/>
  </w:num>
  <w:num w:numId="3" w16cid:durableId="618100474">
    <w:abstractNumId w:val="8"/>
  </w:num>
  <w:num w:numId="4" w16cid:durableId="1957448340">
    <w:abstractNumId w:val="18"/>
  </w:num>
  <w:num w:numId="5" w16cid:durableId="2026131465">
    <w:abstractNumId w:val="20"/>
  </w:num>
  <w:num w:numId="6" w16cid:durableId="1619409169">
    <w:abstractNumId w:val="2"/>
  </w:num>
  <w:num w:numId="7" w16cid:durableId="400910086">
    <w:abstractNumId w:val="14"/>
  </w:num>
  <w:num w:numId="8" w16cid:durableId="1857183485">
    <w:abstractNumId w:val="1"/>
  </w:num>
  <w:num w:numId="9" w16cid:durableId="1878659279">
    <w:abstractNumId w:val="0"/>
  </w:num>
  <w:num w:numId="10" w16cid:durableId="1687320199">
    <w:abstractNumId w:val="4"/>
  </w:num>
  <w:num w:numId="11" w16cid:durableId="1598826948">
    <w:abstractNumId w:val="3"/>
  </w:num>
  <w:num w:numId="12" w16cid:durableId="1897662068">
    <w:abstractNumId w:val="10"/>
  </w:num>
  <w:num w:numId="13" w16cid:durableId="1776514146">
    <w:abstractNumId w:val="19"/>
  </w:num>
  <w:num w:numId="14" w16cid:durableId="1486051164">
    <w:abstractNumId w:val="9"/>
  </w:num>
  <w:num w:numId="15" w16cid:durableId="103035317">
    <w:abstractNumId w:val="16"/>
  </w:num>
  <w:num w:numId="16" w16cid:durableId="207882183">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5448998">
    <w:abstractNumId w:val="7"/>
  </w:num>
  <w:num w:numId="18" w16cid:durableId="690835528">
    <w:abstractNumId w:val="15"/>
  </w:num>
  <w:num w:numId="19" w16cid:durableId="1645352808">
    <w:abstractNumId w:val="17"/>
  </w:num>
  <w:num w:numId="20" w16cid:durableId="1942371151">
    <w:abstractNumId w:val="12"/>
  </w:num>
  <w:num w:numId="21" w16cid:durableId="1149705902">
    <w:abstractNumId w:val="13"/>
  </w:num>
  <w:num w:numId="22" w16cid:durableId="366881709">
    <w:abstractNumId w:val="5"/>
  </w:num>
  <w:num w:numId="23" w16cid:durableId="2430305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406B"/>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35D72"/>
    <w:rsid w:val="0004067A"/>
    <w:rsid w:val="0004480C"/>
    <w:rsid w:val="00044A74"/>
    <w:rsid w:val="000461D4"/>
    <w:rsid w:val="0004682F"/>
    <w:rsid w:val="00046990"/>
    <w:rsid w:val="00046DC0"/>
    <w:rsid w:val="0004799F"/>
    <w:rsid w:val="00047C8B"/>
    <w:rsid w:val="000512AD"/>
    <w:rsid w:val="000514BF"/>
    <w:rsid w:val="00053453"/>
    <w:rsid w:val="00053740"/>
    <w:rsid w:val="00053D16"/>
    <w:rsid w:val="00054805"/>
    <w:rsid w:val="00056D9F"/>
    <w:rsid w:val="00057846"/>
    <w:rsid w:val="00060259"/>
    <w:rsid w:val="000606C8"/>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6D3"/>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062"/>
    <w:rsid w:val="000D5F00"/>
    <w:rsid w:val="000D7B6B"/>
    <w:rsid w:val="000E6C90"/>
    <w:rsid w:val="000F17DA"/>
    <w:rsid w:val="000F1F1F"/>
    <w:rsid w:val="000F372E"/>
    <w:rsid w:val="000F4458"/>
    <w:rsid w:val="000F56CC"/>
    <w:rsid w:val="000F6340"/>
    <w:rsid w:val="00104B1E"/>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26E22"/>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0D9"/>
    <w:rsid w:val="00160361"/>
    <w:rsid w:val="00163D81"/>
    <w:rsid w:val="00163F8E"/>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FF1"/>
    <w:rsid w:val="001A44E1"/>
    <w:rsid w:val="001A555F"/>
    <w:rsid w:val="001A61E0"/>
    <w:rsid w:val="001A6554"/>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0C0"/>
    <w:rsid w:val="001E119C"/>
    <w:rsid w:val="001E212A"/>
    <w:rsid w:val="001E245E"/>
    <w:rsid w:val="001E4982"/>
    <w:rsid w:val="001E53E2"/>
    <w:rsid w:val="001E6143"/>
    <w:rsid w:val="001F0BD0"/>
    <w:rsid w:val="001F1398"/>
    <w:rsid w:val="001F522B"/>
    <w:rsid w:val="001F5DC4"/>
    <w:rsid w:val="001F6C7B"/>
    <w:rsid w:val="002019FA"/>
    <w:rsid w:val="00201C0D"/>
    <w:rsid w:val="00201EF2"/>
    <w:rsid w:val="002041EC"/>
    <w:rsid w:val="00204407"/>
    <w:rsid w:val="00205AC5"/>
    <w:rsid w:val="00206718"/>
    <w:rsid w:val="00207019"/>
    <w:rsid w:val="0020749F"/>
    <w:rsid w:val="002108AD"/>
    <w:rsid w:val="0021173F"/>
    <w:rsid w:val="0021192B"/>
    <w:rsid w:val="00211977"/>
    <w:rsid w:val="00211ACC"/>
    <w:rsid w:val="00211C72"/>
    <w:rsid w:val="002130B0"/>
    <w:rsid w:val="0021627D"/>
    <w:rsid w:val="0022049B"/>
    <w:rsid w:val="00225288"/>
    <w:rsid w:val="00227D02"/>
    <w:rsid w:val="00231C58"/>
    <w:rsid w:val="002331C3"/>
    <w:rsid w:val="002333AB"/>
    <w:rsid w:val="00234777"/>
    <w:rsid w:val="00234A33"/>
    <w:rsid w:val="00240D45"/>
    <w:rsid w:val="00241719"/>
    <w:rsid w:val="00242425"/>
    <w:rsid w:val="002424E4"/>
    <w:rsid w:val="00243DFC"/>
    <w:rsid w:val="00243F6B"/>
    <w:rsid w:val="0024405B"/>
    <w:rsid w:val="00245393"/>
    <w:rsid w:val="00247AB9"/>
    <w:rsid w:val="002528B8"/>
    <w:rsid w:val="00254641"/>
    <w:rsid w:val="00256E4E"/>
    <w:rsid w:val="00260B6D"/>
    <w:rsid w:val="00260F46"/>
    <w:rsid w:val="0026148B"/>
    <w:rsid w:val="0026162A"/>
    <w:rsid w:val="002616E9"/>
    <w:rsid w:val="00261D97"/>
    <w:rsid w:val="002647FE"/>
    <w:rsid w:val="00267BBE"/>
    <w:rsid w:val="0027261F"/>
    <w:rsid w:val="00272F4F"/>
    <w:rsid w:val="0027301E"/>
    <w:rsid w:val="00273738"/>
    <w:rsid w:val="00273E0B"/>
    <w:rsid w:val="00274985"/>
    <w:rsid w:val="00274A0C"/>
    <w:rsid w:val="0027653A"/>
    <w:rsid w:val="002768C6"/>
    <w:rsid w:val="00276A92"/>
    <w:rsid w:val="00277667"/>
    <w:rsid w:val="002804DF"/>
    <w:rsid w:val="002813C9"/>
    <w:rsid w:val="00282133"/>
    <w:rsid w:val="0028294E"/>
    <w:rsid w:val="002830BC"/>
    <w:rsid w:val="00283E79"/>
    <w:rsid w:val="00285D75"/>
    <w:rsid w:val="002866F5"/>
    <w:rsid w:val="00286C15"/>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0C11"/>
    <w:rsid w:val="002E1221"/>
    <w:rsid w:val="002E17F9"/>
    <w:rsid w:val="002E23B2"/>
    <w:rsid w:val="002E287E"/>
    <w:rsid w:val="002E2F76"/>
    <w:rsid w:val="002E4E90"/>
    <w:rsid w:val="002F09CA"/>
    <w:rsid w:val="002F35F0"/>
    <w:rsid w:val="002F478E"/>
    <w:rsid w:val="002F4AF5"/>
    <w:rsid w:val="002F5F01"/>
    <w:rsid w:val="002F60A5"/>
    <w:rsid w:val="002F7D42"/>
    <w:rsid w:val="00300E51"/>
    <w:rsid w:val="003011D8"/>
    <w:rsid w:val="00303740"/>
    <w:rsid w:val="003045E3"/>
    <w:rsid w:val="00306003"/>
    <w:rsid w:val="00306775"/>
    <w:rsid w:val="003069FA"/>
    <w:rsid w:val="00307257"/>
    <w:rsid w:val="003100E8"/>
    <w:rsid w:val="00310C00"/>
    <w:rsid w:val="00311DEC"/>
    <w:rsid w:val="0031238D"/>
    <w:rsid w:val="003128E2"/>
    <w:rsid w:val="003131DE"/>
    <w:rsid w:val="00314192"/>
    <w:rsid w:val="00314603"/>
    <w:rsid w:val="00316F8E"/>
    <w:rsid w:val="00317805"/>
    <w:rsid w:val="0032132E"/>
    <w:rsid w:val="00321785"/>
    <w:rsid w:val="00321EC9"/>
    <w:rsid w:val="00322AA1"/>
    <w:rsid w:val="003236CF"/>
    <w:rsid w:val="00326EB9"/>
    <w:rsid w:val="00330790"/>
    <w:rsid w:val="003314D9"/>
    <w:rsid w:val="00331F16"/>
    <w:rsid w:val="00333BAA"/>
    <w:rsid w:val="00340E4B"/>
    <w:rsid w:val="00341784"/>
    <w:rsid w:val="00341A52"/>
    <w:rsid w:val="00344B3D"/>
    <w:rsid w:val="00344E27"/>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67CB5"/>
    <w:rsid w:val="00370144"/>
    <w:rsid w:val="00372864"/>
    <w:rsid w:val="00372C56"/>
    <w:rsid w:val="0037363C"/>
    <w:rsid w:val="00374DFF"/>
    <w:rsid w:val="00374E5F"/>
    <w:rsid w:val="0037787C"/>
    <w:rsid w:val="00377F69"/>
    <w:rsid w:val="003812D2"/>
    <w:rsid w:val="0038290F"/>
    <w:rsid w:val="00386C29"/>
    <w:rsid w:val="00387409"/>
    <w:rsid w:val="00391C15"/>
    <w:rsid w:val="00391F72"/>
    <w:rsid w:val="00391FAD"/>
    <w:rsid w:val="00392259"/>
    <w:rsid w:val="003A0559"/>
    <w:rsid w:val="003A0905"/>
    <w:rsid w:val="003A12F3"/>
    <w:rsid w:val="003A1B63"/>
    <w:rsid w:val="003A30DA"/>
    <w:rsid w:val="003A3C08"/>
    <w:rsid w:val="003A3F8C"/>
    <w:rsid w:val="003A3FA8"/>
    <w:rsid w:val="003A4F3C"/>
    <w:rsid w:val="003A5658"/>
    <w:rsid w:val="003A584D"/>
    <w:rsid w:val="003A5B5C"/>
    <w:rsid w:val="003B32A5"/>
    <w:rsid w:val="003B348C"/>
    <w:rsid w:val="003B3A93"/>
    <w:rsid w:val="003B41F7"/>
    <w:rsid w:val="003B5044"/>
    <w:rsid w:val="003B798E"/>
    <w:rsid w:val="003C0445"/>
    <w:rsid w:val="003C1581"/>
    <w:rsid w:val="003C3BE2"/>
    <w:rsid w:val="003C76C4"/>
    <w:rsid w:val="003D0890"/>
    <w:rsid w:val="003D09A9"/>
    <w:rsid w:val="003D1A7E"/>
    <w:rsid w:val="003D4684"/>
    <w:rsid w:val="003D4687"/>
    <w:rsid w:val="003D5A42"/>
    <w:rsid w:val="003D690E"/>
    <w:rsid w:val="003D76D4"/>
    <w:rsid w:val="003E0091"/>
    <w:rsid w:val="003E03D3"/>
    <w:rsid w:val="003E0CC2"/>
    <w:rsid w:val="003E450C"/>
    <w:rsid w:val="003E4824"/>
    <w:rsid w:val="003E51B7"/>
    <w:rsid w:val="003E6977"/>
    <w:rsid w:val="003E7BAE"/>
    <w:rsid w:val="003F0C97"/>
    <w:rsid w:val="003F1149"/>
    <w:rsid w:val="003F1B5F"/>
    <w:rsid w:val="003F20C7"/>
    <w:rsid w:val="003F234B"/>
    <w:rsid w:val="003F2DC2"/>
    <w:rsid w:val="003F5262"/>
    <w:rsid w:val="00401E6A"/>
    <w:rsid w:val="00403814"/>
    <w:rsid w:val="004049B9"/>
    <w:rsid w:val="00411866"/>
    <w:rsid w:val="00411DEE"/>
    <w:rsid w:val="0041366A"/>
    <w:rsid w:val="00414109"/>
    <w:rsid w:val="00414A7B"/>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3875"/>
    <w:rsid w:val="00444232"/>
    <w:rsid w:val="00444DE9"/>
    <w:rsid w:val="00445D0D"/>
    <w:rsid w:val="0045040D"/>
    <w:rsid w:val="004504A1"/>
    <w:rsid w:val="004513F2"/>
    <w:rsid w:val="00452340"/>
    <w:rsid w:val="00452C11"/>
    <w:rsid w:val="00460C30"/>
    <w:rsid w:val="0046262B"/>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235E"/>
    <w:rsid w:val="004A28B4"/>
    <w:rsid w:val="004A3E25"/>
    <w:rsid w:val="004A3F7E"/>
    <w:rsid w:val="004A537B"/>
    <w:rsid w:val="004A542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2A10"/>
    <w:rsid w:val="004E3092"/>
    <w:rsid w:val="004E4AF3"/>
    <w:rsid w:val="004E65DD"/>
    <w:rsid w:val="004E72B4"/>
    <w:rsid w:val="004E75E2"/>
    <w:rsid w:val="004E78E9"/>
    <w:rsid w:val="004F467D"/>
    <w:rsid w:val="004F549E"/>
    <w:rsid w:val="004F7344"/>
    <w:rsid w:val="00500494"/>
    <w:rsid w:val="00504C79"/>
    <w:rsid w:val="00504F01"/>
    <w:rsid w:val="00511320"/>
    <w:rsid w:val="00516293"/>
    <w:rsid w:val="0051692C"/>
    <w:rsid w:val="00516ABD"/>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5CEF"/>
    <w:rsid w:val="00537DBF"/>
    <w:rsid w:val="00540F01"/>
    <w:rsid w:val="00541534"/>
    <w:rsid w:val="00542878"/>
    <w:rsid w:val="00542AFD"/>
    <w:rsid w:val="00543E68"/>
    <w:rsid w:val="00544BFC"/>
    <w:rsid w:val="0054553F"/>
    <w:rsid w:val="005466DB"/>
    <w:rsid w:val="00547EE5"/>
    <w:rsid w:val="00547F11"/>
    <w:rsid w:val="00550366"/>
    <w:rsid w:val="00551F42"/>
    <w:rsid w:val="005547BD"/>
    <w:rsid w:val="00556526"/>
    <w:rsid w:val="005570A7"/>
    <w:rsid w:val="005606DC"/>
    <w:rsid w:val="00561130"/>
    <w:rsid w:val="0056773D"/>
    <w:rsid w:val="00567B89"/>
    <w:rsid w:val="00567DEC"/>
    <w:rsid w:val="0057035B"/>
    <w:rsid w:val="0057428A"/>
    <w:rsid w:val="005818E3"/>
    <w:rsid w:val="00582D26"/>
    <w:rsid w:val="0058358B"/>
    <w:rsid w:val="00583A87"/>
    <w:rsid w:val="00585D65"/>
    <w:rsid w:val="00586854"/>
    <w:rsid w:val="00587F86"/>
    <w:rsid w:val="005948EF"/>
    <w:rsid w:val="005951FB"/>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0696"/>
    <w:rsid w:val="005F2582"/>
    <w:rsid w:val="005F265B"/>
    <w:rsid w:val="005F4C97"/>
    <w:rsid w:val="005F5311"/>
    <w:rsid w:val="00601339"/>
    <w:rsid w:val="00601861"/>
    <w:rsid w:val="0060197F"/>
    <w:rsid w:val="00601CB2"/>
    <w:rsid w:val="006055F6"/>
    <w:rsid w:val="00605902"/>
    <w:rsid w:val="00606105"/>
    <w:rsid w:val="0061124D"/>
    <w:rsid w:val="00611905"/>
    <w:rsid w:val="00613283"/>
    <w:rsid w:val="00613A39"/>
    <w:rsid w:val="006157B3"/>
    <w:rsid w:val="006214B0"/>
    <w:rsid w:val="00622ABC"/>
    <w:rsid w:val="00623204"/>
    <w:rsid w:val="00623B41"/>
    <w:rsid w:val="00624034"/>
    <w:rsid w:val="0062470C"/>
    <w:rsid w:val="00627C05"/>
    <w:rsid w:val="00631D8C"/>
    <w:rsid w:val="00631E24"/>
    <w:rsid w:val="0063347E"/>
    <w:rsid w:val="00637269"/>
    <w:rsid w:val="00637FC3"/>
    <w:rsid w:val="006442E0"/>
    <w:rsid w:val="006444A9"/>
    <w:rsid w:val="00645D40"/>
    <w:rsid w:val="0064607A"/>
    <w:rsid w:val="00647AEA"/>
    <w:rsid w:val="00652672"/>
    <w:rsid w:val="00654FC9"/>
    <w:rsid w:val="0065542B"/>
    <w:rsid w:val="00655625"/>
    <w:rsid w:val="0065568F"/>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0F81"/>
    <w:rsid w:val="00671B55"/>
    <w:rsid w:val="00671DB5"/>
    <w:rsid w:val="00674872"/>
    <w:rsid w:val="00674DE5"/>
    <w:rsid w:val="0067797A"/>
    <w:rsid w:val="00680D8A"/>
    <w:rsid w:val="00682454"/>
    <w:rsid w:val="00682684"/>
    <w:rsid w:val="006832CF"/>
    <w:rsid w:val="00686BB2"/>
    <w:rsid w:val="006878E1"/>
    <w:rsid w:val="0069304A"/>
    <w:rsid w:val="0069590B"/>
    <w:rsid w:val="00695BD5"/>
    <w:rsid w:val="0069684A"/>
    <w:rsid w:val="006969AA"/>
    <w:rsid w:val="00697D6C"/>
    <w:rsid w:val="006A048D"/>
    <w:rsid w:val="006A268D"/>
    <w:rsid w:val="006A2ADE"/>
    <w:rsid w:val="006A2DBF"/>
    <w:rsid w:val="006A3EBA"/>
    <w:rsid w:val="006A77BA"/>
    <w:rsid w:val="006B5CAE"/>
    <w:rsid w:val="006B6EA6"/>
    <w:rsid w:val="006B6FF3"/>
    <w:rsid w:val="006C0343"/>
    <w:rsid w:val="006C108B"/>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5BFC"/>
    <w:rsid w:val="00706392"/>
    <w:rsid w:val="00706EB2"/>
    <w:rsid w:val="00707C71"/>
    <w:rsid w:val="00707C99"/>
    <w:rsid w:val="0071145A"/>
    <w:rsid w:val="00711C9A"/>
    <w:rsid w:val="00716EE7"/>
    <w:rsid w:val="00717232"/>
    <w:rsid w:val="0072050F"/>
    <w:rsid w:val="00720DBC"/>
    <w:rsid w:val="00721A82"/>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19BC"/>
    <w:rsid w:val="00794424"/>
    <w:rsid w:val="00794C89"/>
    <w:rsid w:val="007950DD"/>
    <w:rsid w:val="00795A17"/>
    <w:rsid w:val="007965C0"/>
    <w:rsid w:val="007965E2"/>
    <w:rsid w:val="00797191"/>
    <w:rsid w:val="007A0200"/>
    <w:rsid w:val="007A09BB"/>
    <w:rsid w:val="007A1D74"/>
    <w:rsid w:val="007A20FA"/>
    <w:rsid w:val="007A4108"/>
    <w:rsid w:val="007A4811"/>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4B4"/>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298F"/>
    <w:rsid w:val="00834152"/>
    <w:rsid w:val="008356FF"/>
    <w:rsid w:val="00835AAF"/>
    <w:rsid w:val="00836831"/>
    <w:rsid w:val="00837DDE"/>
    <w:rsid w:val="00844191"/>
    <w:rsid w:val="00850F0A"/>
    <w:rsid w:val="008511DF"/>
    <w:rsid w:val="008523F5"/>
    <w:rsid w:val="008548F9"/>
    <w:rsid w:val="0085575C"/>
    <w:rsid w:val="0085791F"/>
    <w:rsid w:val="00857988"/>
    <w:rsid w:val="0086244F"/>
    <w:rsid w:val="0086262F"/>
    <w:rsid w:val="00870E0B"/>
    <w:rsid w:val="00871F40"/>
    <w:rsid w:val="00873D99"/>
    <w:rsid w:val="00874277"/>
    <w:rsid w:val="00874F99"/>
    <w:rsid w:val="00881AC0"/>
    <w:rsid w:val="0088213F"/>
    <w:rsid w:val="00883121"/>
    <w:rsid w:val="0088392F"/>
    <w:rsid w:val="00884426"/>
    <w:rsid w:val="008863B2"/>
    <w:rsid w:val="00886584"/>
    <w:rsid w:val="00886745"/>
    <w:rsid w:val="00886D60"/>
    <w:rsid w:val="0088730B"/>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C671D"/>
    <w:rsid w:val="008D1D39"/>
    <w:rsid w:val="008D4E58"/>
    <w:rsid w:val="008D5049"/>
    <w:rsid w:val="008D538C"/>
    <w:rsid w:val="008D6DDF"/>
    <w:rsid w:val="008D6FDB"/>
    <w:rsid w:val="008D721C"/>
    <w:rsid w:val="008E33FD"/>
    <w:rsid w:val="008E354E"/>
    <w:rsid w:val="008E40BE"/>
    <w:rsid w:val="008E44D1"/>
    <w:rsid w:val="008E661B"/>
    <w:rsid w:val="008E75E7"/>
    <w:rsid w:val="008E7F8A"/>
    <w:rsid w:val="008F1161"/>
    <w:rsid w:val="008F479E"/>
    <w:rsid w:val="009011F1"/>
    <w:rsid w:val="00905BA5"/>
    <w:rsid w:val="00910014"/>
    <w:rsid w:val="009117F7"/>
    <w:rsid w:val="009127A6"/>
    <w:rsid w:val="00914463"/>
    <w:rsid w:val="00914705"/>
    <w:rsid w:val="0091528B"/>
    <w:rsid w:val="009157B1"/>
    <w:rsid w:val="0091674F"/>
    <w:rsid w:val="00917CAF"/>
    <w:rsid w:val="00921004"/>
    <w:rsid w:val="00922FDE"/>
    <w:rsid w:val="00924F11"/>
    <w:rsid w:val="00925936"/>
    <w:rsid w:val="009271BE"/>
    <w:rsid w:val="009272D7"/>
    <w:rsid w:val="009305A8"/>
    <w:rsid w:val="00930611"/>
    <w:rsid w:val="00931503"/>
    <w:rsid w:val="00933532"/>
    <w:rsid w:val="00941528"/>
    <w:rsid w:val="009416FD"/>
    <w:rsid w:val="00942092"/>
    <w:rsid w:val="00942733"/>
    <w:rsid w:val="00942B53"/>
    <w:rsid w:val="00942C70"/>
    <w:rsid w:val="00943343"/>
    <w:rsid w:val="009439ED"/>
    <w:rsid w:val="00944ED2"/>
    <w:rsid w:val="009458C9"/>
    <w:rsid w:val="00945ECF"/>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599E"/>
    <w:rsid w:val="00966813"/>
    <w:rsid w:val="00967B16"/>
    <w:rsid w:val="00970284"/>
    <w:rsid w:val="00970EE4"/>
    <w:rsid w:val="009718FA"/>
    <w:rsid w:val="0097301B"/>
    <w:rsid w:val="009731FA"/>
    <w:rsid w:val="00973FEF"/>
    <w:rsid w:val="00974D2D"/>
    <w:rsid w:val="009754DD"/>
    <w:rsid w:val="009754E1"/>
    <w:rsid w:val="009759AC"/>
    <w:rsid w:val="00977C78"/>
    <w:rsid w:val="00977D49"/>
    <w:rsid w:val="00977E06"/>
    <w:rsid w:val="00980562"/>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263F"/>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2AC"/>
    <w:rsid w:val="00A427D6"/>
    <w:rsid w:val="00A46E96"/>
    <w:rsid w:val="00A4759A"/>
    <w:rsid w:val="00A47679"/>
    <w:rsid w:val="00A47AAA"/>
    <w:rsid w:val="00A501AE"/>
    <w:rsid w:val="00A507AC"/>
    <w:rsid w:val="00A52030"/>
    <w:rsid w:val="00A5230D"/>
    <w:rsid w:val="00A54504"/>
    <w:rsid w:val="00A5538F"/>
    <w:rsid w:val="00A5541B"/>
    <w:rsid w:val="00A5787A"/>
    <w:rsid w:val="00A60633"/>
    <w:rsid w:val="00A60E9F"/>
    <w:rsid w:val="00A61F56"/>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362C"/>
    <w:rsid w:val="00A94273"/>
    <w:rsid w:val="00A951BE"/>
    <w:rsid w:val="00A96644"/>
    <w:rsid w:val="00A97287"/>
    <w:rsid w:val="00AA0B0F"/>
    <w:rsid w:val="00AA15E5"/>
    <w:rsid w:val="00AA18F9"/>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5B75"/>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3783"/>
    <w:rsid w:val="00B1571D"/>
    <w:rsid w:val="00B17BD8"/>
    <w:rsid w:val="00B17E56"/>
    <w:rsid w:val="00B256E8"/>
    <w:rsid w:val="00B25C34"/>
    <w:rsid w:val="00B26EEA"/>
    <w:rsid w:val="00B30B53"/>
    <w:rsid w:val="00B313E9"/>
    <w:rsid w:val="00B32325"/>
    <w:rsid w:val="00B328E7"/>
    <w:rsid w:val="00B32AAC"/>
    <w:rsid w:val="00B3379E"/>
    <w:rsid w:val="00B340A4"/>
    <w:rsid w:val="00B340D4"/>
    <w:rsid w:val="00B34179"/>
    <w:rsid w:val="00B34434"/>
    <w:rsid w:val="00B355EC"/>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1DC"/>
    <w:rsid w:val="00B67430"/>
    <w:rsid w:val="00B710D8"/>
    <w:rsid w:val="00B73629"/>
    <w:rsid w:val="00B7466E"/>
    <w:rsid w:val="00B74AE3"/>
    <w:rsid w:val="00B75E89"/>
    <w:rsid w:val="00B76C2C"/>
    <w:rsid w:val="00B779BD"/>
    <w:rsid w:val="00B8021E"/>
    <w:rsid w:val="00B8028F"/>
    <w:rsid w:val="00B80988"/>
    <w:rsid w:val="00B81A69"/>
    <w:rsid w:val="00B8272C"/>
    <w:rsid w:val="00B833BE"/>
    <w:rsid w:val="00B86538"/>
    <w:rsid w:val="00B87B08"/>
    <w:rsid w:val="00B90099"/>
    <w:rsid w:val="00B90984"/>
    <w:rsid w:val="00B90F2F"/>
    <w:rsid w:val="00B91E2B"/>
    <w:rsid w:val="00B921E4"/>
    <w:rsid w:val="00B93C7A"/>
    <w:rsid w:val="00B94AD0"/>
    <w:rsid w:val="00B956C4"/>
    <w:rsid w:val="00B974E2"/>
    <w:rsid w:val="00BA303A"/>
    <w:rsid w:val="00BA4C54"/>
    <w:rsid w:val="00BA7FF0"/>
    <w:rsid w:val="00BB02FF"/>
    <w:rsid w:val="00BB2152"/>
    <w:rsid w:val="00BB2BE0"/>
    <w:rsid w:val="00BB3529"/>
    <w:rsid w:val="00BB3784"/>
    <w:rsid w:val="00BB405B"/>
    <w:rsid w:val="00BB4B19"/>
    <w:rsid w:val="00BB68F9"/>
    <w:rsid w:val="00BB7FC6"/>
    <w:rsid w:val="00BC29D0"/>
    <w:rsid w:val="00BC4043"/>
    <w:rsid w:val="00BC4FD6"/>
    <w:rsid w:val="00BC7060"/>
    <w:rsid w:val="00BC752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410"/>
    <w:rsid w:val="00C33FEF"/>
    <w:rsid w:val="00C34017"/>
    <w:rsid w:val="00C355DF"/>
    <w:rsid w:val="00C4007D"/>
    <w:rsid w:val="00C4163B"/>
    <w:rsid w:val="00C41F24"/>
    <w:rsid w:val="00C43FD0"/>
    <w:rsid w:val="00C4691E"/>
    <w:rsid w:val="00C47619"/>
    <w:rsid w:val="00C51445"/>
    <w:rsid w:val="00C5168E"/>
    <w:rsid w:val="00C51D2A"/>
    <w:rsid w:val="00C52848"/>
    <w:rsid w:val="00C52F61"/>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4FE3"/>
    <w:rsid w:val="00C767DA"/>
    <w:rsid w:val="00C805FB"/>
    <w:rsid w:val="00C80CA7"/>
    <w:rsid w:val="00C81B43"/>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4013"/>
    <w:rsid w:val="00CB44BB"/>
    <w:rsid w:val="00CB4580"/>
    <w:rsid w:val="00CC2A7C"/>
    <w:rsid w:val="00CC3476"/>
    <w:rsid w:val="00CC4AEF"/>
    <w:rsid w:val="00CC6C0C"/>
    <w:rsid w:val="00CC719D"/>
    <w:rsid w:val="00CD0D1C"/>
    <w:rsid w:val="00CD38AE"/>
    <w:rsid w:val="00CD44B9"/>
    <w:rsid w:val="00CD482D"/>
    <w:rsid w:val="00CD4BE8"/>
    <w:rsid w:val="00CD55A9"/>
    <w:rsid w:val="00CE03EC"/>
    <w:rsid w:val="00CE2834"/>
    <w:rsid w:val="00CE4CF1"/>
    <w:rsid w:val="00CE51C3"/>
    <w:rsid w:val="00CE7264"/>
    <w:rsid w:val="00CF158B"/>
    <w:rsid w:val="00CF5301"/>
    <w:rsid w:val="00CF534A"/>
    <w:rsid w:val="00CF55D6"/>
    <w:rsid w:val="00CF6484"/>
    <w:rsid w:val="00CF78D3"/>
    <w:rsid w:val="00D016C5"/>
    <w:rsid w:val="00D01B41"/>
    <w:rsid w:val="00D02312"/>
    <w:rsid w:val="00D10177"/>
    <w:rsid w:val="00D10B27"/>
    <w:rsid w:val="00D11264"/>
    <w:rsid w:val="00D11CB9"/>
    <w:rsid w:val="00D121FA"/>
    <w:rsid w:val="00D12B6B"/>
    <w:rsid w:val="00D12CFF"/>
    <w:rsid w:val="00D14AF4"/>
    <w:rsid w:val="00D153C3"/>
    <w:rsid w:val="00D156AF"/>
    <w:rsid w:val="00D15A86"/>
    <w:rsid w:val="00D16367"/>
    <w:rsid w:val="00D16699"/>
    <w:rsid w:val="00D202C6"/>
    <w:rsid w:val="00D2092C"/>
    <w:rsid w:val="00D228DE"/>
    <w:rsid w:val="00D22DC3"/>
    <w:rsid w:val="00D23454"/>
    <w:rsid w:val="00D25683"/>
    <w:rsid w:val="00D27042"/>
    <w:rsid w:val="00D321AA"/>
    <w:rsid w:val="00D322D9"/>
    <w:rsid w:val="00D333A4"/>
    <w:rsid w:val="00D345C8"/>
    <w:rsid w:val="00D34C3D"/>
    <w:rsid w:val="00D35DD1"/>
    <w:rsid w:val="00D40191"/>
    <w:rsid w:val="00D4077C"/>
    <w:rsid w:val="00D422AF"/>
    <w:rsid w:val="00D4253A"/>
    <w:rsid w:val="00D425C7"/>
    <w:rsid w:val="00D43982"/>
    <w:rsid w:val="00D43EB8"/>
    <w:rsid w:val="00D45148"/>
    <w:rsid w:val="00D46C5C"/>
    <w:rsid w:val="00D50B42"/>
    <w:rsid w:val="00D513C0"/>
    <w:rsid w:val="00D5307F"/>
    <w:rsid w:val="00D56587"/>
    <w:rsid w:val="00D56939"/>
    <w:rsid w:val="00D57228"/>
    <w:rsid w:val="00D618A4"/>
    <w:rsid w:val="00D61C6D"/>
    <w:rsid w:val="00D624A6"/>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87070"/>
    <w:rsid w:val="00D91782"/>
    <w:rsid w:val="00D92107"/>
    <w:rsid w:val="00D94999"/>
    <w:rsid w:val="00D9620F"/>
    <w:rsid w:val="00DA0540"/>
    <w:rsid w:val="00DA0762"/>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D7806"/>
    <w:rsid w:val="00DD7BB8"/>
    <w:rsid w:val="00DE09C3"/>
    <w:rsid w:val="00DE2966"/>
    <w:rsid w:val="00DE4D13"/>
    <w:rsid w:val="00DE6DA2"/>
    <w:rsid w:val="00DF0424"/>
    <w:rsid w:val="00DF3781"/>
    <w:rsid w:val="00DF6291"/>
    <w:rsid w:val="00DF6E69"/>
    <w:rsid w:val="00DF6FA9"/>
    <w:rsid w:val="00DF779F"/>
    <w:rsid w:val="00E0140B"/>
    <w:rsid w:val="00E01785"/>
    <w:rsid w:val="00E01BEC"/>
    <w:rsid w:val="00E03F92"/>
    <w:rsid w:val="00E06847"/>
    <w:rsid w:val="00E06EE2"/>
    <w:rsid w:val="00E107CA"/>
    <w:rsid w:val="00E1216B"/>
    <w:rsid w:val="00E1406E"/>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1CE1"/>
    <w:rsid w:val="00E42C7B"/>
    <w:rsid w:val="00E43171"/>
    <w:rsid w:val="00E43B5E"/>
    <w:rsid w:val="00E43D94"/>
    <w:rsid w:val="00E45B51"/>
    <w:rsid w:val="00E50A48"/>
    <w:rsid w:val="00E52515"/>
    <w:rsid w:val="00E52518"/>
    <w:rsid w:val="00E531B9"/>
    <w:rsid w:val="00E53BC5"/>
    <w:rsid w:val="00E56BAF"/>
    <w:rsid w:val="00E5758B"/>
    <w:rsid w:val="00E57869"/>
    <w:rsid w:val="00E60C64"/>
    <w:rsid w:val="00E6191D"/>
    <w:rsid w:val="00E61DBC"/>
    <w:rsid w:val="00E637A7"/>
    <w:rsid w:val="00E64057"/>
    <w:rsid w:val="00E664B4"/>
    <w:rsid w:val="00E66AFF"/>
    <w:rsid w:val="00E66FE2"/>
    <w:rsid w:val="00E6771C"/>
    <w:rsid w:val="00E70381"/>
    <w:rsid w:val="00E705E6"/>
    <w:rsid w:val="00E70EAE"/>
    <w:rsid w:val="00E70F8F"/>
    <w:rsid w:val="00E716E5"/>
    <w:rsid w:val="00E729DC"/>
    <w:rsid w:val="00E73DEF"/>
    <w:rsid w:val="00E753EC"/>
    <w:rsid w:val="00E76B3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2629"/>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0731"/>
    <w:rsid w:val="00EE184B"/>
    <w:rsid w:val="00EE1C4A"/>
    <w:rsid w:val="00EE6052"/>
    <w:rsid w:val="00EE6BEB"/>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038B"/>
    <w:rsid w:val="00F439B5"/>
    <w:rsid w:val="00F43D2A"/>
    <w:rsid w:val="00F44002"/>
    <w:rsid w:val="00F44F77"/>
    <w:rsid w:val="00F45F80"/>
    <w:rsid w:val="00F52E75"/>
    <w:rsid w:val="00F54303"/>
    <w:rsid w:val="00F54638"/>
    <w:rsid w:val="00F54C75"/>
    <w:rsid w:val="00F57DED"/>
    <w:rsid w:val="00F63F49"/>
    <w:rsid w:val="00F6477C"/>
    <w:rsid w:val="00F65837"/>
    <w:rsid w:val="00F663F6"/>
    <w:rsid w:val="00F6707C"/>
    <w:rsid w:val="00F70C4B"/>
    <w:rsid w:val="00F713A4"/>
    <w:rsid w:val="00F715EA"/>
    <w:rsid w:val="00F71A2A"/>
    <w:rsid w:val="00F72D00"/>
    <w:rsid w:val="00F771DE"/>
    <w:rsid w:val="00F776FF"/>
    <w:rsid w:val="00F8064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0DAD"/>
    <w:rsid w:val="00FB297F"/>
    <w:rsid w:val="00FB3014"/>
    <w:rsid w:val="00FB4B0C"/>
    <w:rsid w:val="00FB638E"/>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1EDF"/>
    <w:rsid w:val="00FF41F3"/>
    <w:rsid w:val="00FF548B"/>
    <w:rsid w:val="05361524"/>
    <w:rsid w:val="0B54AC6D"/>
    <w:rsid w:val="0C1940A5"/>
    <w:rsid w:val="0C7C00CC"/>
    <w:rsid w:val="10B723C3"/>
    <w:rsid w:val="167B65A5"/>
    <w:rsid w:val="1A0098A4"/>
    <w:rsid w:val="1E85359A"/>
    <w:rsid w:val="2366145C"/>
    <w:rsid w:val="2CA6E011"/>
    <w:rsid w:val="2FB9EC2C"/>
    <w:rsid w:val="38C9F3AE"/>
    <w:rsid w:val="3C204D41"/>
    <w:rsid w:val="5F7F827A"/>
    <w:rsid w:val="63C34433"/>
    <w:rsid w:val="6435D7A2"/>
    <w:rsid w:val="72CC5BE4"/>
    <w:rsid w:val="7E0FB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3454"/>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 w:type="character" w:styleId="derartculofecha" w:customStyle="1">
    <w:name w:val="derartculofecha"/>
    <w:rsid w:val="00965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596644609">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66197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64169526">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45791461">
      <w:bodyDiv w:val="1"/>
      <w:marLeft w:val="0"/>
      <w:marRight w:val="0"/>
      <w:marTop w:val="0"/>
      <w:marBottom w:val="0"/>
      <w:divBdr>
        <w:top w:val="none" w:sz="0" w:space="0" w:color="auto"/>
        <w:left w:val="none" w:sz="0" w:space="0" w:color="auto"/>
        <w:bottom w:val="none" w:sz="0" w:space="0" w:color="auto"/>
        <w:right w:val="none" w:sz="0" w:space="0" w:color="auto"/>
      </w:divBdr>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D2730DF-7C6A-4BCA-B4D3-93BD3C76F58E}"/>
</file>

<file path=customXml/itemProps3.xml><?xml version="1.0" encoding="utf-8"?>
<ds:datastoreItem xmlns:ds="http://schemas.openxmlformats.org/officeDocument/2006/customXml" ds:itemID="{AE80F756-97DA-43FE-93D7-87C6ABE102A5}"/>
</file>

<file path=customXml/itemProps4.xml><?xml version="1.0" encoding="utf-8"?>
<ds:datastoreItem xmlns:ds="http://schemas.openxmlformats.org/officeDocument/2006/customXml" ds:itemID="{9BC1942F-EFAA-4232-BBFC-8BEE61680B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25</cp:revision>
  <cp:lastPrinted>2025-10-21T15:51:00Z</cp:lastPrinted>
  <dcterms:created xsi:type="dcterms:W3CDTF">2025-10-02T08:29:00Z</dcterms:created>
  <dcterms:modified xsi:type="dcterms:W3CDTF">2026-05-26T20:03:34Z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