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029AD" w:rsidR="000341A4" w:rsidP="000341A4" w:rsidRDefault="000341A4" w14:paraId="6752CB7C" w14:textId="77777777">
      <w:pPr>
        <w:pStyle w:val="Puesto"/>
        <w:tabs>
          <w:tab w:val="left" w:pos="2730"/>
          <w:tab w:val="center" w:pos="4419"/>
        </w:tabs>
        <w:outlineLvl w:val="0"/>
        <w:rPr>
          <w:rStyle w:val="Textoennegrita"/>
          <w:b/>
          <w:bCs/>
          <w:lang w:val="es-ES"/>
        </w:rPr>
      </w:pPr>
    </w:p>
    <w:p w:rsidRPr="00E029AD" w:rsidR="000341A4" w:rsidP="000341A4" w:rsidRDefault="000341A4" w14:paraId="56329F19" w14:textId="77777777">
      <w:pPr>
        <w:pStyle w:val="Puesto"/>
        <w:tabs>
          <w:tab w:val="left" w:pos="2730"/>
          <w:tab w:val="center" w:pos="4419"/>
        </w:tabs>
        <w:outlineLvl w:val="0"/>
        <w:rPr>
          <w:rStyle w:val="Textoennegrita"/>
          <w:b/>
          <w:bCs/>
          <w:lang w:val="es-ES"/>
        </w:rPr>
      </w:pPr>
    </w:p>
    <w:p w:rsidRPr="00C84FC8" w:rsidR="00D645CF" w:rsidP="00AF57F2" w:rsidRDefault="00D00142" w14:paraId="587C9FEE" w14:textId="41772D6A">
      <w:pPr>
        <w:pStyle w:val="Puesto"/>
        <w:tabs>
          <w:tab w:val="left" w:pos="2730"/>
          <w:tab w:val="center" w:pos="4419"/>
        </w:tabs>
        <w:outlineLvl w:val="0"/>
        <w:rPr>
          <w:rStyle w:val="Textoennegrita"/>
          <w:b/>
          <w:bCs/>
          <w:lang w:val="es-ES"/>
        </w:rPr>
      </w:pPr>
      <w:r w:rsidRPr="00C84FC8">
        <w:rPr>
          <w:rStyle w:val="Textoennegrita"/>
          <w:b/>
          <w:bCs/>
          <w:lang w:val="es-ES"/>
        </w:rPr>
        <w:t>RESOLUCION N°</w:t>
      </w:r>
      <w:r w:rsidRPr="00C84FC8" w:rsidR="000341A4">
        <w:rPr>
          <w:rStyle w:val="Textoennegrita"/>
          <w:b/>
          <w:bCs/>
          <w:lang w:val="es-ES"/>
        </w:rPr>
        <w:t xml:space="preserve"> </w:t>
      </w:r>
      <w:r w:rsidR="006D4E29">
        <w:rPr>
          <w:rStyle w:val="Textoennegrita"/>
          <w:b/>
          <w:bCs/>
          <w:lang w:val="es-ES"/>
        </w:rPr>
        <w:t>164</w:t>
      </w:r>
      <w:r w:rsidRPr="00C84FC8">
        <w:rPr>
          <w:rStyle w:val="Textoennegrita"/>
          <w:b/>
          <w:bCs/>
          <w:lang w:val="es-ES"/>
        </w:rPr>
        <w:t>/2</w:t>
      </w:r>
      <w:r w:rsidRPr="00C84FC8" w:rsidR="00205BBE">
        <w:rPr>
          <w:rStyle w:val="Textoennegrita"/>
          <w:b/>
          <w:bCs/>
          <w:lang w:val="es-ES"/>
        </w:rPr>
        <w:t>5</w:t>
      </w:r>
    </w:p>
    <w:p w:rsidRPr="00C84FC8" w:rsidR="0008736D" w:rsidP="0008736D" w:rsidRDefault="0008736D" w14:paraId="2E47358E" w14:textId="6D1B47CF">
      <w:pPr>
        <w:rPr>
          <w:rFonts w:ascii="Times New Roman" w:hAnsi="Times New Roman" w:eastAsia="Times New Roman"/>
          <w:b/>
          <w:sz w:val="24"/>
          <w:szCs w:val="24"/>
        </w:rPr>
      </w:pPr>
      <w:r w:rsidRPr="00C84FC8">
        <w:rPr>
          <w:rFonts w:ascii="Times New Roman" w:hAnsi="Times New Roman"/>
          <w:b/>
          <w:sz w:val="24"/>
          <w:szCs w:val="24"/>
        </w:rPr>
        <w:t>VISTOS:</w:t>
      </w:r>
    </w:p>
    <w:p w:rsidRPr="00C84FC8" w:rsidR="00B5444C" w:rsidP="43F1B4AF" w:rsidRDefault="0008736D" w14:paraId="0999AC46" w14:textId="11855437">
      <w:pPr>
        <w:pStyle w:val="paragraph"/>
        <w:spacing w:before="0" w:beforeAutospacing="off" w:after="0" w:afterAutospacing="off"/>
        <w:jc w:val="both"/>
        <w:textAlignment w:val="baseline"/>
        <w:rPr>
          <w:b w:val="1"/>
          <w:bCs w:val="1"/>
          <w:lang w:val="es-PE"/>
        </w:rPr>
      </w:pPr>
      <w:r w:rsidRPr="43F1B4AF" w:rsidR="0008736D">
        <w:rPr>
          <w:lang w:val="es-PE"/>
        </w:rPr>
        <w:t>Que,</w:t>
      </w:r>
      <w:r w:rsidRPr="43F1B4AF" w:rsidR="0007296C">
        <w:rPr>
          <w:lang w:val="es-PE"/>
        </w:rPr>
        <w:t xml:space="preserve"> </w:t>
      </w:r>
      <w:r w:rsidRPr="43F1B4AF" w:rsidR="0B1FF966">
        <w:rPr>
          <w:b w:val="1"/>
          <w:bCs w:val="1"/>
          <w:lang w:val="es-PE"/>
        </w:rPr>
        <w:t>..................................................................................</w:t>
      </w:r>
      <w:r w:rsidR="00FC0D65">
        <w:rPr/>
        <w:t xml:space="preserve"> </w:t>
      </w:r>
      <w:r w:rsidR="0008736D">
        <w:rPr/>
        <w:t xml:space="preserve">interpone </w:t>
      </w:r>
      <w:r w:rsidR="0008736D">
        <w:rPr/>
        <w:t xml:space="preserve">reclamación ante esta Defensoría del Asegurado (DEFASEG) contra </w:t>
      </w:r>
      <w:r w:rsidRPr="43F1B4AF" w:rsidR="25D30F5E">
        <w:rPr>
          <w:b w:val="1"/>
          <w:bCs w:val="1"/>
        </w:rPr>
        <w:t>..................................</w:t>
      </w:r>
      <w:r w:rsidR="0008736D">
        <w:rPr/>
        <w:t>, solicitando se le</w:t>
      </w:r>
      <w:r w:rsidR="0008736D">
        <w:rPr/>
        <w:t xml:space="preserve"> otorgue la cobertura del</w:t>
      </w:r>
      <w:r w:rsidRPr="43F1B4AF" w:rsidR="0008736D">
        <w:rPr>
          <w:b w:val="1"/>
          <w:bCs w:val="1"/>
        </w:rPr>
        <w:t xml:space="preserve"> SEGURO</w:t>
      </w:r>
      <w:r w:rsidRPr="43F1B4AF" w:rsidR="00574BDD">
        <w:rPr>
          <w:b w:val="1"/>
          <w:bCs w:val="1"/>
        </w:rPr>
        <w:t xml:space="preserve"> </w:t>
      </w:r>
      <w:r w:rsidRPr="43F1B4AF" w:rsidR="0008736D">
        <w:rPr>
          <w:b w:val="1"/>
          <w:bCs w:val="1"/>
        </w:rPr>
        <w:t>PROTECCIÓN DE TARJETA</w:t>
      </w:r>
      <w:bookmarkStart w:name="OLE_LINK2" w:id="0"/>
      <w:r w:rsidRPr="43F1B4AF" w:rsidR="008C2C4F">
        <w:rPr>
          <w:b w:val="1"/>
          <w:bCs w:val="1"/>
        </w:rPr>
        <w:t>S</w:t>
      </w:r>
      <w:r w:rsidRPr="43F1B4AF" w:rsidR="0008736D">
        <w:rPr>
          <w:b w:val="1"/>
          <w:bCs w:val="1"/>
        </w:rPr>
        <w:t xml:space="preserve"> CON PÓLIZA </w:t>
      </w:r>
      <w:r w:rsidRPr="43F1B4AF" w:rsidR="0008736D">
        <w:rPr>
          <w:b w:val="1"/>
          <w:bCs w:val="1"/>
        </w:rPr>
        <w:t>N°</w:t>
      </w:r>
      <w:r w:rsidRPr="43F1B4AF" w:rsidR="00133655">
        <w:rPr>
          <w:rFonts w:eastAsia="Calibri"/>
          <w:lang w:val="es-PE" w:eastAsia="en-US"/>
        </w:rPr>
        <w:t xml:space="preserve"> </w:t>
      </w:r>
      <w:r w:rsidRPr="43F1B4AF" w:rsidR="0224A146">
        <w:rPr>
          <w:b w:val="1"/>
          <w:bCs w:val="1"/>
          <w:lang w:val="es-PE"/>
        </w:rPr>
        <w:t>.......................</w:t>
      </w:r>
      <w:r w:rsidRPr="43F1B4AF" w:rsidR="0008736D">
        <w:rPr>
          <w:b w:val="1"/>
          <w:bCs w:val="1"/>
        </w:rPr>
        <w:t>.</w:t>
      </w:r>
    </w:p>
    <w:p w:rsidR="0008736D" w:rsidP="0008736D" w:rsidRDefault="0008736D" w14:paraId="72D31300" w14:textId="77777777">
      <w:pPr>
        <w:pStyle w:val="paragraph"/>
        <w:spacing w:before="0" w:beforeAutospacing="0" w:after="0" w:afterAutospacing="0"/>
        <w:jc w:val="both"/>
        <w:textAlignment w:val="baseline"/>
      </w:pPr>
    </w:p>
    <w:bookmarkEnd w:id="0"/>
    <w:p w:rsidRPr="0051483B" w:rsidR="0008736D" w:rsidP="0008736D" w:rsidRDefault="0008736D" w14:paraId="24E48DED" w14:textId="17F47046">
      <w:pPr>
        <w:jc w:val="both"/>
        <w:rPr>
          <w:rFonts w:ascii="Times New Roman" w:hAnsi="Times New Roman" w:eastAsia="Arial Unicode MS"/>
          <w:sz w:val="24"/>
          <w:szCs w:val="24"/>
        </w:rPr>
      </w:pPr>
      <w:r w:rsidRPr="0051483B">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51483B">
          <w:rPr>
            <w:rStyle w:val="Hipervnculo"/>
            <w:rFonts w:ascii="Times New Roman" w:hAnsi="Times New Roman" w:eastAsia="Arial Unicode MS"/>
            <w:sz w:val="24"/>
            <w:szCs w:val="24"/>
          </w:rPr>
          <w:t>http://www.defaseg.com.pe/reglamento</w:t>
        </w:r>
      </w:hyperlink>
      <w:r w:rsidRPr="0051483B">
        <w:rPr>
          <w:rFonts w:ascii="Times New Roman" w:hAnsi="Times New Roman" w:eastAsia="Arial Unicode MS"/>
          <w:sz w:val="24"/>
          <w:szCs w:val="24"/>
        </w:rPr>
        <w:t>);</w:t>
      </w:r>
    </w:p>
    <w:p w:rsidRPr="0051483B" w:rsidR="0008736D" w:rsidP="0008736D" w:rsidRDefault="0008736D" w14:paraId="0C4812F7" w14:textId="5CC8A1CF">
      <w:pPr>
        <w:tabs>
          <w:tab w:val="num" w:pos="720"/>
        </w:tabs>
        <w:jc w:val="both"/>
        <w:rPr>
          <w:rFonts w:ascii="Times New Roman" w:hAnsi="Times New Roman"/>
          <w:sz w:val="24"/>
          <w:szCs w:val="24"/>
        </w:rPr>
      </w:pPr>
      <w:r w:rsidRPr="0051483B">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51483B" w:rsidR="0008736D" w:rsidP="0008736D" w:rsidRDefault="0008736D" w14:paraId="2300B904" w14:textId="2AC0B07A">
      <w:pPr>
        <w:jc w:val="both"/>
        <w:rPr>
          <w:rFonts w:ascii="Times New Roman" w:hAnsi="Times New Roman"/>
          <w:sz w:val="24"/>
          <w:szCs w:val="24"/>
          <w:lang w:val="es-ES"/>
        </w:rPr>
      </w:pPr>
      <w:r w:rsidRPr="43F1B4AF" w:rsidR="0008736D">
        <w:rPr>
          <w:rFonts w:ascii="Times New Roman" w:hAnsi="Times New Roman"/>
          <w:sz w:val="24"/>
          <w:szCs w:val="24"/>
        </w:rPr>
        <w:t xml:space="preserve">Que, con fecha </w:t>
      </w:r>
      <w:r w:rsidRPr="43F1B4AF" w:rsidR="000B361D">
        <w:rPr>
          <w:rFonts w:ascii="Times New Roman" w:hAnsi="Times New Roman"/>
          <w:sz w:val="24"/>
          <w:szCs w:val="24"/>
        </w:rPr>
        <w:t>11</w:t>
      </w:r>
      <w:r w:rsidRPr="43F1B4AF" w:rsidR="00A967F7">
        <w:rPr>
          <w:rFonts w:ascii="Times New Roman" w:hAnsi="Times New Roman"/>
          <w:sz w:val="24"/>
          <w:szCs w:val="24"/>
        </w:rPr>
        <w:t xml:space="preserve"> </w:t>
      </w:r>
      <w:r w:rsidRPr="43F1B4AF" w:rsidR="0008736D">
        <w:rPr>
          <w:rFonts w:ascii="Times New Roman" w:hAnsi="Times New Roman"/>
          <w:sz w:val="24"/>
          <w:szCs w:val="24"/>
        </w:rPr>
        <w:t xml:space="preserve">de </w:t>
      </w:r>
      <w:r w:rsidRPr="43F1B4AF" w:rsidR="000B361D">
        <w:rPr>
          <w:rFonts w:ascii="Times New Roman" w:hAnsi="Times New Roman"/>
          <w:sz w:val="24"/>
          <w:szCs w:val="24"/>
        </w:rPr>
        <w:t>diciembre</w:t>
      </w:r>
      <w:r w:rsidRPr="43F1B4AF" w:rsidR="00DF62A0">
        <w:rPr>
          <w:rFonts w:ascii="Times New Roman" w:hAnsi="Times New Roman"/>
          <w:sz w:val="24"/>
          <w:szCs w:val="24"/>
        </w:rPr>
        <w:t xml:space="preserve"> </w:t>
      </w:r>
      <w:r w:rsidRPr="43F1B4AF" w:rsidR="0008736D">
        <w:rPr>
          <w:rFonts w:ascii="Times New Roman" w:hAnsi="Times New Roman"/>
          <w:sz w:val="24"/>
          <w:szCs w:val="24"/>
        </w:rPr>
        <w:t>de 202</w:t>
      </w:r>
      <w:r w:rsidRPr="43F1B4AF" w:rsidR="000B361D">
        <w:rPr>
          <w:rFonts w:ascii="Times New Roman" w:hAnsi="Times New Roman"/>
          <w:sz w:val="24"/>
          <w:szCs w:val="24"/>
        </w:rPr>
        <w:t>4</w:t>
      </w:r>
      <w:r w:rsidRPr="43F1B4AF" w:rsidR="0008736D">
        <w:rPr>
          <w:rFonts w:ascii="Times New Roman" w:hAnsi="Times New Roman"/>
          <w:sz w:val="24"/>
          <w:szCs w:val="24"/>
        </w:rPr>
        <w:t xml:space="preserve"> se corrió traslado de la reclamación a </w:t>
      </w:r>
      <w:r w:rsidRPr="43F1B4AF" w:rsidR="25D30F5E">
        <w:rPr>
          <w:rFonts w:ascii="Times New Roman" w:hAnsi="Times New Roman"/>
          <w:sz w:val="24"/>
          <w:szCs w:val="24"/>
        </w:rPr>
        <w:t>..................................</w:t>
      </w:r>
      <w:r w:rsidRPr="43F1B4AF" w:rsidR="0008736D">
        <w:rPr>
          <w:rFonts w:ascii="Times New Roman" w:hAnsi="Times New Roman"/>
          <w:sz w:val="24"/>
          <w:szCs w:val="24"/>
        </w:rPr>
        <w:t xml:space="preserve">, siendo que con fecha </w:t>
      </w:r>
      <w:r w:rsidRPr="43F1B4AF" w:rsidR="000B361D">
        <w:rPr>
          <w:rFonts w:ascii="Times New Roman" w:hAnsi="Times New Roman"/>
          <w:sz w:val="24"/>
          <w:szCs w:val="24"/>
        </w:rPr>
        <w:t>20</w:t>
      </w:r>
      <w:r w:rsidRPr="43F1B4AF" w:rsidR="0008736D">
        <w:rPr>
          <w:rFonts w:ascii="Times New Roman" w:hAnsi="Times New Roman"/>
          <w:sz w:val="24"/>
          <w:szCs w:val="24"/>
        </w:rPr>
        <w:t xml:space="preserve"> de</w:t>
      </w:r>
      <w:r w:rsidRPr="43F1B4AF" w:rsidR="00F345C4">
        <w:rPr>
          <w:rFonts w:ascii="Times New Roman" w:hAnsi="Times New Roman"/>
          <w:sz w:val="24"/>
          <w:szCs w:val="24"/>
        </w:rPr>
        <w:t xml:space="preserve"> </w:t>
      </w:r>
      <w:r w:rsidRPr="43F1B4AF" w:rsidR="000B361D">
        <w:rPr>
          <w:rFonts w:ascii="Times New Roman" w:hAnsi="Times New Roman"/>
          <w:sz w:val="24"/>
          <w:szCs w:val="24"/>
        </w:rPr>
        <w:t>enero</w:t>
      </w:r>
      <w:r w:rsidRPr="43F1B4AF" w:rsidR="004C7E51">
        <w:rPr>
          <w:rFonts w:ascii="Times New Roman" w:hAnsi="Times New Roman"/>
          <w:sz w:val="24"/>
          <w:szCs w:val="24"/>
        </w:rPr>
        <w:t xml:space="preserve"> </w:t>
      </w:r>
      <w:r w:rsidRPr="43F1B4AF" w:rsidR="0008736D">
        <w:rPr>
          <w:rFonts w:ascii="Times New Roman" w:hAnsi="Times New Roman"/>
          <w:sz w:val="24"/>
          <w:szCs w:val="24"/>
        </w:rPr>
        <w:t>de 202</w:t>
      </w:r>
      <w:r w:rsidRPr="43F1B4AF" w:rsidR="00C1797E">
        <w:rPr>
          <w:rFonts w:ascii="Times New Roman" w:hAnsi="Times New Roman"/>
          <w:sz w:val="24"/>
          <w:szCs w:val="24"/>
        </w:rPr>
        <w:t>5</w:t>
      </w:r>
      <w:r w:rsidRPr="43F1B4AF" w:rsidR="0008736D">
        <w:rPr>
          <w:rFonts w:ascii="Times New Roman" w:hAnsi="Times New Roman"/>
          <w:sz w:val="24"/>
          <w:szCs w:val="24"/>
        </w:rPr>
        <w:t xml:space="preserve"> la aseguradora absolvió el respectivo trámite, </w:t>
      </w:r>
      <w:r w:rsidRPr="43F1B4AF" w:rsidR="0008736D">
        <w:rPr>
          <w:rFonts w:ascii="Times New Roman" w:hAnsi="Times New Roman"/>
          <w:sz w:val="24"/>
          <w:szCs w:val="24"/>
        </w:rPr>
        <w:t xml:space="preserve">presentando sus descargos y la documentación correspondiente. </w:t>
      </w:r>
    </w:p>
    <w:p w:rsidRPr="0051483B" w:rsidR="0008736D" w:rsidP="0008736D" w:rsidRDefault="0008736D" w14:paraId="7836224C" w14:textId="2CB0A378">
      <w:pPr>
        <w:tabs>
          <w:tab w:val="num" w:pos="720"/>
        </w:tabs>
        <w:jc w:val="both"/>
        <w:rPr>
          <w:rFonts w:ascii="Times New Roman" w:hAnsi="Times New Roman"/>
          <w:sz w:val="24"/>
          <w:szCs w:val="24"/>
        </w:rPr>
      </w:pPr>
      <w:r w:rsidRPr="0051483B">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51483B">
        <w:rPr>
          <w:rFonts w:ascii="Times New Roman" w:hAnsi="Times New Roman" w:eastAsia="Arial Unicode MS"/>
          <w:sz w:val="24"/>
          <w:szCs w:val="24"/>
        </w:rPr>
        <w:t>de la DEFASEG</w:t>
      </w:r>
      <w:r w:rsidRPr="0051483B">
        <w:rPr>
          <w:rFonts w:ascii="Times New Roman" w:hAnsi="Times New Roman"/>
          <w:sz w:val="24"/>
          <w:szCs w:val="24"/>
        </w:rPr>
        <w:t>.</w:t>
      </w:r>
    </w:p>
    <w:p w:rsidRPr="005755A8" w:rsidR="000B361D" w:rsidP="001A071C" w:rsidRDefault="0008736D" w14:paraId="1981E783" w14:textId="5B894F52">
      <w:pPr>
        <w:jc w:val="both"/>
        <w:rPr>
          <w:rFonts w:ascii="Times New Roman" w:hAnsi="Times New Roman"/>
          <w:sz w:val="24"/>
          <w:szCs w:val="24"/>
        </w:rPr>
      </w:pPr>
      <w:r w:rsidRPr="43F1B4AF" w:rsidR="0008736D">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43F1B4AF" w:rsidR="0008736D">
        <w:rPr>
          <w:rFonts w:ascii="Times New Roman" w:hAnsi="Times New Roman"/>
          <w:color w:val="000000" w:themeColor="text1" w:themeTint="FF" w:themeShade="FF"/>
          <w:sz w:val="24"/>
          <w:szCs w:val="24"/>
        </w:rPr>
        <w:t>a)</w:t>
      </w:r>
      <w:r w:rsidRPr="43F1B4AF" w:rsidR="00471EAF">
        <w:rPr>
          <w:rFonts w:ascii="Times New Roman" w:hAnsi="Times New Roman"/>
          <w:sz w:val="24"/>
          <w:szCs w:val="24"/>
        </w:rPr>
        <w:t xml:space="preserve"> </w:t>
      </w:r>
      <w:r w:rsidRPr="43F1B4AF" w:rsidR="006C5120">
        <w:rPr>
          <w:rFonts w:ascii="Times New Roman" w:hAnsi="Times New Roman"/>
          <w:sz w:val="24"/>
          <w:szCs w:val="24"/>
        </w:rPr>
        <w:t>el</w:t>
      </w:r>
      <w:r w:rsidRPr="43F1B4AF" w:rsidR="006C5120">
        <w:rPr>
          <w:rFonts w:ascii="Times New Roman" w:hAnsi="Times New Roman"/>
          <w:sz w:val="24"/>
          <w:szCs w:val="24"/>
        </w:rPr>
        <w:t xml:space="preserve"> 13 de octubre de 2024, el señor </w:t>
      </w:r>
      <w:r w:rsidRPr="43F1B4AF" w:rsidR="5F4829C8">
        <w:rPr>
          <w:rFonts w:ascii="Times New Roman" w:hAnsi="Times New Roman"/>
          <w:sz w:val="24"/>
          <w:szCs w:val="24"/>
        </w:rPr>
        <w:t>...........</w:t>
      </w:r>
      <w:r w:rsidRPr="43F1B4AF" w:rsidR="006C5120">
        <w:rPr>
          <w:rFonts w:ascii="Times New Roman" w:hAnsi="Times New Roman"/>
          <w:sz w:val="24"/>
          <w:szCs w:val="24"/>
        </w:rPr>
        <w:t>, mientras se encontraba de visita en la ciudad de Huaraz, sufrió la pérdida de sus pertenencias, entre las cuales se encontraban sus tarjetas de crédito y débito, así como su equipo celular</w:t>
      </w:r>
      <w:r w:rsidRPr="43F1B4AF" w:rsidR="006C5120">
        <w:rPr>
          <w:rFonts w:ascii="Times New Roman" w:hAnsi="Times New Roman"/>
          <w:sz w:val="24"/>
          <w:szCs w:val="24"/>
        </w:rPr>
        <w:t xml:space="preserve">; </w:t>
      </w:r>
      <w:r w:rsidRPr="43F1B4AF" w:rsidR="006C5120">
        <w:rPr>
          <w:rFonts w:ascii="Times New Roman" w:hAnsi="Times New Roman"/>
          <w:sz w:val="24"/>
          <w:szCs w:val="24"/>
        </w:rPr>
        <w:t xml:space="preserve">b) </w:t>
      </w:r>
      <w:r w:rsidRPr="43F1B4AF" w:rsidR="006C5120">
        <w:rPr>
          <w:rFonts w:ascii="Times New Roman" w:hAnsi="Times New Roman"/>
          <w:sz w:val="24"/>
          <w:szCs w:val="24"/>
        </w:rPr>
        <w:t>d</w:t>
      </w:r>
      <w:r w:rsidRPr="43F1B4AF" w:rsidR="006C5120">
        <w:rPr>
          <w:rFonts w:ascii="Times New Roman" w:hAnsi="Times New Roman"/>
          <w:sz w:val="24"/>
          <w:szCs w:val="24"/>
        </w:rPr>
        <w:t>urante las tres horas posteriores al extravío, se realizaron diversos movimientos no reconocidos con su tarjeta de crédito BBVA y su tarjeta de débito</w:t>
      </w:r>
      <w:r w:rsidRPr="43F1B4AF" w:rsidR="006C5120">
        <w:rPr>
          <w:rFonts w:ascii="Times New Roman" w:hAnsi="Times New Roman"/>
          <w:sz w:val="24"/>
          <w:szCs w:val="24"/>
        </w:rPr>
        <w:t>; c) e</w:t>
      </w:r>
      <w:r w:rsidRPr="43F1B4AF" w:rsidR="006C5120">
        <w:rPr>
          <w:rFonts w:ascii="Times New Roman" w:hAnsi="Times New Roman"/>
          <w:sz w:val="24"/>
          <w:szCs w:val="24"/>
        </w:rPr>
        <w:t>l 18 de octubre de 2024, el asegurado solicitó la activación del seguro contratado</w:t>
      </w:r>
      <w:r w:rsidRPr="43F1B4AF" w:rsidR="006C5120">
        <w:rPr>
          <w:rFonts w:ascii="Times New Roman" w:hAnsi="Times New Roman"/>
          <w:sz w:val="24"/>
          <w:szCs w:val="24"/>
        </w:rPr>
        <w:t xml:space="preserve">; d) </w:t>
      </w:r>
      <w:r w:rsidRPr="43F1B4AF" w:rsidR="006C5120">
        <w:rPr>
          <w:rFonts w:ascii="Times New Roman" w:hAnsi="Times New Roman"/>
          <w:sz w:val="24"/>
          <w:szCs w:val="24"/>
        </w:rPr>
        <w:t>on</w:t>
      </w:r>
      <w:r w:rsidRPr="43F1B4AF" w:rsidR="006C5120">
        <w:rPr>
          <w:rFonts w:ascii="Times New Roman" w:hAnsi="Times New Roman"/>
          <w:sz w:val="24"/>
          <w:szCs w:val="24"/>
        </w:rPr>
        <w:t xml:space="preserve"> fecha 21 de octubre de 2024, </w:t>
      </w:r>
      <w:r w:rsidRPr="43F1B4AF" w:rsidR="5C96DCBC">
        <w:rPr>
          <w:rFonts w:ascii="Times New Roman" w:hAnsi="Times New Roman"/>
          <w:sz w:val="24"/>
          <w:szCs w:val="24"/>
        </w:rPr>
        <w:t>..................................</w:t>
      </w:r>
      <w:r w:rsidRPr="43F1B4AF" w:rsidR="006C5120">
        <w:rPr>
          <w:rFonts w:ascii="Times New Roman" w:hAnsi="Times New Roman"/>
          <w:sz w:val="24"/>
          <w:szCs w:val="24"/>
        </w:rPr>
        <w:t xml:space="preserve"> emitió respuesta, reconociendo los movimientos no autorizados efectuados con la tarjeta de débito por un monto de S/ 2,750.00 (Dos mil setecientos cincuenta con 00/100 soles), pero rechazando la cobertura de la disposición de efectivo efectuada por S/ 3,000.00 (Tres mil con 00/100 soles).</w:t>
      </w:r>
    </w:p>
    <w:bookmarkEnd w:id="1"/>
    <w:p w:rsidRPr="005755A8" w:rsidR="00E029AD" w:rsidP="005755A8" w:rsidRDefault="0008736D" w14:paraId="76E99129" w14:textId="606BDAEF">
      <w:pPr>
        <w:spacing w:after="160" w:line="259" w:lineRule="auto"/>
        <w:jc w:val="both"/>
        <w:rPr>
          <w:rFonts w:ascii="Times New Roman" w:hAnsi="Times New Roman"/>
          <w:sz w:val="24"/>
          <w:szCs w:val="24"/>
        </w:rPr>
      </w:pPr>
      <w:r w:rsidRPr="43F1B4AF" w:rsidR="0008736D">
        <w:rPr>
          <w:rFonts w:ascii="Times New Roman" w:hAnsi="Times New Roman"/>
          <w:sz w:val="24"/>
          <w:szCs w:val="24"/>
        </w:rPr>
        <w:t xml:space="preserve">Que, por su parte y en resumen la compañía de seguros sostiene que: </w:t>
      </w:r>
      <w:r w:rsidRPr="43F1B4AF" w:rsidR="0008736D">
        <w:rPr>
          <w:rStyle w:val="normaltextrun"/>
          <w:rFonts w:ascii="Times New Roman" w:hAnsi="Times New Roman"/>
          <w:sz w:val="24"/>
          <w:szCs w:val="24"/>
        </w:rPr>
        <w:t>a)</w:t>
      </w:r>
      <w:r w:rsidRPr="43F1B4AF" w:rsidR="0008736D">
        <w:rPr>
          <w:rFonts w:ascii="Times New Roman" w:hAnsi="Times New Roman"/>
          <w:sz w:val="24"/>
          <w:szCs w:val="24"/>
        </w:rPr>
        <w:t xml:space="preserve"> </w:t>
      </w:r>
      <w:r w:rsidRPr="43F1B4AF" w:rsidR="0051483B">
        <w:rPr>
          <w:rFonts w:ascii="Times New Roman" w:hAnsi="Times New Roman"/>
          <w:sz w:val="24"/>
          <w:szCs w:val="24"/>
        </w:rPr>
        <w:t>a</w:t>
      </w:r>
      <w:r w:rsidRPr="43F1B4AF" w:rsidR="005755A8">
        <w:rPr>
          <w:rFonts w:ascii="Times New Roman" w:hAnsi="Times New Roman"/>
          <w:sz w:val="24"/>
          <w:szCs w:val="24"/>
        </w:rPr>
        <w:t xml:space="preserve"> n</w:t>
      </w:r>
      <w:r w:rsidRPr="43F1B4AF" w:rsidR="005755A8">
        <w:rPr>
          <w:rFonts w:ascii="Times New Roman" w:hAnsi="Times New Roman"/>
          <w:sz w:val="24"/>
          <w:szCs w:val="24"/>
        </w:rPr>
        <w:t xml:space="preserve">o se encuentra acreditado que </w:t>
      </w:r>
      <w:r w:rsidRPr="43F1B4AF" w:rsidR="25D30F5E">
        <w:rPr>
          <w:rFonts w:ascii="Times New Roman" w:hAnsi="Times New Roman"/>
          <w:sz w:val="24"/>
          <w:szCs w:val="24"/>
        </w:rPr>
        <w:t>..................................</w:t>
      </w:r>
      <w:r w:rsidRPr="43F1B4AF" w:rsidR="005755A8">
        <w:rPr>
          <w:rFonts w:ascii="Times New Roman" w:hAnsi="Times New Roman"/>
          <w:sz w:val="24"/>
          <w:szCs w:val="24"/>
        </w:rPr>
        <w:t xml:space="preserve"> haya negado injustificadamente la cobertura del Seguro de Protección de Tarjeta BBVA</w:t>
      </w:r>
      <w:r w:rsidRPr="43F1B4AF" w:rsidR="005755A8">
        <w:rPr>
          <w:rFonts w:ascii="Times New Roman" w:hAnsi="Times New Roman"/>
          <w:sz w:val="24"/>
          <w:szCs w:val="24"/>
        </w:rPr>
        <w:t>; b) r</w:t>
      </w:r>
      <w:r w:rsidRPr="43F1B4AF" w:rsidR="005755A8">
        <w:rPr>
          <w:rFonts w:ascii="Times New Roman" w:hAnsi="Times New Roman"/>
          <w:sz w:val="24"/>
          <w:szCs w:val="24"/>
        </w:rPr>
        <w:t xml:space="preserve">especto a las operaciones realizadas con la tarjeta de débito (transferencias), </w:t>
      </w:r>
      <w:r w:rsidRPr="43F1B4AF" w:rsidR="25D30F5E">
        <w:rPr>
          <w:rFonts w:ascii="Times New Roman" w:hAnsi="Times New Roman"/>
          <w:sz w:val="24"/>
          <w:szCs w:val="24"/>
        </w:rPr>
        <w:t>..................................</w:t>
      </w:r>
      <w:r w:rsidRPr="43F1B4AF" w:rsidR="005755A8">
        <w:rPr>
          <w:rFonts w:ascii="Times New Roman" w:hAnsi="Times New Roman"/>
          <w:sz w:val="24"/>
          <w:szCs w:val="24"/>
        </w:rPr>
        <w:t xml:space="preserve"> aprobó la cobertura correspondiente a “transferencias bancarias no reconocidas por el asegurado” por la suma de S/ 2,750.00 (Dos mil setecientos cincuenta con 00/100 soles), considerando que el Seguro de Protección de Tarjeta BBVA establece un límite máximo de S/ 3,000.00 para dicha cobertura</w:t>
      </w:r>
      <w:r w:rsidRPr="43F1B4AF" w:rsidR="005755A8">
        <w:rPr>
          <w:rFonts w:ascii="Times New Roman" w:hAnsi="Times New Roman"/>
          <w:sz w:val="24"/>
          <w:szCs w:val="24"/>
        </w:rPr>
        <w:t xml:space="preserve">; </w:t>
      </w:r>
      <w:r w:rsidRPr="43F1B4AF" w:rsidR="005755A8">
        <w:rPr>
          <w:rFonts w:ascii="Times New Roman" w:hAnsi="Times New Roman"/>
          <w:sz w:val="24"/>
          <w:szCs w:val="24"/>
        </w:rPr>
        <w:t xml:space="preserve">c) </w:t>
      </w:r>
      <w:r w:rsidRPr="43F1B4AF" w:rsidR="005755A8">
        <w:rPr>
          <w:rFonts w:ascii="Times New Roman" w:hAnsi="Times New Roman"/>
          <w:sz w:val="24"/>
          <w:szCs w:val="24"/>
        </w:rPr>
        <w:t>e</w:t>
      </w:r>
      <w:r w:rsidRPr="43F1B4AF" w:rsidR="005755A8">
        <w:rPr>
          <w:rFonts w:ascii="Times New Roman" w:hAnsi="Times New Roman"/>
          <w:sz w:val="24"/>
          <w:szCs w:val="24"/>
        </w:rPr>
        <w:t xml:space="preserve">n cuanto a las operaciones efectuadas con la tarjeta de crédito, se verificó que éstas se circunscriben a una disposición de efectivo, la cual constituye un préstamo bancario que no está cubierto por </w:t>
      </w:r>
      <w:r w:rsidRPr="43F1B4AF" w:rsidR="005755A8">
        <w:rPr>
          <w:rFonts w:ascii="Times New Roman" w:hAnsi="Times New Roman"/>
          <w:sz w:val="24"/>
          <w:szCs w:val="24"/>
        </w:rPr>
        <w:t>el Seguro de Protección de Tarjeta BBVA</w:t>
      </w:r>
      <w:r w:rsidRPr="43F1B4AF" w:rsidR="005755A8">
        <w:rPr>
          <w:rFonts w:ascii="Times New Roman" w:hAnsi="Times New Roman"/>
          <w:sz w:val="24"/>
          <w:szCs w:val="24"/>
        </w:rPr>
        <w:t xml:space="preserve">. Asimismo, el seguro excluye expresamente las solicitudes o disposiciones de préstamos; </w:t>
      </w:r>
      <w:r w:rsidRPr="43F1B4AF" w:rsidR="005755A8">
        <w:rPr>
          <w:rFonts w:ascii="Times New Roman" w:hAnsi="Times New Roman"/>
          <w:sz w:val="24"/>
          <w:szCs w:val="24"/>
        </w:rPr>
        <w:t xml:space="preserve">d) </w:t>
      </w:r>
      <w:r w:rsidRPr="43F1B4AF" w:rsidR="005755A8">
        <w:rPr>
          <w:rFonts w:ascii="Times New Roman" w:hAnsi="Times New Roman"/>
          <w:sz w:val="24"/>
          <w:szCs w:val="24"/>
        </w:rPr>
        <w:t>e</w:t>
      </w:r>
      <w:r w:rsidRPr="43F1B4AF" w:rsidR="005755A8">
        <w:rPr>
          <w:rFonts w:ascii="Times New Roman" w:hAnsi="Times New Roman"/>
          <w:sz w:val="24"/>
          <w:szCs w:val="24"/>
        </w:rPr>
        <w:t xml:space="preserve">n consecuencia, dichos préstamos o disposiciones de efectivo no se subsumen en ninguna de las coberturas contratadas, toda vez que no forman parte del objeto asegurado que configura la relación jurídica patrimonial del Seguro de Protección de Tarjeta BBVA. Por lo tanto, no puede exigirse a </w:t>
      </w:r>
      <w:r w:rsidRPr="43F1B4AF" w:rsidR="25D30F5E">
        <w:rPr>
          <w:rFonts w:ascii="Times New Roman" w:hAnsi="Times New Roman"/>
          <w:sz w:val="24"/>
          <w:szCs w:val="24"/>
        </w:rPr>
        <w:t>..................................</w:t>
      </w:r>
      <w:r w:rsidRPr="43F1B4AF" w:rsidR="005755A8">
        <w:rPr>
          <w:rFonts w:ascii="Times New Roman" w:hAnsi="Times New Roman"/>
          <w:sz w:val="24"/>
          <w:szCs w:val="24"/>
        </w:rPr>
        <w:t xml:space="preserve"> el pago de un riesgo no asumido contractualmente</w:t>
      </w:r>
      <w:r w:rsidRPr="43F1B4AF" w:rsidR="005755A8">
        <w:rPr>
          <w:rFonts w:ascii="Times New Roman" w:hAnsi="Times New Roman"/>
          <w:sz w:val="24"/>
          <w:szCs w:val="24"/>
        </w:rPr>
        <w:t>; e</w:t>
      </w:r>
      <w:r w:rsidRPr="43F1B4AF" w:rsidR="005755A8">
        <w:rPr>
          <w:rFonts w:ascii="Times New Roman" w:hAnsi="Times New Roman"/>
          <w:sz w:val="24"/>
          <w:szCs w:val="24"/>
        </w:rPr>
        <w:t xml:space="preserve">) </w:t>
      </w:r>
      <w:r w:rsidRPr="43F1B4AF" w:rsidR="005755A8">
        <w:rPr>
          <w:rFonts w:ascii="Times New Roman" w:hAnsi="Times New Roman"/>
          <w:sz w:val="24"/>
          <w:szCs w:val="24"/>
        </w:rPr>
        <w:t>f</w:t>
      </w:r>
      <w:r w:rsidRPr="43F1B4AF" w:rsidR="005755A8">
        <w:rPr>
          <w:rFonts w:ascii="Times New Roman" w:hAnsi="Times New Roman"/>
          <w:sz w:val="24"/>
          <w:szCs w:val="24"/>
        </w:rPr>
        <w:t xml:space="preserve">inalmente, el señor </w:t>
      </w:r>
      <w:r w:rsidRPr="43F1B4AF" w:rsidR="5F4829C8">
        <w:rPr>
          <w:rFonts w:ascii="Times New Roman" w:hAnsi="Times New Roman"/>
          <w:sz w:val="24"/>
          <w:szCs w:val="24"/>
        </w:rPr>
        <w:t>...........</w:t>
      </w:r>
      <w:r w:rsidRPr="43F1B4AF" w:rsidR="005755A8">
        <w:rPr>
          <w:rFonts w:ascii="Times New Roman" w:hAnsi="Times New Roman"/>
          <w:sz w:val="24"/>
          <w:szCs w:val="24"/>
        </w:rPr>
        <w:t xml:space="preserve"> no puede alegar desconocimiento de los términos y condiciones pactados al momento de la contratación, por cuanto suscribió el contrato en señal de conformidad, según consta en la documentación que obra en el expediente.</w:t>
      </w:r>
    </w:p>
    <w:p w:rsidRPr="00E755B9" w:rsidR="0008736D" w:rsidP="0008736D" w:rsidRDefault="0008736D" w14:paraId="237629AB" w14:textId="23428B2E">
      <w:pPr>
        <w:jc w:val="both"/>
        <w:rPr>
          <w:rFonts w:ascii="Times New Roman" w:hAnsi="Times New Roman"/>
          <w:sz w:val="24"/>
          <w:szCs w:val="24"/>
        </w:rPr>
      </w:pPr>
      <w:r w:rsidRPr="0071666A">
        <w:rPr>
          <w:rFonts w:ascii="Times New Roman" w:hAnsi="Times New Roman"/>
          <w:b/>
          <w:sz w:val="24"/>
          <w:szCs w:val="24"/>
        </w:rPr>
        <w:t xml:space="preserve">CONSIDERANDO: </w:t>
      </w:r>
    </w:p>
    <w:p w:rsidRPr="0071666A" w:rsidR="0008736D" w:rsidP="0008736D" w:rsidRDefault="0008736D" w14:paraId="53A694AB" w14:textId="1D44AA22">
      <w:pPr>
        <w:jc w:val="both"/>
        <w:rPr>
          <w:rStyle w:val="Textoennegrita"/>
          <w:rFonts w:ascii="Times New Roman" w:hAnsi="Times New Roman"/>
          <w:sz w:val="24"/>
          <w:szCs w:val="24"/>
          <w:lang w:eastAsia="es-ES"/>
        </w:rPr>
      </w:pPr>
      <w:r w:rsidRPr="0071666A">
        <w:rPr>
          <w:rFonts w:ascii="Times New Roman" w:hAnsi="Times New Roman"/>
          <w:b/>
          <w:sz w:val="24"/>
          <w:szCs w:val="24"/>
          <w:u w:val="single"/>
        </w:rPr>
        <w:t>PRIMERO</w:t>
      </w:r>
      <w:r w:rsidRPr="0071666A">
        <w:rPr>
          <w:rFonts w:ascii="Times New Roman" w:hAnsi="Times New Roman"/>
          <w:sz w:val="24"/>
          <w:szCs w:val="24"/>
        </w:rPr>
        <w:t xml:space="preserve">: Conforme al Reglamento de la Defensoría del Asegurado, </w:t>
      </w:r>
      <w:r w:rsidRPr="0071666A">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1666A" w:rsidR="0008736D" w:rsidP="0008736D" w:rsidRDefault="0008736D" w14:paraId="424422A5" w14:textId="1C5C5564">
      <w:pPr>
        <w:jc w:val="both"/>
        <w:rPr>
          <w:rStyle w:val="Textoennegrita"/>
          <w:rFonts w:ascii="Times New Roman" w:hAnsi="Times New Roman"/>
          <w:b w:val="0"/>
          <w:sz w:val="24"/>
          <w:szCs w:val="24"/>
        </w:rPr>
      </w:pPr>
      <w:r w:rsidRPr="0071666A">
        <w:rPr>
          <w:rStyle w:val="Textoennegrita"/>
          <w:rFonts w:ascii="Times New Roman" w:hAnsi="Times New Roman"/>
          <w:sz w:val="24"/>
          <w:szCs w:val="24"/>
          <w:u w:val="single"/>
        </w:rPr>
        <w:t>SEGUNDO</w:t>
      </w:r>
      <w:r w:rsidRPr="0071666A">
        <w:rPr>
          <w:rStyle w:val="Textoennegrita"/>
          <w:rFonts w:ascii="Times New Roman" w:hAnsi="Times New Roman"/>
          <w:sz w:val="24"/>
          <w:szCs w:val="24"/>
        </w:rPr>
        <w:t xml:space="preserve">: </w:t>
      </w:r>
      <w:r w:rsidRPr="0071666A">
        <w:rPr>
          <w:rFonts w:ascii="Times New Roman" w:hAnsi="Times New Roman"/>
          <w:sz w:val="24"/>
          <w:szCs w:val="24"/>
        </w:rPr>
        <w:t xml:space="preserve">Asimismo, de acuerdo a </w:t>
      </w:r>
      <w:r w:rsidRPr="0071666A">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1666A" w:rsidR="0008736D" w:rsidP="0008736D" w:rsidRDefault="0008736D" w14:paraId="3D10F0C7" w14:textId="4D974361">
      <w:pPr>
        <w:jc w:val="both"/>
        <w:rPr>
          <w:rFonts w:ascii="Times New Roman" w:hAnsi="Times New Roman"/>
          <w:sz w:val="24"/>
          <w:szCs w:val="24"/>
        </w:rPr>
      </w:pPr>
      <w:r w:rsidRPr="0071666A">
        <w:rPr>
          <w:rStyle w:val="Textoennegrita"/>
          <w:rFonts w:ascii="Times New Roman" w:hAnsi="Times New Roman"/>
          <w:sz w:val="24"/>
          <w:szCs w:val="24"/>
          <w:u w:val="single"/>
        </w:rPr>
        <w:t>TERCERO</w:t>
      </w:r>
      <w:r w:rsidRPr="0071666A">
        <w:rPr>
          <w:rStyle w:val="Textoennegrita"/>
          <w:rFonts w:ascii="Times New Roman" w:hAnsi="Times New Roman"/>
          <w:sz w:val="24"/>
          <w:szCs w:val="24"/>
        </w:rPr>
        <w:t>:</w:t>
      </w:r>
      <w:r w:rsidRPr="0071666A">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1666A" w:rsidR="0008736D" w:rsidP="0008736D" w:rsidRDefault="0008736D" w14:paraId="53828B6B" w14:textId="001C0277">
      <w:pPr>
        <w:jc w:val="both"/>
        <w:rPr>
          <w:rStyle w:val="Textoennegrita"/>
          <w:rFonts w:ascii="Times New Roman" w:hAnsi="Times New Roman"/>
          <w:b w:val="0"/>
          <w:bCs w:val="0"/>
          <w:sz w:val="24"/>
          <w:szCs w:val="24"/>
        </w:rPr>
      </w:pPr>
      <w:r w:rsidRPr="0071666A">
        <w:rPr>
          <w:rFonts w:ascii="Times New Roman" w:hAnsi="Times New Roman"/>
          <w:b/>
          <w:sz w:val="24"/>
          <w:szCs w:val="24"/>
          <w:u w:val="single"/>
        </w:rPr>
        <w:t>CUARTO</w:t>
      </w:r>
      <w:r w:rsidRPr="0071666A">
        <w:rPr>
          <w:rFonts w:ascii="Times New Roman" w:hAnsi="Times New Roman"/>
          <w:b/>
          <w:sz w:val="24"/>
          <w:szCs w:val="24"/>
        </w:rPr>
        <w:t>:</w:t>
      </w:r>
      <w:r w:rsidRPr="0071666A">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1666A" w:rsidR="0008736D" w:rsidP="0008736D" w:rsidRDefault="0008736D" w14:paraId="6658C8E4" w14:textId="43A73152">
      <w:pPr>
        <w:jc w:val="both"/>
        <w:rPr>
          <w:rFonts w:ascii="Times New Roman" w:hAnsi="Times New Roman"/>
          <w:sz w:val="24"/>
          <w:szCs w:val="24"/>
        </w:rPr>
      </w:pPr>
      <w:r w:rsidRPr="0071666A">
        <w:rPr>
          <w:rStyle w:val="Textoennegrita"/>
          <w:rFonts w:ascii="Times New Roman" w:hAnsi="Times New Roman"/>
          <w:sz w:val="24"/>
          <w:szCs w:val="24"/>
          <w:u w:val="single"/>
        </w:rPr>
        <w:t>QUINTO</w:t>
      </w:r>
      <w:r w:rsidRPr="0071666A">
        <w:rPr>
          <w:rStyle w:val="Textoennegrita"/>
          <w:rFonts w:ascii="Times New Roman" w:hAnsi="Times New Roman"/>
          <w:sz w:val="24"/>
          <w:szCs w:val="24"/>
        </w:rPr>
        <w:t xml:space="preserve">: </w:t>
      </w:r>
      <w:r w:rsidRPr="0071666A">
        <w:rPr>
          <w:rStyle w:val="Textoennegrita"/>
          <w:rFonts w:ascii="Times New Roman" w:hAnsi="Times New Roman"/>
          <w:b w:val="0"/>
          <w:bCs w:val="0"/>
          <w:sz w:val="24"/>
          <w:szCs w:val="24"/>
        </w:rPr>
        <w:t>En materia procesal</w:t>
      </w:r>
      <w:r w:rsidRPr="0071666A">
        <w:rPr>
          <w:rFonts w:ascii="Times New Roman" w:hAnsi="Times New Roman"/>
          <w:b/>
          <w:bCs/>
          <w:sz w:val="24"/>
          <w:szCs w:val="24"/>
        </w:rPr>
        <w:t>,</w:t>
      </w:r>
      <w:r w:rsidRPr="0071666A">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008A0582" w:rsidP="000E5D04" w:rsidRDefault="0008736D" w14:paraId="7D9D035C" w14:textId="7D350C42">
      <w:pPr>
        <w:jc w:val="both"/>
        <w:rPr>
          <w:rFonts w:ascii="Times New Roman" w:hAnsi="Times New Roman"/>
          <w:sz w:val="24"/>
          <w:szCs w:val="24"/>
        </w:rPr>
      </w:pPr>
      <w:r w:rsidRPr="43F1B4AF" w:rsidR="0008736D">
        <w:rPr>
          <w:rFonts w:ascii="Times New Roman" w:hAnsi="Times New Roman"/>
          <w:b w:val="1"/>
          <w:bCs w:val="1"/>
          <w:sz w:val="24"/>
          <w:szCs w:val="24"/>
          <w:u w:val="single"/>
        </w:rPr>
        <w:t>SEXTO</w:t>
      </w:r>
      <w:r w:rsidRPr="43F1B4AF" w:rsidR="0008736D">
        <w:rPr>
          <w:rFonts w:ascii="Times New Roman" w:hAnsi="Times New Roman"/>
          <w:b w:val="1"/>
          <w:bCs w:val="1"/>
          <w:sz w:val="24"/>
          <w:szCs w:val="24"/>
        </w:rPr>
        <w:t>:</w:t>
      </w:r>
      <w:r w:rsidRPr="43F1B4AF" w:rsidR="000E5D04">
        <w:rPr>
          <w:rFonts w:ascii="Times New Roman" w:hAnsi="Times New Roman"/>
          <w:sz w:val="24"/>
          <w:szCs w:val="24"/>
        </w:rPr>
        <w:t xml:space="preserve"> </w:t>
      </w:r>
      <w:r w:rsidRPr="43F1B4AF" w:rsidR="000E5D04">
        <w:rPr>
          <w:rFonts w:ascii="Times New Roman" w:hAnsi="Times New Roman"/>
          <w:sz w:val="24"/>
          <w:szCs w:val="24"/>
        </w:rPr>
        <w:t xml:space="preserve">Que, conforme a los medios probatorios que obran en el expediente, se ha verificado que el señor </w:t>
      </w:r>
      <w:r w:rsidRPr="43F1B4AF" w:rsidR="5F4829C8">
        <w:rPr>
          <w:rFonts w:ascii="Times New Roman" w:hAnsi="Times New Roman"/>
          <w:sz w:val="24"/>
          <w:szCs w:val="24"/>
        </w:rPr>
        <w:t>...........</w:t>
      </w:r>
      <w:r w:rsidRPr="43F1B4AF" w:rsidR="000E5D04">
        <w:rPr>
          <w:rFonts w:ascii="Times New Roman" w:hAnsi="Times New Roman"/>
          <w:sz w:val="24"/>
          <w:szCs w:val="24"/>
        </w:rPr>
        <w:t xml:space="preserve">, asegurado bajo el Seguro de Protección de Tarjeta BBVA, </w:t>
      </w:r>
      <w:r w:rsidRPr="43F1B4AF" w:rsidR="000E5D04">
        <w:rPr>
          <w:rFonts w:ascii="Times New Roman" w:hAnsi="Times New Roman"/>
          <w:sz w:val="24"/>
          <w:szCs w:val="24"/>
        </w:rPr>
        <w:t>sufrió la pérdida de sus pertenencias el 13 de octubre de 2024, entre ellas sus tarjetas de crédito y débito, así como su teléfono celular.</w:t>
      </w:r>
    </w:p>
    <w:p w:rsidR="61699EE2" w:rsidP="43F1B4AF" w:rsidRDefault="61699EE2" w14:paraId="74A796D4" w14:textId="65491493">
      <w:pPr>
        <w:jc w:val="both"/>
      </w:pPr>
      <w:r w:rsidR="61699EE2">
        <w:rPr/>
        <w:t>.....................................................................................................................................................</w:t>
      </w:r>
    </w:p>
    <w:p w:rsidRPr="008B4DFB" w:rsidR="000E5D04" w:rsidP="000E5D04" w:rsidRDefault="000E5D04" w14:paraId="0D7D4E11" w14:textId="5F18BFBB">
      <w:pPr>
        <w:jc w:val="both"/>
        <w:rPr>
          <w:rFonts w:ascii="Times New Roman" w:hAnsi="Times New Roman"/>
          <w:sz w:val="24"/>
          <w:szCs w:val="24"/>
        </w:rPr>
      </w:pPr>
      <w:r w:rsidRPr="43F1B4AF" w:rsidR="000E5D04">
        <w:rPr>
          <w:rFonts w:ascii="Times New Roman" w:hAnsi="Times New Roman"/>
          <w:sz w:val="24"/>
          <w:szCs w:val="24"/>
        </w:rPr>
        <w:t xml:space="preserve">Durante las horas posteriores al hecho, se realizaron operaciones no reconocidas con ambas tarjetas. Posteriormente, con fecha 18 de octubre de 2024, el asegurado solicitó la activación del seguro, y el 21 de octubre de 2024, la compañía </w:t>
      </w:r>
      <w:r w:rsidRPr="43F1B4AF" w:rsidR="25D30F5E">
        <w:rPr>
          <w:rFonts w:ascii="Times New Roman" w:hAnsi="Times New Roman"/>
          <w:sz w:val="24"/>
          <w:szCs w:val="24"/>
        </w:rPr>
        <w:t>..................................</w:t>
      </w:r>
      <w:r w:rsidRPr="43F1B4AF" w:rsidR="000E5D04">
        <w:rPr>
          <w:rFonts w:ascii="Times New Roman" w:hAnsi="Times New Roman"/>
          <w:sz w:val="24"/>
          <w:szCs w:val="24"/>
        </w:rPr>
        <w:t xml:space="preserve"> emitió comunicación formal en la que:</w:t>
      </w:r>
    </w:p>
    <w:p w:rsidR="000E5D04" w:rsidP="000E5D04" w:rsidRDefault="000E5D04" w14:paraId="1B28901C" w14:textId="77777777">
      <w:pPr>
        <w:pStyle w:val="Prrafodelista"/>
        <w:numPr>
          <w:ilvl w:val="0"/>
          <w:numId w:val="14"/>
        </w:numPr>
        <w:rPr>
          <w:rFonts w:ascii="Times New Roman" w:hAnsi="Times New Roman"/>
        </w:rPr>
      </w:pPr>
      <w:r w:rsidRPr="00405BE4">
        <w:rPr>
          <w:rFonts w:ascii="Times New Roman" w:hAnsi="Times New Roman"/>
        </w:rPr>
        <w:t>Reconoció la cobertura por el concepto de “transferencias bancarias no reconocidas”, efectuadas con la tarjeta de débito, por la suma de S/ 2,750.00 (Dos mil setecientos cincuenta con 00/100 soles);</w:t>
      </w:r>
    </w:p>
    <w:p w:rsidR="000E5D04" w:rsidP="000E5D04" w:rsidRDefault="000E5D04" w14:paraId="7E2D42E8" w14:textId="77777777">
      <w:pPr>
        <w:pStyle w:val="Prrafodelista"/>
        <w:ind w:left="1080" w:firstLine="0"/>
        <w:rPr>
          <w:rFonts w:ascii="Times New Roman" w:hAnsi="Times New Roman"/>
        </w:rPr>
      </w:pPr>
    </w:p>
    <w:p w:rsidR="000E5D04" w:rsidP="000E5D04" w:rsidRDefault="000E5D04" w14:paraId="1AC5D079" w14:textId="39FACD7B">
      <w:pPr>
        <w:pStyle w:val="Prrafodelista"/>
        <w:numPr>
          <w:ilvl w:val="0"/>
          <w:numId w:val="14"/>
        </w:numPr>
        <w:rPr>
          <w:rFonts w:ascii="Times New Roman" w:hAnsi="Times New Roman"/>
        </w:rPr>
      </w:pPr>
      <w:r w:rsidRPr="00405BE4">
        <w:rPr>
          <w:rFonts w:ascii="Times New Roman" w:hAnsi="Times New Roman"/>
        </w:rPr>
        <w:t>Y rechazó la cobertura respecto a la disposición de efectivo por S/ 3,000.00 (Tres mil con 00/100 soles) efectuada con la tarjeta de crédito, señalando que dicha operación constituye un préstamo bancario no comprendido en las coberturas contratadas</w:t>
      </w:r>
    </w:p>
    <w:p w:rsidRPr="0097420D" w:rsidR="00EE31B8" w:rsidP="0097420D" w:rsidRDefault="00EE31B8" w14:paraId="3DD39372" w14:textId="77777777">
      <w:pPr>
        <w:rPr>
          <w:rFonts w:ascii="Times New Roman" w:hAnsi="Times New Roman"/>
        </w:rPr>
      </w:pPr>
    </w:p>
    <w:p w:rsidRPr="008277E6" w:rsidR="000E5D04" w:rsidP="000E5D04" w:rsidRDefault="0008736D" w14:paraId="2ED003E0" w14:textId="4E74D697">
      <w:pPr>
        <w:jc w:val="both"/>
        <w:rPr>
          <w:rFonts w:ascii="Times New Roman" w:hAnsi="Times New Roman"/>
          <w:sz w:val="24"/>
          <w:szCs w:val="24"/>
        </w:rPr>
      </w:pPr>
      <w:r w:rsidRPr="43F1B4AF" w:rsidR="0008736D">
        <w:rPr>
          <w:rFonts w:ascii="Times New Roman" w:hAnsi="Times New Roman"/>
          <w:sz w:val="24"/>
          <w:szCs w:val="24"/>
        </w:rPr>
        <w:t xml:space="preserve"> </w:t>
      </w:r>
      <w:r w:rsidRPr="43F1B4AF" w:rsidR="000E5D04">
        <w:rPr>
          <w:rFonts w:ascii="Times New Roman" w:hAnsi="Times New Roman"/>
          <w:b w:val="1"/>
          <w:bCs w:val="1"/>
          <w:sz w:val="24"/>
          <w:szCs w:val="24"/>
          <w:u w:val="single"/>
        </w:rPr>
        <w:t>SÉPTIMO</w:t>
      </w:r>
      <w:r w:rsidRPr="43F1B4AF" w:rsidR="000E5D04">
        <w:rPr>
          <w:rFonts w:ascii="Times New Roman" w:hAnsi="Times New Roman"/>
          <w:b w:val="1"/>
          <w:bCs w:val="1"/>
          <w:sz w:val="24"/>
          <w:szCs w:val="24"/>
        </w:rPr>
        <w:t>:</w:t>
      </w:r>
      <w:r w:rsidRPr="43F1B4AF" w:rsidR="008277E6">
        <w:rPr>
          <w:rFonts w:ascii="Times New Roman" w:hAnsi="Times New Roman"/>
        </w:rPr>
        <w:t xml:space="preserve"> </w:t>
      </w:r>
      <w:r w:rsidRPr="43F1B4AF" w:rsidR="008277E6">
        <w:rPr>
          <w:rFonts w:ascii="Times New Roman" w:hAnsi="Times New Roman"/>
          <w:sz w:val="24"/>
          <w:szCs w:val="24"/>
        </w:rPr>
        <w:t>De acuerdo a</w:t>
      </w:r>
      <w:r w:rsidRPr="43F1B4AF" w:rsidR="008277E6">
        <w:rPr>
          <w:rFonts w:ascii="Times New Roman" w:hAnsi="Times New Roman"/>
          <w:sz w:val="24"/>
          <w:szCs w:val="24"/>
        </w:rPr>
        <w:t xml:space="preserve"> los términos contenidos en el rechazo, la reclamación y en la respectiva absolución, la solución de la presente controversia </w:t>
      </w:r>
      <w:r w:rsidRPr="43F1B4AF" w:rsidR="000E5D04">
        <w:rPr>
          <w:rFonts w:ascii="Times New Roman" w:hAnsi="Times New Roman"/>
          <w:sz w:val="24"/>
          <w:szCs w:val="24"/>
        </w:rPr>
        <w:t xml:space="preserve">consiste en </w:t>
      </w:r>
      <w:r w:rsidRPr="43F1B4AF" w:rsidR="008277E6">
        <w:rPr>
          <w:rFonts w:ascii="Times New Roman" w:hAnsi="Times New Roman"/>
          <w:sz w:val="24"/>
          <w:szCs w:val="24"/>
        </w:rPr>
        <w:t>determinar</w:t>
      </w:r>
      <w:r w:rsidRPr="43F1B4AF" w:rsidR="000E5D04">
        <w:rPr>
          <w:rFonts w:ascii="Times New Roman" w:hAnsi="Times New Roman"/>
          <w:sz w:val="24"/>
          <w:szCs w:val="24"/>
        </w:rPr>
        <w:t xml:space="preserve"> si la disposición de efectivo realizada </w:t>
      </w:r>
      <w:r w:rsidRPr="43F1B4AF" w:rsidR="000E5D04">
        <w:rPr>
          <w:rFonts w:ascii="Times New Roman" w:hAnsi="Times New Roman"/>
          <w:sz w:val="24"/>
          <w:szCs w:val="24"/>
        </w:rPr>
        <w:t>desde la tarjeta de crédito del asegurado constituye un riesgo cubierto por la póliza</w:t>
      </w:r>
      <w:r w:rsidRPr="43F1B4AF" w:rsidR="008277E6">
        <w:rPr>
          <w:rFonts w:ascii="Times New Roman" w:hAnsi="Times New Roman"/>
          <w:sz w:val="24"/>
          <w:szCs w:val="24"/>
        </w:rPr>
        <w:t>.</w:t>
      </w:r>
    </w:p>
    <w:p w:rsidRPr="00255B33" w:rsidR="00B65971" w:rsidP="43F1B4AF" w:rsidRDefault="00B65971" w14:paraId="285C395F" w14:textId="69E54BD7">
      <w:pPr>
        <w:jc w:val="both"/>
        <w:rPr>
          <w:rFonts w:ascii="Times New Roman" w:hAnsi="Times New Roman"/>
          <w:sz w:val="24"/>
          <w:szCs w:val="24"/>
        </w:rPr>
      </w:pPr>
      <w:r w:rsidRPr="43F1B4AF" w:rsidR="00B65971">
        <w:rPr>
          <w:rFonts w:ascii="Times New Roman" w:hAnsi="Times New Roman"/>
          <w:b w:val="1"/>
          <w:bCs w:val="1"/>
          <w:sz w:val="24"/>
          <w:szCs w:val="24"/>
          <w:u w:val="single"/>
        </w:rPr>
        <w:t>OCTAVO</w:t>
      </w:r>
      <w:r w:rsidRPr="43F1B4AF" w:rsidR="00B65971">
        <w:rPr>
          <w:rFonts w:ascii="Times New Roman" w:hAnsi="Times New Roman"/>
          <w:sz w:val="24"/>
          <w:szCs w:val="24"/>
        </w:rPr>
        <w:t xml:space="preserve">: </w:t>
      </w:r>
      <w:r w:rsidRPr="43F1B4AF" w:rsidR="00B65971">
        <w:rPr>
          <w:rFonts w:ascii="Times New Roman" w:hAnsi="Times New Roman"/>
          <w:sz w:val="24"/>
          <w:szCs w:val="24"/>
        </w:rPr>
        <w:t xml:space="preserve">De acuerdo con el Certificado del Seguro de Protección de Tarjeta BBVA, emitido por </w:t>
      </w:r>
      <w:r w:rsidRPr="43F1B4AF" w:rsidR="25D30F5E">
        <w:rPr>
          <w:rFonts w:ascii="Times New Roman" w:hAnsi="Times New Roman"/>
          <w:sz w:val="24"/>
          <w:szCs w:val="24"/>
        </w:rPr>
        <w:t>..................................</w:t>
      </w:r>
      <w:r w:rsidRPr="43F1B4AF" w:rsidR="00B65971">
        <w:rPr>
          <w:rFonts w:ascii="Times New Roman" w:hAnsi="Times New Roman"/>
          <w:sz w:val="24"/>
          <w:szCs w:val="24"/>
        </w:rPr>
        <w:t xml:space="preserve"> el 4 de enero de 2024, se identifican las siguientes coberturas principales:</w:t>
      </w:r>
    </w:p>
    <w:p w:rsidR="50312CF8" w:rsidP="43F1B4AF" w:rsidRDefault="50312CF8" w14:paraId="614AD364" w14:textId="562C7FE9">
      <w:pPr>
        <w:jc w:val="center"/>
      </w:pPr>
      <w:r w:rsidR="50312CF8">
        <w:rPr/>
        <w:t>...............................................................................................................................................................</w:t>
      </w:r>
    </w:p>
    <w:p w:rsidR="00344EAD" w:rsidP="00157128" w:rsidRDefault="009220AD" w14:paraId="430539B7" w14:textId="06C16CA7">
      <w:pPr>
        <w:jc w:val="both"/>
        <w:rPr>
          <w:rFonts w:ascii="Times New Roman" w:hAnsi="Times New Roman"/>
          <w:sz w:val="24"/>
          <w:szCs w:val="24"/>
        </w:rPr>
      </w:pPr>
      <w:r w:rsidRPr="00E57478">
        <w:rPr>
          <w:rFonts w:ascii="Times New Roman" w:hAnsi="Times New Roman"/>
          <w:sz w:val="24"/>
          <w:szCs w:val="24"/>
        </w:rPr>
        <w:t xml:space="preserve">Asimismo, consta en autos el certificado del Seguro de Protección de Tarjeta BBVA –debidamente suscrito por el reclamante, </w:t>
      </w:r>
      <w:r w:rsidR="00157128">
        <w:rPr>
          <w:rFonts w:ascii="Times New Roman" w:hAnsi="Times New Roman"/>
          <w:sz w:val="24"/>
          <w:szCs w:val="24"/>
        </w:rPr>
        <w:t>tomando conocimiento</w:t>
      </w:r>
      <w:r w:rsidRPr="00157128">
        <w:rPr>
          <w:rFonts w:ascii="Times New Roman" w:hAnsi="Times New Roman"/>
          <w:sz w:val="24"/>
          <w:szCs w:val="24"/>
        </w:rPr>
        <w:t xml:space="preserve"> pleno</w:t>
      </w:r>
      <w:r w:rsidR="00157128">
        <w:rPr>
          <w:rFonts w:ascii="Times New Roman" w:hAnsi="Times New Roman"/>
          <w:sz w:val="24"/>
          <w:szCs w:val="24"/>
        </w:rPr>
        <w:t xml:space="preserve"> </w:t>
      </w:r>
      <w:r w:rsidRPr="00157128">
        <w:rPr>
          <w:rFonts w:ascii="Times New Roman" w:hAnsi="Times New Roman"/>
          <w:sz w:val="24"/>
          <w:szCs w:val="24"/>
        </w:rPr>
        <w:t xml:space="preserve">de los términos y condiciones </w:t>
      </w:r>
      <w:r w:rsidR="00157128">
        <w:rPr>
          <w:rFonts w:ascii="Times New Roman" w:hAnsi="Times New Roman"/>
          <w:sz w:val="24"/>
          <w:szCs w:val="24"/>
        </w:rPr>
        <w:t xml:space="preserve">del contrato </w:t>
      </w:r>
      <w:r w:rsidRPr="00157128" w:rsidR="00157128">
        <w:rPr>
          <w:rFonts w:ascii="Times New Roman" w:hAnsi="Times New Roman"/>
          <w:sz w:val="24"/>
          <w:szCs w:val="24"/>
        </w:rPr>
        <w:t>antes de la ocurrencia del siniestro.</w:t>
      </w:r>
    </w:p>
    <w:p w:rsidRPr="00157128" w:rsidR="00344EAD" w:rsidP="003636C0" w:rsidRDefault="003636C0" w14:paraId="7275EB22" w14:textId="18F89E37">
      <w:pPr>
        <w:jc w:val="center"/>
      </w:pPr>
      <w:r w:rsidR="3885E341">
        <w:rPr/>
        <w:t>............................................................................................</w:t>
      </w:r>
    </w:p>
    <w:p w:rsidR="009152F1" w:rsidP="00A72D50" w:rsidRDefault="00A72D50" w14:paraId="1C152313" w14:textId="51C1F40E">
      <w:pPr>
        <w:jc w:val="both"/>
        <w:rPr>
          <w:rFonts w:ascii="Times New Roman" w:hAnsi="Times New Roman"/>
          <w:sz w:val="24"/>
          <w:szCs w:val="24"/>
        </w:rPr>
      </w:pPr>
      <w:r w:rsidRPr="00A11727">
        <w:rPr>
          <w:rFonts w:ascii="Times New Roman" w:hAnsi="Times New Roman"/>
          <w:b/>
          <w:sz w:val="24"/>
          <w:szCs w:val="24"/>
          <w:u w:val="single"/>
        </w:rPr>
        <w:t>NOVENO</w:t>
      </w:r>
      <w:r w:rsidRPr="00A11727">
        <w:rPr>
          <w:rFonts w:ascii="Times New Roman" w:hAnsi="Times New Roman"/>
          <w:bCs/>
          <w:sz w:val="24"/>
          <w:szCs w:val="24"/>
        </w:rPr>
        <w:t xml:space="preserve">: </w:t>
      </w:r>
      <w:r w:rsidRPr="00A11727" w:rsidR="00BC27A0">
        <w:rPr>
          <w:rFonts w:ascii="Times New Roman" w:hAnsi="Times New Roman"/>
          <w:bCs/>
          <w:sz w:val="24"/>
          <w:szCs w:val="24"/>
        </w:rPr>
        <w:t>Que,</w:t>
      </w:r>
      <w:r w:rsidRPr="00A11727" w:rsidR="00BC27A0">
        <w:rPr>
          <w:rFonts w:ascii="Times New Roman" w:hAnsi="Times New Roman"/>
          <w:sz w:val="24"/>
          <w:szCs w:val="24"/>
        </w:rPr>
        <w:t xml:space="preserve"> l</w:t>
      </w:r>
      <w:r w:rsidRPr="00A72D50">
        <w:rPr>
          <w:rFonts w:ascii="Times New Roman" w:hAnsi="Times New Roman"/>
          <w:sz w:val="24"/>
          <w:szCs w:val="24"/>
        </w:rPr>
        <w:t>a operación materia de controversia —una disposición de efectivo desde una tarjeta de crédito— no constituye un uso de fondos propios del asegurado, sino una operación de crédito generada con cargo a la línea de financiamiento otorgada por el banco emisor.</w:t>
      </w:r>
    </w:p>
    <w:p w:rsidRPr="00A11727" w:rsidR="00B90399" w:rsidP="00B90399" w:rsidRDefault="00B90399" w14:paraId="4B1FD75A" w14:textId="5498DB57">
      <w:pPr>
        <w:ind w:left="708"/>
        <w:jc w:val="both"/>
        <w:rPr>
          <w:rFonts w:ascii="Times New Roman" w:hAnsi="Times New Roman"/>
          <w:sz w:val="24"/>
          <w:szCs w:val="24"/>
        </w:rPr>
      </w:pPr>
      <w:r>
        <w:rPr>
          <w:rFonts w:ascii="Times New Roman" w:hAnsi="Times New Roman"/>
          <w:sz w:val="24"/>
          <w:szCs w:val="24"/>
        </w:rPr>
        <w:t>“</w:t>
      </w:r>
      <w:r w:rsidRPr="007C4F30">
        <w:rPr>
          <w:rFonts w:ascii="Times New Roman" w:hAnsi="Times New Roman"/>
          <w:i/>
          <w:iCs/>
          <w:sz w:val="24"/>
          <w:szCs w:val="24"/>
        </w:rPr>
        <w:t>La disposición de efectivo es un préstamo que se obtiene a partir de un porcentaje de tu línea de crédito de la tarjeta”</w:t>
      </w:r>
      <w:r>
        <w:rPr>
          <w:rStyle w:val="Refdenotaalpie"/>
          <w:rFonts w:ascii="Times New Roman" w:hAnsi="Times New Roman"/>
          <w:i/>
          <w:iCs/>
          <w:sz w:val="24"/>
          <w:szCs w:val="24"/>
        </w:rPr>
        <w:footnoteReference w:id="1"/>
      </w:r>
      <w:r w:rsidRPr="007C4F30">
        <w:rPr>
          <w:rFonts w:ascii="Times New Roman" w:hAnsi="Times New Roman"/>
          <w:i/>
          <w:iCs/>
          <w:sz w:val="24"/>
          <w:szCs w:val="24"/>
        </w:rPr>
        <w:t>.</w:t>
      </w:r>
    </w:p>
    <w:p w:rsidR="00A72D50" w:rsidP="00A72D50" w:rsidRDefault="00A72D50" w14:paraId="67ADA383" w14:textId="71A32D7E">
      <w:pPr>
        <w:jc w:val="both"/>
        <w:rPr>
          <w:rFonts w:ascii="Times New Roman" w:hAnsi="Times New Roman"/>
          <w:sz w:val="24"/>
          <w:szCs w:val="24"/>
        </w:rPr>
      </w:pPr>
      <w:r w:rsidRPr="00A72D50">
        <w:rPr>
          <w:rFonts w:ascii="Times New Roman" w:hAnsi="Times New Roman"/>
          <w:sz w:val="24"/>
          <w:szCs w:val="24"/>
        </w:rPr>
        <w:t>En otras palabras, la disposición de efectivo equivale a un préstamo bancario inmediato, pues los fondos retirados provienen del crédito concedido por la entidad financiera, no del patrimonio del asegurado.</w:t>
      </w:r>
    </w:p>
    <w:p w:rsidRPr="00A11727" w:rsidR="00952476" w:rsidP="00A72D50" w:rsidRDefault="00A72D50" w14:paraId="794E9C3C" w14:textId="77777777">
      <w:pPr>
        <w:jc w:val="both"/>
        <w:rPr>
          <w:rFonts w:ascii="Times New Roman" w:hAnsi="Times New Roman"/>
          <w:sz w:val="24"/>
          <w:szCs w:val="24"/>
        </w:rPr>
      </w:pPr>
      <w:r w:rsidRPr="00A72D50">
        <w:rPr>
          <w:rFonts w:ascii="Times New Roman" w:hAnsi="Times New Roman"/>
          <w:sz w:val="24"/>
          <w:szCs w:val="24"/>
        </w:rPr>
        <w:t>Por tanto, la pérdida alegada no representa un perjuicio patrimonial directo derivado del uso indebido de la tarjeta, sino una deuda contraída por el banco a favor del cliente</w:t>
      </w:r>
      <w:r w:rsidRPr="00A11727" w:rsidR="00952476">
        <w:rPr>
          <w:rFonts w:ascii="Times New Roman" w:hAnsi="Times New Roman"/>
          <w:sz w:val="24"/>
          <w:szCs w:val="24"/>
        </w:rPr>
        <w:t>.</w:t>
      </w:r>
    </w:p>
    <w:p w:rsidRPr="009834E5" w:rsidR="009834E5" w:rsidP="009834E5" w:rsidRDefault="00952476" w14:paraId="3EE7E6FE" w14:textId="0BD84D0C">
      <w:pPr>
        <w:tabs>
          <w:tab w:val="num" w:pos="720"/>
        </w:tabs>
        <w:jc w:val="both"/>
        <w:rPr>
          <w:rFonts w:ascii="Times New Roman" w:hAnsi="Times New Roman"/>
          <w:sz w:val="24"/>
          <w:szCs w:val="24"/>
        </w:rPr>
      </w:pPr>
      <w:r w:rsidRPr="00A11727">
        <w:rPr>
          <w:rFonts w:ascii="Times New Roman" w:hAnsi="Times New Roman"/>
          <w:b/>
          <w:bCs/>
          <w:sz w:val="24"/>
          <w:szCs w:val="24"/>
          <w:u w:val="single"/>
        </w:rPr>
        <w:t>DÉCIMO:</w:t>
      </w:r>
      <w:r w:rsidRPr="00A11727">
        <w:rPr>
          <w:rFonts w:ascii="Times New Roman" w:hAnsi="Times New Roman"/>
          <w:sz w:val="24"/>
          <w:szCs w:val="24"/>
        </w:rPr>
        <w:t xml:space="preserve"> </w:t>
      </w:r>
      <w:r w:rsidRPr="009834E5" w:rsidR="009834E5">
        <w:rPr>
          <w:rFonts w:ascii="Times New Roman" w:hAnsi="Times New Roman"/>
          <w:sz w:val="24"/>
          <w:szCs w:val="24"/>
        </w:rPr>
        <w:t>Que, tras el análisis de las coberturas contratadas por el asegurado, se verifica que la disposición de efectivo realizada con la tarjeta de crédito no encaja dentro de ninguno de los riesgos amparados por la póliza. En efecto, dicha operación no corresponde a una compra presencial o por Internet no reconocida (</w:t>
      </w:r>
      <w:r w:rsidRPr="009834E5" w:rsidR="009834E5">
        <w:rPr>
          <w:rFonts w:ascii="Times New Roman" w:hAnsi="Times New Roman"/>
          <w:i/>
          <w:iCs/>
          <w:sz w:val="24"/>
          <w:szCs w:val="24"/>
        </w:rPr>
        <w:t>Cobertura 1</w:t>
      </w:r>
      <w:r w:rsidRPr="009834E5" w:rsidR="009834E5">
        <w:rPr>
          <w:rFonts w:ascii="Times New Roman" w:hAnsi="Times New Roman"/>
          <w:sz w:val="24"/>
          <w:szCs w:val="24"/>
        </w:rPr>
        <w:t>), ni a un supuesto de robo o hurto de dinero retirado en cajeros automáticos (ATM) (</w:t>
      </w:r>
      <w:r w:rsidRPr="009834E5" w:rsidR="009834E5">
        <w:rPr>
          <w:rFonts w:ascii="Times New Roman" w:hAnsi="Times New Roman"/>
          <w:i/>
          <w:iCs/>
          <w:sz w:val="24"/>
          <w:szCs w:val="24"/>
        </w:rPr>
        <w:t>Cobertura 2</w:t>
      </w:r>
      <w:r w:rsidRPr="009834E5" w:rsidR="009834E5">
        <w:rPr>
          <w:rFonts w:ascii="Times New Roman" w:hAnsi="Times New Roman"/>
          <w:sz w:val="24"/>
          <w:szCs w:val="24"/>
        </w:rPr>
        <w:t>).</w:t>
      </w:r>
    </w:p>
    <w:p w:rsidRPr="009834E5" w:rsidR="009834E5" w:rsidP="009834E5" w:rsidRDefault="009834E5" w14:paraId="61958167" w14:textId="77777777">
      <w:pPr>
        <w:tabs>
          <w:tab w:val="num" w:pos="720"/>
        </w:tabs>
        <w:jc w:val="both"/>
        <w:rPr>
          <w:rFonts w:ascii="Times New Roman" w:hAnsi="Times New Roman"/>
          <w:sz w:val="24"/>
          <w:szCs w:val="24"/>
        </w:rPr>
      </w:pPr>
      <w:r w:rsidRPr="009834E5">
        <w:rPr>
          <w:rFonts w:ascii="Times New Roman" w:hAnsi="Times New Roman"/>
          <w:sz w:val="24"/>
          <w:szCs w:val="24"/>
        </w:rPr>
        <w:t>Del mismo modo, no se advierte la ocurrencia de un robo o hurto electrónico (</w:t>
      </w:r>
      <w:r w:rsidRPr="009834E5">
        <w:rPr>
          <w:rFonts w:ascii="Times New Roman" w:hAnsi="Times New Roman"/>
          <w:i/>
          <w:iCs/>
          <w:sz w:val="24"/>
          <w:szCs w:val="24"/>
        </w:rPr>
        <w:t>Cobertura 3</w:t>
      </w:r>
      <w:r w:rsidRPr="009834E5">
        <w:rPr>
          <w:rFonts w:ascii="Times New Roman" w:hAnsi="Times New Roman"/>
          <w:sz w:val="24"/>
          <w:szCs w:val="24"/>
        </w:rPr>
        <w:t>), ni se trata de operaciones realizadas en el extranjero (</w:t>
      </w:r>
      <w:r w:rsidRPr="009834E5">
        <w:rPr>
          <w:rFonts w:ascii="Times New Roman" w:hAnsi="Times New Roman"/>
          <w:i/>
          <w:iCs/>
          <w:sz w:val="24"/>
          <w:szCs w:val="24"/>
        </w:rPr>
        <w:t>Cobertura 5</w:t>
      </w:r>
      <w:r w:rsidRPr="009834E5">
        <w:rPr>
          <w:rFonts w:ascii="Times New Roman" w:hAnsi="Times New Roman"/>
          <w:sz w:val="24"/>
          <w:szCs w:val="24"/>
        </w:rPr>
        <w:t>), ni mucho menos de transferencias bancarias no reconocidas por el asegurado (</w:t>
      </w:r>
      <w:r w:rsidRPr="009834E5">
        <w:rPr>
          <w:rFonts w:ascii="Times New Roman" w:hAnsi="Times New Roman"/>
          <w:i/>
          <w:iCs/>
          <w:sz w:val="24"/>
          <w:szCs w:val="24"/>
        </w:rPr>
        <w:t>Cobertura 6</w:t>
      </w:r>
      <w:r w:rsidRPr="009834E5">
        <w:rPr>
          <w:rFonts w:ascii="Times New Roman" w:hAnsi="Times New Roman"/>
          <w:sz w:val="24"/>
          <w:szCs w:val="24"/>
        </w:rPr>
        <w:t>).</w:t>
      </w:r>
    </w:p>
    <w:p w:rsidRPr="00A11727" w:rsidR="009072B4" w:rsidP="009072B4" w:rsidRDefault="009072B4" w14:paraId="46C65F04" w14:textId="77777777">
      <w:pPr>
        <w:jc w:val="both"/>
        <w:rPr>
          <w:rStyle w:val="Textoennegrita"/>
          <w:rFonts w:ascii="Times New Roman" w:hAnsi="Times New Roman" w:eastAsia="Times New Roman"/>
          <w:b w:val="0"/>
          <w:bCs w:val="0"/>
          <w:sz w:val="24"/>
          <w:szCs w:val="24"/>
          <w:lang w:val="es-ES"/>
        </w:rPr>
      </w:pPr>
      <w:proofErr w:type="gramStart"/>
      <w:r w:rsidRPr="00A11727">
        <w:rPr>
          <w:rFonts w:ascii="Times New Roman" w:hAnsi="Times New Roman" w:eastAsiaTheme="minorHAnsi"/>
          <w:color w:val="000000"/>
          <w:sz w:val="24"/>
          <w:szCs w:val="24"/>
        </w:rPr>
        <w:t>De acuerdo a</w:t>
      </w:r>
      <w:proofErr w:type="gramEnd"/>
      <w:r w:rsidRPr="00A11727">
        <w:rPr>
          <w:rFonts w:ascii="Times New Roman" w:hAnsi="Times New Roman" w:eastAsiaTheme="minorHAnsi"/>
          <w:color w:val="000000"/>
          <w:sz w:val="24"/>
          <w:szCs w:val="24"/>
        </w:rPr>
        <w:t xml:space="preserve"> la séptima regla de interpretación del contrato de seguro prevista en el artículo IV de las Disposiciones Generales de la ley del contrato de seguro, Ley 29946, </w:t>
      </w:r>
      <w:r w:rsidRPr="00A11727">
        <w:rPr>
          <w:rFonts w:ascii="Times New Roman" w:hAnsi="Times New Roman"/>
          <w:b/>
          <w:bCs/>
          <w:i/>
          <w:iCs/>
          <w:sz w:val="24"/>
          <w:szCs w:val="24"/>
        </w:rPr>
        <w:t>“La cobertura,</w:t>
      </w:r>
      <w:r w:rsidRPr="00A11727">
        <w:rPr>
          <w:rFonts w:ascii="Times New Roman" w:hAnsi="Times New Roman"/>
          <w:i/>
          <w:iCs/>
          <w:sz w:val="24"/>
          <w:szCs w:val="24"/>
        </w:rPr>
        <w:t xml:space="preserve"> exclusiones </w:t>
      </w:r>
      <w:r w:rsidRPr="00A11727">
        <w:rPr>
          <w:rFonts w:ascii="Times New Roman" w:hAnsi="Times New Roman"/>
          <w:b/>
          <w:bCs/>
          <w:i/>
          <w:iCs/>
          <w:sz w:val="24"/>
          <w:szCs w:val="24"/>
        </w:rPr>
        <w:t xml:space="preserve">y, en general, la extensión del riesgo, </w:t>
      </w:r>
      <w:r w:rsidRPr="00A11727">
        <w:rPr>
          <w:rFonts w:ascii="Times New Roman" w:hAnsi="Times New Roman"/>
          <w:i/>
          <w:iCs/>
          <w:sz w:val="24"/>
          <w:szCs w:val="24"/>
        </w:rPr>
        <w:t xml:space="preserve">así como los derechos de los beneficiarios, previstos en el contrato de seguro, </w:t>
      </w:r>
      <w:r w:rsidRPr="00A11727">
        <w:rPr>
          <w:rFonts w:ascii="Times New Roman" w:hAnsi="Times New Roman"/>
          <w:b/>
          <w:bCs/>
          <w:i/>
          <w:iCs/>
          <w:sz w:val="24"/>
          <w:szCs w:val="24"/>
        </w:rPr>
        <w:t xml:space="preserve">deben interpretarse literalmente” </w:t>
      </w:r>
      <w:r w:rsidRPr="00A11727">
        <w:rPr>
          <w:rFonts w:ascii="Times New Roman" w:hAnsi="Times New Roman"/>
          <w:sz w:val="24"/>
          <w:szCs w:val="24"/>
        </w:rPr>
        <w:t>(lo destacado es nuestro).</w:t>
      </w:r>
    </w:p>
    <w:p w:rsidRPr="00A11727" w:rsidR="009072B4" w:rsidP="009072B4" w:rsidRDefault="009072B4" w14:paraId="1E7C6C4B" w14:textId="686914B9">
      <w:pPr>
        <w:jc w:val="both"/>
        <w:rPr>
          <w:rFonts w:ascii="Times New Roman" w:hAnsi="Times New Roman"/>
          <w:sz w:val="24"/>
          <w:szCs w:val="24"/>
        </w:rPr>
      </w:pPr>
      <w:r w:rsidRPr="009072B4">
        <w:rPr>
          <w:rFonts w:ascii="Times New Roman" w:hAnsi="Times New Roman"/>
          <w:sz w:val="24"/>
          <w:szCs w:val="24"/>
        </w:rPr>
        <w:t xml:space="preserve">Bajo dicho principio, </w:t>
      </w:r>
      <w:r w:rsidRPr="00A11727" w:rsidR="00DB40A1">
        <w:rPr>
          <w:rFonts w:ascii="Times New Roman" w:hAnsi="Times New Roman"/>
          <w:sz w:val="24"/>
          <w:szCs w:val="24"/>
        </w:rPr>
        <w:t xml:space="preserve">este ORU </w:t>
      </w:r>
      <w:r w:rsidRPr="009072B4">
        <w:rPr>
          <w:rFonts w:ascii="Times New Roman" w:hAnsi="Times New Roman"/>
          <w:sz w:val="24"/>
          <w:szCs w:val="24"/>
        </w:rPr>
        <w:t xml:space="preserve">no puede extender el ámbito de cobertura más allá de lo expresamente pactado en la póliza. </w:t>
      </w:r>
    </w:p>
    <w:p w:rsidR="00DD5666" w:rsidP="00DD5666" w:rsidRDefault="00DD5666" w14:paraId="5F589F6D" w14:textId="7C9DEDED">
      <w:pPr>
        <w:tabs>
          <w:tab w:val="num" w:pos="720"/>
        </w:tabs>
        <w:jc w:val="both"/>
        <w:rPr>
          <w:rFonts w:ascii="Times New Roman" w:hAnsi="Times New Roman"/>
          <w:sz w:val="24"/>
          <w:szCs w:val="24"/>
        </w:rPr>
      </w:pPr>
      <w:r w:rsidRPr="43F1B4AF" w:rsidR="00DD5666">
        <w:rPr>
          <w:rFonts w:ascii="Times New Roman" w:hAnsi="Times New Roman"/>
          <w:sz w:val="24"/>
          <w:szCs w:val="24"/>
        </w:rPr>
        <w:t xml:space="preserve">En consecuencia, la disposición de efectivo materia de reclamo no se encuentra comprendida en ninguno de los riesgos asegurados previstos en la póliza, lo que determina que el evento denunciado no configura un siniestro cubierto por el Seguro de Protección de Tarjeta BBVA – </w:t>
      </w:r>
      <w:r w:rsidRPr="43F1B4AF" w:rsidR="3FD5FB6E">
        <w:rPr>
          <w:rFonts w:ascii="Times New Roman" w:hAnsi="Times New Roman"/>
          <w:sz w:val="24"/>
          <w:szCs w:val="24"/>
        </w:rPr>
        <w:t>...........</w:t>
      </w:r>
      <w:r w:rsidRPr="43F1B4AF" w:rsidR="00DD5666">
        <w:rPr>
          <w:rFonts w:ascii="Times New Roman" w:hAnsi="Times New Roman"/>
          <w:sz w:val="24"/>
          <w:szCs w:val="24"/>
        </w:rPr>
        <w:t>.</w:t>
      </w:r>
    </w:p>
    <w:p w:rsidRPr="00132D1B" w:rsidR="00132D1B" w:rsidP="00132D1B" w:rsidRDefault="00905E2D" w14:paraId="35C1F0DA" w14:textId="1EDD950E">
      <w:pPr>
        <w:tabs>
          <w:tab w:val="num" w:pos="720"/>
        </w:tabs>
        <w:jc w:val="both"/>
        <w:rPr>
          <w:rFonts w:ascii="Times New Roman" w:hAnsi="Times New Roman"/>
          <w:sz w:val="28"/>
          <w:szCs w:val="28"/>
        </w:rPr>
      </w:pPr>
      <w:r w:rsidRPr="43F1B4AF" w:rsidR="00905E2D">
        <w:rPr>
          <w:rFonts w:ascii="Times New Roman" w:hAnsi="Times New Roman"/>
          <w:b w:val="1"/>
          <w:bCs w:val="1"/>
          <w:sz w:val="24"/>
          <w:szCs w:val="24"/>
          <w:u w:val="single"/>
        </w:rPr>
        <w:t>UN</w:t>
      </w:r>
      <w:r w:rsidRPr="43F1B4AF" w:rsidR="00905E2D">
        <w:rPr>
          <w:rFonts w:ascii="Times New Roman" w:hAnsi="Times New Roman"/>
          <w:b w:val="1"/>
          <w:bCs w:val="1"/>
          <w:sz w:val="24"/>
          <w:szCs w:val="24"/>
          <w:u w:val="single"/>
        </w:rPr>
        <w:t>DÉCIMO</w:t>
      </w:r>
      <w:r w:rsidRPr="43F1B4AF" w:rsidR="00905E2D">
        <w:rPr>
          <w:rFonts w:ascii="Times New Roman" w:hAnsi="Times New Roman"/>
          <w:b w:val="1"/>
          <w:bCs w:val="1"/>
          <w:sz w:val="24"/>
          <w:szCs w:val="24"/>
        </w:rPr>
        <w:t xml:space="preserve">: </w:t>
      </w:r>
      <w:r w:rsidRPr="43F1B4AF" w:rsidR="00132D1B">
        <w:rPr>
          <w:rFonts w:ascii="Times New Roman" w:hAnsi="Times New Roman"/>
        </w:rPr>
        <w:t>Qu</w:t>
      </w:r>
      <w:r w:rsidRPr="43F1B4AF" w:rsidR="00132D1B">
        <w:rPr>
          <w:rFonts w:ascii="Times New Roman" w:hAnsi="Times New Roman"/>
          <w:sz w:val="24"/>
          <w:szCs w:val="24"/>
        </w:rPr>
        <w:t xml:space="preserve">e, en el rechazo parcial de cobertura comunicado al asegurado mediante correo electrónico de fecha 21 de octubre de 2024, </w:t>
      </w:r>
      <w:r w:rsidRPr="43F1B4AF" w:rsidR="25D30F5E">
        <w:rPr>
          <w:rFonts w:ascii="Times New Roman" w:hAnsi="Times New Roman"/>
          <w:sz w:val="24"/>
          <w:szCs w:val="24"/>
        </w:rPr>
        <w:t>..................................</w:t>
      </w:r>
      <w:r w:rsidRPr="43F1B4AF" w:rsidR="00132D1B">
        <w:rPr>
          <w:rFonts w:ascii="Times New Roman" w:hAnsi="Times New Roman"/>
          <w:sz w:val="24"/>
          <w:szCs w:val="24"/>
        </w:rPr>
        <w:t xml:space="preserve"> únicamente señaló que la disposición de efectivo no encajaba dentro de las coberturas contratadas, sin invocar expresamente ninguna exclusión de cobertura.</w:t>
      </w:r>
    </w:p>
    <w:p w:rsidRPr="00132D1B" w:rsidR="00132D1B" w:rsidP="00132D1B" w:rsidRDefault="00132D1B" w14:paraId="6C41A0E0" w14:textId="77777777">
      <w:pPr>
        <w:tabs>
          <w:tab w:val="num" w:pos="720"/>
        </w:tabs>
        <w:jc w:val="both"/>
        <w:rPr>
          <w:rFonts w:ascii="Times New Roman" w:hAnsi="Times New Roman"/>
          <w:sz w:val="24"/>
          <w:szCs w:val="24"/>
        </w:rPr>
      </w:pPr>
      <w:r w:rsidRPr="00132D1B">
        <w:rPr>
          <w:rFonts w:ascii="Times New Roman" w:hAnsi="Times New Roman"/>
          <w:sz w:val="24"/>
          <w:szCs w:val="24"/>
        </w:rPr>
        <w:t>Al respecto, debe recordarse que, de conformidad con el artículo 11 del Reglamento para la Gestión y Pago de Siniestros, aprobado por Resolución S.B.S. N.º 3202-2013, cuando no interviene ajustador —como en el presente caso—:</w:t>
      </w:r>
    </w:p>
    <w:p w:rsidRPr="00132D1B" w:rsidR="00132D1B" w:rsidP="00132D1B" w:rsidRDefault="00132D1B" w14:paraId="2CC5AEBB" w14:textId="77777777">
      <w:pPr>
        <w:tabs>
          <w:tab w:val="num" w:pos="720"/>
        </w:tabs>
        <w:ind w:left="1416"/>
        <w:jc w:val="both"/>
        <w:rPr>
          <w:rFonts w:ascii="Times New Roman" w:hAnsi="Times New Roman"/>
          <w:sz w:val="24"/>
          <w:szCs w:val="24"/>
        </w:rPr>
      </w:pPr>
      <w:r w:rsidRPr="00132D1B">
        <w:rPr>
          <w:rFonts w:ascii="Times New Roman" w:hAnsi="Times New Roman"/>
          <w:sz w:val="24"/>
          <w:szCs w:val="24"/>
        </w:rPr>
        <w:t>“</w:t>
      </w:r>
      <w:r w:rsidRPr="00132D1B">
        <w:rPr>
          <w:rFonts w:ascii="Times New Roman" w:hAnsi="Times New Roman"/>
          <w:i/>
          <w:iCs/>
          <w:sz w:val="24"/>
          <w:szCs w:val="24"/>
        </w:rPr>
        <w:t>Dentro de los treinta (30) días siguientes a la fecha de haber recibido la documentación e información completa exigida en la póliza para el proceso de liquidación del siniestro, la empresa deberá pronunciarse sobre el consentimiento o rechazo del siniestro, debiendo sustentar las causas de su decisión.”</w:t>
      </w:r>
    </w:p>
    <w:p w:rsidR="00DC37E5" w:rsidP="00132D1B" w:rsidRDefault="00132D1B" w14:paraId="51EB545E" w14:textId="77777777">
      <w:pPr>
        <w:tabs>
          <w:tab w:val="num" w:pos="720"/>
        </w:tabs>
        <w:jc w:val="both"/>
        <w:rPr>
          <w:rFonts w:ascii="Times New Roman" w:hAnsi="Times New Roman"/>
          <w:sz w:val="24"/>
          <w:szCs w:val="24"/>
        </w:rPr>
      </w:pPr>
      <w:r w:rsidRPr="00132D1B">
        <w:rPr>
          <w:rFonts w:ascii="Times New Roman" w:hAnsi="Times New Roman"/>
          <w:sz w:val="24"/>
          <w:szCs w:val="24"/>
        </w:rPr>
        <w:t>En tal sentido, la norma impone a las aseguradoras el deber de emitir una decisión motivada dentro del plazo legal, limitando su fundamentación a las causales expresamente expuestas en esa comunicación</w:t>
      </w:r>
      <w:r w:rsidRPr="009D35BE">
        <w:rPr>
          <w:rFonts w:ascii="Times New Roman" w:hAnsi="Times New Roman"/>
          <w:sz w:val="24"/>
          <w:szCs w:val="24"/>
        </w:rPr>
        <w:t xml:space="preserve"> </w:t>
      </w:r>
      <w:r w:rsidRPr="00132D1B">
        <w:rPr>
          <w:rFonts w:ascii="Times New Roman" w:hAnsi="Times New Roman"/>
          <w:sz w:val="24"/>
          <w:szCs w:val="24"/>
        </w:rPr>
        <w:t>inicial.</w:t>
      </w:r>
    </w:p>
    <w:p w:rsidRPr="00132D1B" w:rsidR="00132D1B" w:rsidP="00132D1B" w:rsidRDefault="00132D1B" w14:paraId="36CD116D" w14:textId="0F61B638">
      <w:pPr>
        <w:tabs>
          <w:tab w:val="num" w:pos="720"/>
        </w:tabs>
        <w:jc w:val="both"/>
        <w:rPr>
          <w:rFonts w:ascii="Times New Roman" w:hAnsi="Times New Roman"/>
          <w:sz w:val="24"/>
          <w:szCs w:val="24"/>
        </w:rPr>
      </w:pPr>
      <w:r w:rsidRPr="00132D1B">
        <w:rPr>
          <w:rFonts w:ascii="Times New Roman" w:hAnsi="Times New Roman"/>
          <w:sz w:val="24"/>
          <w:szCs w:val="24"/>
        </w:rPr>
        <w:br/>
      </w:r>
      <w:r w:rsidRPr="00132D1B">
        <w:rPr>
          <w:rFonts w:ascii="Times New Roman" w:hAnsi="Times New Roman"/>
          <w:sz w:val="24"/>
          <w:szCs w:val="24"/>
        </w:rPr>
        <w:t xml:space="preserve">Ello significa que la compañía no puede incorporar nuevas razones </w:t>
      </w:r>
      <w:r w:rsidRPr="009D35BE" w:rsidR="00E846E8">
        <w:rPr>
          <w:rFonts w:ascii="Times New Roman" w:hAnsi="Times New Roman"/>
          <w:sz w:val="24"/>
          <w:szCs w:val="24"/>
        </w:rPr>
        <w:t>de rechazo con posterioridad</w:t>
      </w:r>
      <w:r w:rsidR="003A28C2">
        <w:rPr>
          <w:rFonts w:ascii="Times New Roman" w:hAnsi="Times New Roman"/>
          <w:sz w:val="24"/>
          <w:szCs w:val="24"/>
        </w:rPr>
        <w:t>.</w:t>
      </w:r>
    </w:p>
    <w:p w:rsidRPr="009834E5" w:rsidR="009D35BE" w:rsidP="009D35BE" w:rsidRDefault="00132D1B" w14:paraId="1CAB979B" w14:textId="42FB56A8">
      <w:pPr>
        <w:tabs>
          <w:tab w:val="num" w:pos="720"/>
        </w:tabs>
        <w:jc w:val="both"/>
        <w:rPr>
          <w:rFonts w:ascii="Times New Roman" w:hAnsi="Times New Roman"/>
          <w:sz w:val="24"/>
          <w:szCs w:val="24"/>
        </w:rPr>
      </w:pPr>
      <w:r w:rsidRPr="00132D1B">
        <w:rPr>
          <w:rFonts w:ascii="Times New Roman" w:hAnsi="Times New Roman"/>
          <w:sz w:val="24"/>
          <w:szCs w:val="24"/>
        </w:rPr>
        <w:t>Por tanto, carece de sustento que en el presente procedimiento se pretenda incorporar extemporáneamente una exclusión de cobertura que no fue alegada oportunamente en la comunicación de rechazo remitida al asegurado.</w:t>
      </w:r>
    </w:p>
    <w:p w:rsidRPr="0008736D" w:rsidR="0008736D" w:rsidP="0008736D" w:rsidRDefault="0008736D" w14:paraId="1E01F1E5" w14:textId="77777777">
      <w:pPr>
        <w:tabs>
          <w:tab w:val="left" w:pos="2386"/>
        </w:tabs>
        <w:jc w:val="both"/>
        <w:outlineLvl w:val="0"/>
        <w:rPr>
          <w:rFonts w:ascii="Times New Roman" w:hAnsi="Times New Roman"/>
          <w:b/>
          <w:sz w:val="24"/>
          <w:szCs w:val="24"/>
        </w:rPr>
      </w:pPr>
      <w:r w:rsidRPr="0008736D">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08736D" w:rsidR="0008736D" w:rsidP="0008736D" w:rsidRDefault="0008736D" w14:paraId="44BF321B" w14:textId="12707184">
      <w:pPr>
        <w:jc w:val="both"/>
        <w:rPr>
          <w:rFonts w:ascii="Times New Roman" w:hAnsi="Times New Roman"/>
          <w:b/>
          <w:sz w:val="24"/>
          <w:szCs w:val="24"/>
        </w:rPr>
      </w:pPr>
      <w:r w:rsidRPr="0008736D">
        <w:rPr>
          <w:rFonts w:ascii="Times New Roman" w:hAnsi="Times New Roman"/>
          <w:b/>
          <w:sz w:val="24"/>
          <w:szCs w:val="24"/>
        </w:rPr>
        <w:t>RESUELVE:</w:t>
      </w:r>
    </w:p>
    <w:p w:rsidRPr="00D41D3C" w:rsidR="006677FB" w:rsidP="43F1B4AF" w:rsidRDefault="0008736D" w14:paraId="533AA785" w14:textId="4C0633EA">
      <w:pPr>
        <w:pStyle w:val="paragraph"/>
        <w:spacing w:before="0" w:beforeAutospacing="off" w:after="0" w:afterAutospacing="off"/>
        <w:jc w:val="both"/>
        <w:textAlignment w:val="baseline"/>
        <w:rPr>
          <w:b w:val="1"/>
          <w:bCs w:val="1"/>
          <w:lang w:val="es-PE"/>
        </w:rPr>
      </w:pPr>
      <w:r w:rsidR="0008736D">
        <w:rPr/>
        <w:t>Declarar</w:t>
      </w:r>
      <w:r w:rsidRPr="43F1B4AF" w:rsidR="0008736D">
        <w:rPr>
          <w:b w:val="1"/>
          <w:bCs w:val="1"/>
        </w:rPr>
        <w:t xml:space="preserve"> INFUNDADA </w:t>
      </w:r>
      <w:r w:rsidR="0008736D">
        <w:rPr/>
        <w:t>la reclamación</w:t>
      </w:r>
      <w:r w:rsidRPr="43F1B4AF" w:rsidR="0008736D">
        <w:rPr>
          <w:b w:val="1"/>
          <w:bCs w:val="1"/>
        </w:rPr>
        <w:t xml:space="preserve"> </w:t>
      </w:r>
      <w:r w:rsidR="0008736D">
        <w:rPr/>
        <w:t>interpuesta por</w:t>
      </w:r>
      <w:r w:rsidRPr="43F1B4AF" w:rsidR="0008736D">
        <w:rPr>
          <w:b w:val="1"/>
          <w:bCs w:val="1"/>
        </w:rPr>
        <w:t xml:space="preserve"> </w:t>
      </w:r>
      <w:r w:rsidRPr="43F1B4AF" w:rsidR="0B1FF966">
        <w:rPr>
          <w:b w:val="1"/>
          <w:bCs w:val="1"/>
          <w:lang w:val="es-PE"/>
        </w:rPr>
        <w:t>..................................................................................</w:t>
      </w:r>
      <w:r w:rsidR="00EE31B8">
        <w:rPr/>
        <w:t xml:space="preserve"> </w:t>
      </w:r>
      <w:r w:rsidR="0008736D">
        <w:rPr/>
        <w:t xml:space="preserve">contra </w:t>
      </w:r>
      <w:r w:rsidRPr="43F1B4AF" w:rsidR="25D30F5E">
        <w:rPr>
          <w:b w:val="1"/>
          <w:bCs w:val="1"/>
        </w:rPr>
        <w:t>..................................</w:t>
      </w:r>
      <w:r w:rsidRPr="43F1B4AF" w:rsidR="0008736D">
        <w:rPr>
          <w:b w:val="1"/>
          <w:bCs w:val="1"/>
        </w:rPr>
        <w:t xml:space="preserve"> </w:t>
      </w:r>
      <w:r w:rsidR="0008736D">
        <w:rPr/>
        <w:t>correspondiente al</w:t>
      </w:r>
      <w:r w:rsidRPr="43F1B4AF" w:rsidR="0008736D">
        <w:rPr>
          <w:b w:val="1"/>
          <w:bCs w:val="1"/>
        </w:rPr>
        <w:t xml:space="preserve"> </w:t>
      </w:r>
      <w:r w:rsidRPr="43F1B4AF" w:rsidR="00D41D3C">
        <w:rPr>
          <w:b w:val="1"/>
          <w:bCs w:val="1"/>
        </w:rPr>
        <w:t xml:space="preserve">SEGURO PROTECCIÓN DE TARJETAS CON PÓLIZA </w:t>
      </w:r>
      <w:r w:rsidRPr="43F1B4AF" w:rsidR="00D41D3C">
        <w:rPr>
          <w:b w:val="1"/>
          <w:bCs w:val="1"/>
        </w:rPr>
        <w:t>N°</w:t>
      </w:r>
      <w:r w:rsidRPr="43F1B4AF" w:rsidR="00D41D3C">
        <w:rPr>
          <w:rFonts w:eastAsia="Calibri"/>
          <w:lang w:val="es-PE" w:eastAsia="en-US"/>
        </w:rPr>
        <w:t xml:space="preserve"> </w:t>
      </w:r>
      <w:r w:rsidRPr="43F1B4AF" w:rsidR="0224A146">
        <w:rPr>
          <w:b w:val="1"/>
          <w:bCs w:val="1"/>
          <w:lang w:val="es-PE"/>
        </w:rPr>
        <w:t>.......................</w:t>
      </w:r>
      <w:r w:rsidR="0008736D">
        <w:rPr/>
        <w:t>, quedando a salvo el derecho de</w:t>
      </w:r>
      <w:r w:rsidR="001F6DC7">
        <w:rPr/>
        <w:t>l</w:t>
      </w:r>
      <w:r w:rsidR="0008736D">
        <w:rPr/>
        <w:t xml:space="preserve"> reclamante para recurrir ante las instancias que consideren pertinentes.</w:t>
      </w:r>
      <w:r w:rsidR="0008736D">
        <w:rPr/>
        <w:t xml:space="preserve"> </w:t>
      </w:r>
    </w:p>
    <w:p w:rsidRPr="001F6DC7" w:rsidR="001F6DC7" w:rsidP="001F6DC7" w:rsidRDefault="001F6DC7" w14:paraId="794E984E" w14:textId="77777777">
      <w:pPr>
        <w:pStyle w:val="paragraph"/>
        <w:spacing w:before="0" w:beforeAutospacing="0" w:after="0" w:afterAutospacing="0"/>
        <w:jc w:val="both"/>
        <w:textAlignment w:val="baseline"/>
        <w:rPr>
          <w:b/>
        </w:rPr>
      </w:pPr>
    </w:p>
    <w:p w:rsidRPr="0008736D" w:rsidR="005E455C" w:rsidP="0008736D" w:rsidRDefault="00D00142" w14:paraId="058F132F" w14:textId="6A797E4E">
      <w:pPr>
        <w:jc w:val="right"/>
        <w:rPr>
          <w:rFonts w:ascii="Times New Roman" w:hAnsi="Times New Roman"/>
          <w:sz w:val="24"/>
          <w:szCs w:val="24"/>
        </w:rPr>
      </w:pPr>
      <w:r w:rsidRPr="0008736D">
        <w:rPr>
          <w:rFonts w:ascii="Times New Roman" w:hAnsi="Times New Roman"/>
          <w:sz w:val="24"/>
          <w:szCs w:val="24"/>
        </w:rPr>
        <w:t>Lima,</w:t>
      </w:r>
      <w:r w:rsidRPr="0008736D" w:rsidR="0034229F">
        <w:rPr>
          <w:rFonts w:ascii="Times New Roman" w:hAnsi="Times New Roman"/>
          <w:sz w:val="24"/>
          <w:szCs w:val="24"/>
        </w:rPr>
        <w:t xml:space="preserve"> </w:t>
      </w:r>
      <w:r w:rsidR="006D4E29">
        <w:rPr>
          <w:rFonts w:ascii="Times New Roman" w:hAnsi="Times New Roman"/>
          <w:sz w:val="24"/>
          <w:szCs w:val="24"/>
        </w:rPr>
        <w:t xml:space="preserve">16 </w:t>
      </w:r>
      <w:r w:rsidR="00EE31B8">
        <w:rPr>
          <w:rFonts w:ascii="Times New Roman" w:hAnsi="Times New Roman"/>
          <w:sz w:val="24"/>
          <w:szCs w:val="24"/>
        </w:rPr>
        <w:t>octubre</w:t>
      </w:r>
      <w:r w:rsidR="007155B8">
        <w:rPr>
          <w:rFonts w:ascii="Times New Roman" w:hAnsi="Times New Roman"/>
          <w:sz w:val="24"/>
          <w:szCs w:val="24"/>
        </w:rPr>
        <w:t xml:space="preserve"> </w:t>
      </w:r>
      <w:r w:rsidRPr="0008736D">
        <w:rPr>
          <w:rFonts w:ascii="Times New Roman" w:hAnsi="Times New Roman"/>
          <w:sz w:val="24"/>
          <w:szCs w:val="24"/>
        </w:rPr>
        <w:t>de 202</w:t>
      </w:r>
      <w:r w:rsidR="003F5925">
        <w:rPr>
          <w:rFonts w:ascii="Times New Roman" w:hAnsi="Times New Roman"/>
          <w:sz w:val="24"/>
          <w:szCs w:val="24"/>
        </w:rPr>
        <w:t>5</w:t>
      </w:r>
    </w:p>
    <w:p w:rsidRPr="0008736D" w:rsidR="00F26229" w:rsidP="00401FF7" w:rsidRDefault="00487E42" w14:paraId="451C9C40" w14:textId="68A996E5">
      <w:pPr>
        <w:jc w:val="both"/>
        <w:rPr>
          <w:rFonts w:ascii="Times New Roman" w:hAnsi="Times New Roman"/>
          <w:b/>
          <w:bCs/>
          <w:i/>
          <w:iCs/>
          <w:sz w:val="24"/>
          <w:szCs w:val="24"/>
        </w:rPr>
      </w:pPr>
      <w:r w:rsidRPr="0008736D">
        <w:rPr>
          <w:rFonts w:ascii="Times New Roman" w:hAnsi="Times New Roman"/>
          <w:b/>
          <w:bCs/>
          <w:i/>
          <w:iCs/>
          <w:sz w:val="24"/>
          <w:szCs w:val="24"/>
        </w:rPr>
        <w:t xml:space="preserve">La </w:t>
      </w:r>
      <w:proofErr w:type="gramStart"/>
      <w:r w:rsidRPr="0008736D">
        <w:rPr>
          <w:rFonts w:ascii="Times New Roman" w:hAnsi="Times New Roman"/>
          <w:b/>
          <w:bCs/>
          <w:i/>
          <w:iCs/>
          <w:sz w:val="24"/>
          <w:szCs w:val="24"/>
        </w:rPr>
        <w:t>Secretaria Técnica</w:t>
      </w:r>
      <w:proofErr w:type="gramEnd"/>
      <w:r w:rsidRPr="0008736D">
        <w:rPr>
          <w:rFonts w:ascii="Times New Roman" w:hAnsi="Times New Roman"/>
          <w:b/>
          <w:bCs/>
          <w:i/>
          <w:iCs/>
          <w:sz w:val="24"/>
          <w:szCs w:val="24"/>
        </w:rPr>
        <w:t>, como Órgano Resolutivo Unipersonal, emite la presente resolución.</w:t>
      </w:r>
    </w:p>
    <w:p w:rsidRPr="0008736D" w:rsidR="00401FF7" w:rsidP="00401FF7" w:rsidRDefault="00401FF7" w14:paraId="4D0EAF79" w14:textId="77777777">
      <w:pPr>
        <w:jc w:val="both"/>
        <w:rPr>
          <w:rFonts w:ascii="Times New Roman" w:hAnsi="Times New Roman"/>
          <w:b/>
          <w:bCs/>
          <w:i/>
          <w:iCs/>
          <w:sz w:val="24"/>
          <w:szCs w:val="24"/>
        </w:rPr>
      </w:pPr>
    </w:p>
    <w:p w:rsidRPr="0008736D" w:rsidR="00487E42" w:rsidP="002D07BA" w:rsidRDefault="00487E42" w14:paraId="2D80A377" w14:textId="0DAFEFD0">
      <w:pPr>
        <w:spacing w:line="360" w:lineRule="auto"/>
        <w:jc w:val="center"/>
        <w:rPr>
          <w:rFonts w:ascii="Times New Roman" w:hAnsi="Times New Roman"/>
          <w:b/>
          <w:bCs/>
          <w:sz w:val="24"/>
          <w:szCs w:val="24"/>
        </w:rPr>
      </w:pPr>
      <w:r w:rsidRPr="0008736D">
        <w:rPr>
          <w:rFonts w:ascii="Times New Roman" w:hAnsi="Times New Roman"/>
          <w:b/>
          <w:bCs/>
          <w:sz w:val="24"/>
          <w:szCs w:val="24"/>
        </w:rPr>
        <w:t xml:space="preserve">Alicia Martín López – </w:t>
      </w:r>
      <w:proofErr w:type="gramStart"/>
      <w:r w:rsidRPr="0008736D">
        <w:rPr>
          <w:rFonts w:ascii="Times New Roman" w:hAnsi="Times New Roman"/>
          <w:b/>
          <w:bCs/>
          <w:sz w:val="24"/>
          <w:szCs w:val="24"/>
        </w:rPr>
        <w:t>Secretar</w:t>
      </w:r>
      <w:r w:rsidRPr="0008736D" w:rsidR="003179C7">
        <w:rPr>
          <w:rFonts w:ascii="Times New Roman" w:hAnsi="Times New Roman"/>
          <w:b/>
          <w:bCs/>
          <w:sz w:val="24"/>
          <w:szCs w:val="24"/>
        </w:rPr>
        <w:t>i</w:t>
      </w:r>
      <w:r w:rsidRPr="0008736D">
        <w:rPr>
          <w:rFonts w:ascii="Times New Roman" w:hAnsi="Times New Roman"/>
          <w:b/>
          <w:bCs/>
          <w:sz w:val="24"/>
          <w:szCs w:val="24"/>
        </w:rPr>
        <w:t>a Técnica</w:t>
      </w:r>
      <w:proofErr w:type="gramEnd"/>
    </w:p>
    <w:p w:rsidRPr="0008736D" w:rsidR="000341A4" w:rsidP="00D00142" w:rsidRDefault="000341A4" w14:paraId="78842804" w14:textId="77777777">
      <w:pPr>
        <w:jc w:val="right"/>
        <w:rPr>
          <w:rFonts w:ascii="Times New Roman" w:hAnsi="Times New Roman"/>
          <w:sz w:val="24"/>
          <w:szCs w:val="24"/>
        </w:rPr>
      </w:pPr>
    </w:p>
    <w:p w:rsidRPr="0008736D" w:rsidR="0089374D" w:rsidRDefault="0089374D" w14:paraId="7A3A0BC6" w14:textId="77777777">
      <w:pPr>
        <w:rPr>
          <w:rFonts w:ascii="Times New Roman" w:hAnsi="Times New Roman"/>
          <w:sz w:val="24"/>
          <w:szCs w:val="24"/>
        </w:rPr>
      </w:pPr>
    </w:p>
    <w:sectPr w:rsidRPr="0008736D" w:rsidR="0089374D" w:rsidSect="00FC6F66">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7506" w:rsidP="00722F1A" w:rsidRDefault="00447506" w14:paraId="20E53013" w14:textId="77777777">
      <w:pPr>
        <w:spacing w:after="0" w:line="240" w:lineRule="auto"/>
      </w:pPr>
      <w:r>
        <w:separator/>
      </w:r>
    </w:p>
  </w:endnote>
  <w:endnote w:type="continuationSeparator" w:id="0">
    <w:p w:rsidR="00447506" w:rsidP="00722F1A" w:rsidRDefault="00447506" w14:paraId="19A9475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7506" w:rsidP="00722F1A" w:rsidRDefault="00447506" w14:paraId="498079B6" w14:textId="77777777">
      <w:pPr>
        <w:spacing w:after="0" w:line="240" w:lineRule="auto"/>
      </w:pPr>
      <w:r>
        <w:separator/>
      </w:r>
    </w:p>
  </w:footnote>
  <w:footnote w:type="continuationSeparator" w:id="0">
    <w:p w:rsidR="00447506" w:rsidP="00722F1A" w:rsidRDefault="00447506" w14:paraId="458CB5EA" w14:textId="77777777">
      <w:pPr>
        <w:spacing w:after="0" w:line="240" w:lineRule="auto"/>
      </w:pPr>
      <w:r>
        <w:continuationSeparator/>
      </w:r>
    </w:p>
  </w:footnote>
  <w:footnote w:id="1">
    <w:p w:rsidRPr="008C23E9" w:rsidR="00B90399" w:rsidP="00B90399" w:rsidRDefault="00B90399" w14:paraId="435F645F" w14:textId="77777777">
      <w:pPr>
        <w:pStyle w:val="Textonotapie"/>
        <w:rPr>
          <w:rFonts w:ascii="Times New Roman" w:hAnsi="Times New Roman"/>
          <w:sz w:val="18"/>
          <w:szCs w:val="18"/>
          <w:vertAlign w:val="superscript"/>
        </w:rPr>
      </w:pPr>
      <w:r>
        <w:rPr>
          <w:rStyle w:val="Refdenotaalpie"/>
        </w:rPr>
        <w:footnoteRef/>
      </w:r>
      <w:r>
        <w:t xml:space="preserve"> </w:t>
      </w:r>
      <w:r w:rsidRPr="008C23E9">
        <w:rPr>
          <w:rFonts w:ascii="Times New Roman" w:hAnsi="Times New Roman"/>
          <w:sz w:val="18"/>
          <w:szCs w:val="18"/>
          <w:vertAlign w:val="superscript"/>
        </w:rPr>
        <w:t xml:space="preserve">Interbank, </w:t>
      </w:r>
      <w:r w:rsidRPr="008C23E9">
        <w:rPr>
          <w:rFonts w:ascii="Times New Roman" w:hAnsi="Times New Roman"/>
          <w:i/>
          <w:iCs/>
          <w:sz w:val="18"/>
          <w:szCs w:val="18"/>
          <w:vertAlign w:val="superscript"/>
        </w:rPr>
        <w:t>“Tarjeta de Crédito: ¿Cuándo usar la Disposición de Efectivo?</w:t>
      </w:r>
      <w:r w:rsidRPr="008C23E9">
        <w:rPr>
          <w:rFonts w:ascii="Times New Roman" w:hAnsi="Times New Roman"/>
          <w:sz w:val="18"/>
          <w:szCs w:val="18"/>
          <w:vertAlign w:val="superscript"/>
        </w:rPr>
        <w:t xml:space="preserve"> </w:t>
      </w:r>
      <w:hyperlink w:history="1" r:id="rId1">
        <w:r w:rsidRPr="008C23E9">
          <w:rPr>
            <w:rStyle w:val="Hipervnculo"/>
            <w:rFonts w:ascii="Times New Roman" w:hAnsi="Times New Roman"/>
            <w:sz w:val="18"/>
            <w:szCs w:val="18"/>
            <w:vertAlign w:val="superscript"/>
          </w:rPr>
          <w:t>https://interbank.pe/blog/interbank-para-mi/cuando-usar-la-disposicion-de-efectivo</w:t>
        </w:r>
      </w:hyperlink>
    </w:p>
    <w:p w:rsidRPr="008C23E9" w:rsidR="00B90399" w:rsidP="00B90399" w:rsidRDefault="00B90399" w14:paraId="3D9A74B1" w14:textId="77777777">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1D91782"/>
    <w:multiLevelType w:val="multilevel"/>
    <w:tmpl w:val="390CE9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BAF609D"/>
    <w:multiLevelType w:val="hybridMultilevel"/>
    <w:tmpl w:val="6902D612"/>
    <w:lvl w:ilvl="0" w:tplc="879AA884">
      <w:start w:val="1"/>
      <w:numFmt w:val="bullet"/>
      <w:lvlText w:val="-"/>
      <w:lvlJc w:val="left"/>
      <w:pPr>
        <w:ind w:left="1080" w:hanging="360"/>
      </w:pPr>
      <w:rPr>
        <w:rFonts w:hint="default" w:ascii="Times New Roman" w:hAnsi="Times New Roman" w:eastAsia="Calibri" w:cs="Times New Roman"/>
      </w:rPr>
    </w:lvl>
    <w:lvl w:ilvl="1" w:tplc="280A0003" w:tentative="1">
      <w:start w:val="1"/>
      <w:numFmt w:val="bullet"/>
      <w:lvlText w:val="o"/>
      <w:lvlJc w:val="left"/>
      <w:pPr>
        <w:ind w:left="1800" w:hanging="360"/>
      </w:pPr>
      <w:rPr>
        <w:rFonts w:hint="default" w:ascii="Courier New" w:hAnsi="Courier New" w:cs="Courier New"/>
      </w:rPr>
    </w:lvl>
    <w:lvl w:ilvl="2" w:tplc="280A0005" w:tentative="1">
      <w:start w:val="1"/>
      <w:numFmt w:val="bullet"/>
      <w:lvlText w:val=""/>
      <w:lvlJc w:val="left"/>
      <w:pPr>
        <w:ind w:left="2520" w:hanging="360"/>
      </w:pPr>
      <w:rPr>
        <w:rFonts w:hint="default" w:ascii="Wingdings" w:hAnsi="Wingdings"/>
      </w:rPr>
    </w:lvl>
    <w:lvl w:ilvl="3" w:tplc="280A0001" w:tentative="1">
      <w:start w:val="1"/>
      <w:numFmt w:val="bullet"/>
      <w:lvlText w:val=""/>
      <w:lvlJc w:val="left"/>
      <w:pPr>
        <w:ind w:left="3240" w:hanging="360"/>
      </w:pPr>
      <w:rPr>
        <w:rFonts w:hint="default" w:ascii="Symbol" w:hAnsi="Symbol"/>
      </w:rPr>
    </w:lvl>
    <w:lvl w:ilvl="4" w:tplc="280A0003" w:tentative="1">
      <w:start w:val="1"/>
      <w:numFmt w:val="bullet"/>
      <w:lvlText w:val="o"/>
      <w:lvlJc w:val="left"/>
      <w:pPr>
        <w:ind w:left="3960" w:hanging="360"/>
      </w:pPr>
      <w:rPr>
        <w:rFonts w:hint="default" w:ascii="Courier New" w:hAnsi="Courier New" w:cs="Courier New"/>
      </w:rPr>
    </w:lvl>
    <w:lvl w:ilvl="5" w:tplc="280A0005" w:tentative="1">
      <w:start w:val="1"/>
      <w:numFmt w:val="bullet"/>
      <w:lvlText w:val=""/>
      <w:lvlJc w:val="left"/>
      <w:pPr>
        <w:ind w:left="4680" w:hanging="360"/>
      </w:pPr>
      <w:rPr>
        <w:rFonts w:hint="default" w:ascii="Wingdings" w:hAnsi="Wingdings"/>
      </w:rPr>
    </w:lvl>
    <w:lvl w:ilvl="6" w:tplc="280A0001" w:tentative="1">
      <w:start w:val="1"/>
      <w:numFmt w:val="bullet"/>
      <w:lvlText w:val=""/>
      <w:lvlJc w:val="left"/>
      <w:pPr>
        <w:ind w:left="5400" w:hanging="360"/>
      </w:pPr>
      <w:rPr>
        <w:rFonts w:hint="default" w:ascii="Symbol" w:hAnsi="Symbol"/>
      </w:rPr>
    </w:lvl>
    <w:lvl w:ilvl="7" w:tplc="280A0003" w:tentative="1">
      <w:start w:val="1"/>
      <w:numFmt w:val="bullet"/>
      <w:lvlText w:val="o"/>
      <w:lvlJc w:val="left"/>
      <w:pPr>
        <w:ind w:left="6120" w:hanging="360"/>
      </w:pPr>
      <w:rPr>
        <w:rFonts w:hint="default" w:ascii="Courier New" w:hAnsi="Courier New" w:cs="Courier New"/>
      </w:rPr>
    </w:lvl>
    <w:lvl w:ilvl="8" w:tplc="280A0005" w:tentative="1">
      <w:start w:val="1"/>
      <w:numFmt w:val="bullet"/>
      <w:lvlText w:val=""/>
      <w:lvlJc w:val="left"/>
      <w:pPr>
        <w:ind w:left="6840" w:hanging="360"/>
      </w:pPr>
      <w:rPr>
        <w:rFonts w:hint="default" w:ascii="Wingdings" w:hAnsi="Wingdings"/>
      </w:rPr>
    </w:lvl>
  </w:abstractNum>
  <w:abstractNum w:abstractNumId="4" w15:restartNumberingAfterBreak="0">
    <w:nsid w:val="19127901"/>
    <w:multiLevelType w:val="multilevel"/>
    <w:tmpl w:val="FA8A2C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4C55082"/>
    <w:multiLevelType w:val="hybridMultilevel"/>
    <w:tmpl w:val="8544F140"/>
    <w:lvl w:ilvl="0" w:tplc="FFFFFFFF">
      <w:start w:val="1"/>
      <w:numFmt w:val="low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64A62E6"/>
    <w:multiLevelType w:val="multilevel"/>
    <w:tmpl w:val="C0CCD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3124AC"/>
    <w:multiLevelType w:val="hybridMultilevel"/>
    <w:tmpl w:val="9ED61704"/>
    <w:lvl w:ilvl="0" w:tplc="EEA00B0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4EEB6018"/>
    <w:multiLevelType w:val="hybridMultilevel"/>
    <w:tmpl w:val="992E1C04"/>
    <w:lvl w:ilvl="0" w:tplc="6304103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6EC600C"/>
    <w:multiLevelType w:val="multilevel"/>
    <w:tmpl w:val="DD767D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9696B39"/>
    <w:multiLevelType w:val="multilevel"/>
    <w:tmpl w:val="83B8BA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13C131D"/>
    <w:multiLevelType w:val="hybridMultilevel"/>
    <w:tmpl w:val="F0883C6E"/>
    <w:lvl w:ilvl="0" w:tplc="BD88816E">
      <w:start w:val="1"/>
      <w:numFmt w:val="lowerRoman"/>
      <w:lvlText w:val="(%1)"/>
      <w:lvlJc w:val="left"/>
      <w:pPr>
        <w:ind w:left="1080" w:hanging="720"/>
      </w:pPr>
      <w:rPr>
        <w:rFonts w:hint="default" w:ascii="Calibri" w:hAnsi="Calibri"/>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A923322"/>
    <w:multiLevelType w:val="hybridMultilevel"/>
    <w:tmpl w:val="8544F140"/>
    <w:lvl w:ilvl="0" w:tplc="FFFFFFFF">
      <w:start w:val="1"/>
      <w:numFmt w:val="low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1CA31BC"/>
    <w:multiLevelType w:val="hybridMultilevel"/>
    <w:tmpl w:val="8544F140"/>
    <w:lvl w:ilvl="0" w:tplc="81703F6C">
      <w:start w:val="1"/>
      <w:numFmt w:val="lowerRoman"/>
      <w:lvlText w:val="(%1)"/>
      <w:lvlJc w:val="left"/>
      <w:pPr>
        <w:ind w:left="1080" w:hanging="72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44290685">
    <w:abstractNumId w:val="5"/>
  </w:num>
  <w:num w:numId="6" w16cid:durableId="307319331">
    <w:abstractNumId w:val="15"/>
  </w:num>
  <w:num w:numId="7" w16cid:durableId="1876238494">
    <w:abstractNumId w:val="14"/>
  </w:num>
  <w:num w:numId="8" w16cid:durableId="1272668893">
    <w:abstractNumId w:val="6"/>
  </w:num>
  <w:num w:numId="9" w16cid:durableId="34087745">
    <w:abstractNumId w:val="9"/>
  </w:num>
  <w:num w:numId="10" w16cid:durableId="1681270943">
    <w:abstractNumId w:val="7"/>
  </w:num>
  <w:num w:numId="11" w16cid:durableId="1956327209">
    <w:abstractNumId w:val="11"/>
  </w:num>
  <w:num w:numId="12" w16cid:durableId="223028502">
    <w:abstractNumId w:val="8"/>
  </w:num>
  <w:num w:numId="13" w16cid:durableId="628826318">
    <w:abstractNumId w:val="1"/>
  </w:num>
  <w:num w:numId="14" w16cid:durableId="1286499740">
    <w:abstractNumId w:val="3"/>
  </w:num>
  <w:num w:numId="15" w16cid:durableId="206524943">
    <w:abstractNumId w:val="12"/>
  </w:num>
  <w:num w:numId="16" w16cid:durableId="694884187">
    <w:abstractNumId w:val="4"/>
  </w:num>
  <w:num w:numId="17" w16cid:durableId="1794782880">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B78"/>
    <w:rsid w:val="00003275"/>
    <w:rsid w:val="00006771"/>
    <w:rsid w:val="000254E8"/>
    <w:rsid w:val="000329BA"/>
    <w:rsid w:val="000341A4"/>
    <w:rsid w:val="000347DE"/>
    <w:rsid w:val="00035B1A"/>
    <w:rsid w:val="000375E4"/>
    <w:rsid w:val="0004227E"/>
    <w:rsid w:val="00050428"/>
    <w:rsid w:val="00057703"/>
    <w:rsid w:val="00062FBE"/>
    <w:rsid w:val="0006438B"/>
    <w:rsid w:val="0006728F"/>
    <w:rsid w:val="0007296C"/>
    <w:rsid w:val="0008541C"/>
    <w:rsid w:val="0008641C"/>
    <w:rsid w:val="0008736D"/>
    <w:rsid w:val="00096768"/>
    <w:rsid w:val="000A1C59"/>
    <w:rsid w:val="000A467F"/>
    <w:rsid w:val="000A72D1"/>
    <w:rsid w:val="000B15E9"/>
    <w:rsid w:val="000B289F"/>
    <w:rsid w:val="000B361D"/>
    <w:rsid w:val="000B54B1"/>
    <w:rsid w:val="000D232D"/>
    <w:rsid w:val="000D2669"/>
    <w:rsid w:val="000D3F4A"/>
    <w:rsid w:val="000E5D04"/>
    <w:rsid w:val="000F220F"/>
    <w:rsid w:val="000F52F7"/>
    <w:rsid w:val="00103C4B"/>
    <w:rsid w:val="00132D1B"/>
    <w:rsid w:val="00133655"/>
    <w:rsid w:val="00136C86"/>
    <w:rsid w:val="00137609"/>
    <w:rsid w:val="00141DA4"/>
    <w:rsid w:val="00143D97"/>
    <w:rsid w:val="00153F6E"/>
    <w:rsid w:val="00155D22"/>
    <w:rsid w:val="00157128"/>
    <w:rsid w:val="00161BFC"/>
    <w:rsid w:val="001726E6"/>
    <w:rsid w:val="00173308"/>
    <w:rsid w:val="00180E23"/>
    <w:rsid w:val="00181367"/>
    <w:rsid w:val="00194FAA"/>
    <w:rsid w:val="0019552A"/>
    <w:rsid w:val="00197D7F"/>
    <w:rsid w:val="001A071C"/>
    <w:rsid w:val="001A50B8"/>
    <w:rsid w:val="001A5AF1"/>
    <w:rsid w:val="001B7C71"/>
    <w:rsid w:val="001D1529"/>
    <w:rsid w:val="001D71B9"/>
    <w:rsid w:val="001E272B"/>
    <w:rsid w:val="001F1484"/>
    <w:rsid w:val="001F6DC7"/>
    <w:rsid w:val="00205BBE"/>
    <w:rsid w:val="00210268"/>
    <w:rsid w:val="00214E64"/>
    <w:rsid w:val="002165FF"/>
    <w:rsid w:val="00216804"/>
    <w:rsid w:val="00223964"/>
    <w:rsid w:val="0023288E"/>
    <w:rsid w:val="00237C59"/>
    <w:rsid w:val="002461D7"/>
    <w:rsid w:val="00254D87"/>
    <w:rsid w:val="00255B33"/>
    <w:rsid w:val="002562BF"/>
    <w:rsid w:val="00256685"/>
    <w:rsid w:val="002774DB"/>
    <w:rsid w:val="00277609"/>
    <w:rsid w:val="0028671E"/>
    <w:rsid w:val="00295938"/>
    <w:rsid w:val="002A5F21"/>
    <w:rsid w:val="002B0AE0"/>
    <w:rsid w:val="002B7B44"/>
    <w:rsid w:val="002D07BA"/>
    <w:rsid w:val="002D0BB8"/>
    <w:rsid w:val="002D1D42"/>
    <w:rsid w:val="002D6BEE"/>
    <w:rsid w:val="002E0897"/>
    <w:rsid w:val="002E4B8A"/>
    <w:rsid w:val="002F2037"/>
    <w:rsid w:val="002F5D25"/>
    <w:rsid w:val="00301D28"/>
    <w:rsid w:val="0030550B"/>
    <w:rsid w:val="003066B2"/>
    <w:rsid w:val="003121B9"/>
    <w:rsid w:val="00315252"/>
    <w:rsid w:val="00315832"/>
    <w:rsid w:val="003179C7"/>
    <w:rsid w:val="00320005"/>
    <w:rsid w:val="003213C2"/>
    <w:rsid w:val="003306DB"/>
    <w:rsid w:val="00335ED4"/>
    <w:rsid w:val="003405BB"/>
    <w:rsid w:val="00341107"/>
    <w:rsid w:val="0034229F"/>
    <w:rsid w:val="00344EAD"/>
    <w:rsid w:val="00345956"/>
    <w:rsid w:val="00347243"/>
    <w:rsid w:val="00350613"/>
    <w:rsid w:val="00357D55"/>
    <w:rsid w:val="003636C0"/>
    <w:rsid w:val="00372752"/>
    <w:rsid w:val="00382F28"/>
    <w:rsid w:val="003903B3"/>
    <w:rsid w:val="003957A8"/>
    <w:rsid w:val="00397B7E"/>
    <w:rsid w:val="003A28C2"/>
    <w:rsid w:val="003A35D0"/>
    <w:rsid w:val="003A6C7F"/>
    <w:rsid w:val="003A7B77"/>
    <w:rsid w:val="003B3018"/>
    <w:rsid w:val="003B34DB"/>
    <w:rsid w:val="003C08D0"/>
    <w:rsid w:val="003C7AFD"/>
    <w:rsid w:val="003D2F7E"/>
    <w:rsid w:val="003D4623"/>
    <w:rsid w:val="003D55C2"/>
    <w:rsid w:val="003E1F44"/>
    <w:rsid w:val="003E3E64"/>
    <w:rsid w:val="003E6410"/>
    <w:rsid w:val="003F21BF"/>
    <w:rsid w:val="003F5925"/>
    <w:rsid w:val="003F6E50"/>
    <w:rsid w:val="00401FF7"/>
    <w:rsid w:val="00403DE7"/>
    <w:rsid w:val="00404C85"/>
    <w:rsid w:val="00405BE4"/>
    <w:rsid w:val="00407A18"/>
    <w:rsid w:val="00417DBF"/>
    <w:rsid w:val="004205D2"/>
    <w:rsid w:val="004219E1"/>
    <w:rsid w:val="00424400"/>
    <w:rsid w:val="00426947"/>
    <w:rsid w:val="00430735"/>
    <w:rsid w:val="00447506"/>
    <w:rsid w:val="00460214"/>
    <w:rsid w:val="004604BE"/>
    <w:rsid w:val="00462D68"/>
    <w:rsid w:val="004674CD"/>
    <w:rsid w:val="00471EAF"/>
    <w:rsid w:val="00472076"/>
    <w:rsid w:val="00482144"/>
    <w:rsid w:val="00484600"/>
    <w:rsid w:val="00485066"/>
    <w:rsid w:val="00487E42"/>
    <w:rsid w:val="0049253C"/>
    <w:rsid w:val="004A5496"/>
    <w:rsid w:val="004A54D1"/>
    <w:rsid w:val="004B3A00"/>
    <w:rsid w:val="004B7F72"/>
    <w:rsid w:val="004C7E51"/>
    <w:rsid w:val="004D2B42"/>
    <w:rsid w:val="004E79A5"/>
    <w:rsid w:val="004F3EBD"/>
    <w:rsid w:val="004F7695"/>
    <w:rsid w:val="00501151"/>
    <w:rsid w:val="00505B43"/>
    <w:rsid w:val="0051483B"/>
    <w:rsid w:val="00522D7C"/>
    <w:rsid w:val="00532EE7"/>
    <w:rsid w:val="00533724"/>
    <w:rsid w:val="00536938"/>
    <w:rsid w:val="00541E50"/>
    <w:rsid w:val="00543C63"/>
    <w:rsid w:val="00544033"/>
    <w:rsid w:val="005472C1"/>
    <w:rsid w:val="00547957"/>
    <w:rsid w:val="0055560E"/>
    <w:rsid w:val="0055608D"/>
    <w:rsid w:val="005575B3"/>
    <w:rsid w:val="00562020"/>
    <w:rsid w:val="005638EB"/>
    <w:rsid w:val="00566582"/>
    <w:rsid w:val="00570097"/>
    <w:rsid w:val="005744BB"/>
    <w:rsid w:val="005745B9"/>
    <w:rsid w:val="00574BDD"/>
    <w:rsid w:val="005755A8"/>
    <w:rsid w:val="00580134"/>
    <w:rsid w:val="00580606"/>
    <w:rsid w:val="0059403A"/>
    <w:rsid w:val="005A1E47"/>
    <w:rsid w:val="005A6F5E"/>
    <w:rsid w:val="005B25FA"/>
    <w:rsid w:val="005D0C4B"/>
    <w:rsid w:val="005D2B32"/>
    <w:rsid w:val="005D470E"/>
    <w:rsid w:val="005E1256"/>
    <w:rsid w:val="005E2836"/>
    <w:rsid w:val="005E455C"/>
    <w:rsid w:val="005E52B6"/>
    <w:rsid w:val="005E6AC3"/>
    <w:rsid w:val="005F6553"/>
    <w:rsid w:val="005F659E"/>
    <w:rsid w:val="00606DCC"/>
    <w:rsid w:val="00610FD0"/>
    <w:rsid w:val="0061184F"/>
    <w:rsid w:val="00612D9B"/>
    <w:rsid w:val="00615891"/>
    <w:rsid w:val="00625E5D"/>
    <w:rsid w:val="00626480"/>
    <w:rsid w:val="00627CB9"/>
    <w:rsid w:val="00633243"/>
    <w:rsid w:val="00645FC9"/>
    <w:rsid w:val="00646F4A"/>
    <w:rsid w:val="00666140"/>
    <w:rsid w:val="006677FB"/>
    <w:rsid w:val="00670C8D"/>
    <w:rsid w:val="00670F81"/>
    <w:rsid w:val="0068470F"/>
    <w:rsid w:val="00684B74"/>
    <w:rsid w:val="00697E41"/>
    <w:rsid w:val="006A4E2A"/>
    <w:rsid w:val="006A7C2B"/>
    <w:rsid w:val="006C16EA"/>
    <w:rsid w:val="006C5120"/>
    <w:rsid w:val="006C6213"/>
    <w:rsid w:val="006D2330"/>
    <w:rsid w:val="006D4E29"/>
    <w:rsid w:val="006D699E"/>
    <w:rsid w:val="006E15B1"/>
    <w:rsid w:val="006E28A8"/>
    <w:rsid w:val="006E69A4"/>
    <w:rsid w:val="006F2561"/>
    <w:rsid w:val="006F5155"/>
    <w:rsid w:val="006F5F96"/>
    <w:rsid w:val="00713D3C"/>
    <w:rsid w:val="007155B8"/>
    <w:rsid w:val="0071666A"/>
    <w:rsid w:val="007166D9"/>
    <w:rsid w:val="00722F1A"/>
    <w:rsid w:val="00727928"/>
    <w:rsid w:val="00731553"/>
    <w:rsid w:val="00741BD2"/>
    <w:rsid w:val="00741FAE"/>
    <w:rsid w:val="00742893"/>
    <w:rsid w:val="00744EB5"/>
    <w:rsid w:val="00760BE1"/>
    <w:rsid w:val="007632AE"/>
    <w:rsid w:val="00766307"/>
    <w:rsid w:val="00767D9C"/>
    <w:rsid w:val="00770984"/>
    <w:rsid w:val="0077318C"/>
    <w:rsid w:val="00773552"/>
    <w:rsid w:val="00786219"/>
    <w:rsid w:val="00792915"/>
    <w:rsid w:val="007A0D32"/>
    <w:rsid w:val="007B026A"/>
    <w:rsid w:val="007B4101"/>
    <w:rsid w:val="007B48E1"/>
    <w:rsid w:val="007C072E"/>
    <w:rsid w:val="007C1D34"/>
    <w:rsid w:val="007C4F30"/>
    <w:rsid w:val="007C585E"/>
    <w:rsid w:val="007C5A1D"/>
    <w:rsid w:val="007D442E"/>
    <w:rsid w:val="007E0AAA"/>
    <w:rsid w:val="007E38B7"/>
    <w:rsid w:val="007E5CB1"/>
    <w:rsid w:val="007F2EC7"/>
    <w:rsid w:val="008019F4"/>
    <w:rsid w:val="00801C5F"/>
    <w:rsid w:val="00802F9B"/>
    <w:rsid w:val="00803D3C"/>
    <w:rsid w:val="00814C55"/>
    <w:rsid w:val="008277E6"/>
    <w:rsid w:val="00831CCC"/>
    <w:rsid w:val="008371AD"/>
    <w:rsid w:val="00837965"/>
    <w:rsid w:val="00842964"/>
    <w:rsid w:val="00865F3C"/>
    <w:rsid w:val="00885210"/>
    <w:rsid w:val="0089374D"/>
    <w:rsid w:val="0089485F"/>
    <w:rsid w:val="008A0582"/>
    <w:rsid w:val="008A6640"/>
    <w:rsid w:val="008B3977"/>
    <w:rsid w:val="008B410F"/>
    <w:rsid w:val="008B4DFB"/>
    <w:rsid w:val="008B79F4"/>
    <w:rsid w:val="008C18AA"/>
    <w:rsid w:val="008C23E9"/>
    <w:rsid w:val="008C2C4F"/>
    <w:rsid w:val="008C3FBE"/>
    <w:rsid w:val="008C6600"/>
    <w:rsid w:val="008D4482"/>
    <w:rsid w:val="008D7125"/>
    <w:rsid w:val="008D77C2"/>
    <w:rsid w:val="008E1993"/>
    <w:rsid w:val="008E2889"/>
    <w:rsid w:val="008E47E7"/>
    <w:rsid w:val="008E56F7"/>
    <w:rsid w:val="008F29CC"/>
    <w:rsid w:val="008F3EB4"/>
    <w:rsid w:val="009018BC"/>
    <w:rsid w:val="00905717"/>
    <w:rsid w:val="00905E2D"/>
    <w:rsid w:val="009072B4"/>
    <w:rsid w:val="009152F1"/>
    <w:rsid w:val="009217F9"/>
    <w:rsid w:val="009220AD"/>
    <w:rsid w:val="00924F14"/>
    <w:rsid w:val="00926F21"/>
    <w:rsid w:val="00930837"/>
    <w:rsid w:val="00936D4C"/>
    <w:rsid w:val="00941887"/>
    <w:rsid w:val="00942357"/>
    <w:rsid w:val="00952476"/>
    <w:rsid w:val="00954297"/>
    <w:rsid w:val="00955D17"/>
    <w:rsid w:val="00960350"/>
    <w:rsid w:val="00961558"/>
    <w:rsid w:val="009651D2"/>
    <w:rsid w:val="00971A3E"/>
    <w:rsid w:val="0097420D"/>
    <w:rsid w:val="00981677"/>
    <w:rsid w:val="009834E5"/>
    <w:rsid w:val="00983924"/>
    <w:rsid w:val="00983C04"/>
    <w:rsid w:val="009A2F0C"/>
    <w:rsid w:val="009A375C"/>
    <w:rsid w:val="009A5B86"/>
    <w:rsid w:val="009C4EAC"/>
    <w:rsid w:val="009D35BE"/>
    <w:rsid w:val="009E202C"/>
    <w:rsid w:val="009E3317"/>
    <w:rsid w:val="009E5BBC"/>
    <w:rsid w:val="009F232F"/>
    <w:rsid w:val="009F7593"/>
    <w:rsid w:val="00A053EF"/>
    <w:rsid w:val="00A11727"/>
    <w:rsid w:val="00A12FC4"/>
    <w:rsid w:val="00A1356B"/>
    <w:rsid w:val="00A13DEE"/>
    <w:rsid w:val="00A16B77"/>
    <w:rsid w:val="00A17B8F"/>
    <w:rsid w:val="00A17C37"/>
    <w:rsid w:val="00A2495F"/>
    <w:rsid w:val="00A265AA"/>
    <w:rsid w:val="00A2776A"/>
    <w:rsid w:val="00A30166"/>
    <w:rsid w:val="00A31D76"/>
    <w:rsid w:val="00A327F0"/>
    <w:rsid w:val="00A32C5D"/>
    <w:rsid w:val="00A33505"/>
    <w:rsid w:val="00A405FD"/>
    <w:rsid w:val="00A449C0"/>
    <w:rsid w:val="00A458A3"/>
    <w:rsid w:val="00A53DA1"/>
    <w:rsid w:val="00A54C27"/>
    <w:rsid w:val="00A60D4F"/>
    <w:rsid w:val="00A719CD"/>
    <w:rsid w:val="00A72D50"/>
    <w:rsid w:val="00A75F20"/>
    <w:rsid w:val="00A77030"/>
    <w:rsid w:val="00A7791B"/>
    <w:rsid w:val="00A802EA"/>
    <w:rsid w:val="00A81C37"/>
    <w:rsid w:val="00A84A41"/>
    <w:rsid w:val="00A924AF"/>
    <w:rsid w:val="00A93852"/>
    <w:rsid w:val="00A95372"/>
    <w:rsid w:val="00A96403"/>
    <w:rsid w:val="00A967F7"/>
    <w:rsid w:val="00A97DAC"/>
    <w:rsid w:val="00AA3FE9"/>
    <w:rsid w:val="00AA5FBC"/>
    <w:rsid w:val="00AB014B"/>
    <w:rsid w:val="00AB05D6"/>
    <w:rsid w:val="00AB7325"/>
    <w:rsid w:val="00AB7740"/>
    <w:rsid w:val="00AD56AF"/>
    <w:rsid w:val="00AD6277"/>
    <w:rsid w:val="00AD7E43"/>
    <w:rsid w:val="00AE0F6B"/>
    <w:rsid w:val="00AE3A27"/>
    <w:rsid w:val="00AE6278"/>
    <w:rsid w:val="00AF1319"/>
    <w:rsid w:val="00AF57F2"/>
    <w:rsid w:val="00B01F60"/>
    <w:rsid w:val="00B0385E"/>
    <w:rsid w:val="00B04478"/>
    <w:rsid w:val="00B21849"/>
    <w:rsid w:val="00B25799"/>
    <w:rsid w:val="00B31C33"/>
    <w:rsid w:val="00B32393"/>
    <w:rsid w:val="00B33B03"/>
    <w:rsid w:val="00B34FE0"/>
    <w:rsid w:val="00B42CC1"/>
    <w:rsid w:val="00B47F61"/>
    <w:rsid w:val="00B53220"/>
    <w:rsid w:val="00B53345"/>
    <w:rsid w:val="00B5444C"/>
    <w:rsid w:val="00B570FD"/>
    <w:rsid w:val="00B644A0"/>
    <w:rsid w:val="00B65971"/>
    <w:rsid w:val="00B673E1"/>
    <w:rsid w:val="00B67EC4"/>
    <w:rsid w:val="00B71F40"/>
    <w:rsid w:val="00B75D55"/>
    <w:rsid w:val="00B80143"/>
    <w:rsid w:val="00B8139E"/>
    <w:rsid w:val="00B90399"/>
    <w:rsid w:val="00B90486"/>
    <w:rsid w:val="00B90FF1"/>
    <w:rsid w:val="00B9104E"/>
    <w:rsid w:val="00B9181B"/>
    <w:rsid w:val="00B94090"/>
    <w:rsid w:val="00BA0D25"/>
    <w:rsid w:val="00BA7696"/>
    <w:rsid w:val="00BC1B74"/>
    <w:rsid w:val="00BC27A0"/>
    <w:rsid w:val="00BC2DB8"/>
    <w:rsid w:val="00BD5530"/>
    <w:rsid w:val="00BE4BFA"/>
    <w:rsid w:val="00BE50F3"/>
    <w:rsid w:val="00BF0871"/>
    <w:rsid w:val="00BF1B75"/>
    <w:rsid w:val="00BF59A6"/>
    <w:rsid w:val="00BF7F0A"/>
    <w:rsid w:val="00C02BBD"/>
    <w:rsid w:val="00C05F4A"/>
    <w:rsid w:val="00C06A87"/>
    <w:rsid w:val="00C104D8"/>
    <w:rsid w:val="00C1797E"/>
    <w:rsid w:val="00C2198B"/>
    <w:rsid w:val="00C23787"/>
    <w:rsid w:val="00C302CC"/>
    <w:rsid w:val="00C31BBD"/>
    <w:rsid w:val="00C3388B"/>
    <w:rsid w:val="00C36917"/>
    <w:rsid w:val="00C45618"/>
    <w:rsid w:val="00C51F8C"/>
    <w:rsid w:val="00C56F86"/>
    <w:rsid w:val="00C576DA"/>
    <w:rsid w:val="00C600EA"/>
    <w:rsid w:val="00C63F97"/>
    <w:rsid w:val="00C66D8C"/>
    <w:rsid w:val="00C713B6"/>
    <w:rsid w:val="00C71AF0"/>
    <w:rsid w:val="00C74681"/>
    <w:rsid w:val="00C80567"/>
    <w:rsid w:val="00C808D4"/>
    <w:rsid w:val="00C80BD6"/>
    <w:rsid w:val="00C84FC8"/>
    <w:rsid w:val="00C92FC8"/>
    <w:rsid w:val="00CB7805"/>
    <w:rsid w:val="00CC6025"/>
    <w:rsid w:val="00CD5F9B"/>
    <w:rsid w:val="00CD6A37"/>
    <w:rsid w:val="00CE098B"/>
    <w:rsid w:val="00CE5D8F"/>
    <w:rsid w:val="00CF1022"/>
    <w:rsid w:val="00CF29CC"/>
    <w:rsid w:val="00D00142"/>
    <w:rsid w:val="00D00788"/>
    <w:rsid w:val="00D02995"/>
    <w:rsid w:val="00D052E2"/>
    <w:rsid w:val="00D1360F"/>
    <w:rsid w:val="00D14591"/>
    <w:rsid w:val="00D159E5"/>
    <w:rsid w:val="00D212C2"/>
    <w:rsid w:val="00D212E2"/>
    <w:rsid w:val="00D238BE"/>
    <w:rsid w:val="00D35F41"/>
    <w:rsid w:val="00D362DC"/>
    <w:rsid w:val="00D4002D"/>
    <w:rsid w:val="00D41D3C"/>
    <w:rsid w:val="00D42A71"/>
    <w:rsid w:val="00D450AD"/>
    <w:rsid w:val="00D52671"/>
    <w:rsid w:val="00D63CFD"/>
    <w:rsid w:val="00D645CF"/>
    <w:rsid w:val="00D66090"/>
    <w:rsid w:val="00D77FFB"/>
    <w:rsid w:val="00D8033C"/>
    <w:rsid w:val="00D80CF0"/>
    <w:rsid w:val="00D81343"/>
    <w:rsid w:val="00D8388C"/>
    <w:rsid w:val="00D83ECC"/>
    <w:rsid w:val="00D86F02"/>
    <w:rsid w:val="00D90081"/>
    <w:rsid w:val="00DA1D06"/>
    <w:rsid w:val="00DA2B69"/>
    <w:rsid w:val="00DB40A1"/>
    <w:rsid w:val="00DB78C8"/>
    <w:rsid w:val="00DB7FA8"/>
    <w:rsid w:val="00DC37E5"/>
    <w:rsid w:val="00DC7CC5"/>
    <w:rsid w:val="00DD5666"/>
    <w:rsid w:val="00DE04BE"/>
    <w:rsid w:val="00DE1950"/>
    <w:rsid w:val="00DE6359"/>
    <w:rsid w:val="00DF3088"/>
    <w:rsid w:val="00DF4801"/>
    <w:rsid w:val="00DF4A6E"/>
    <w:rsid w:val="00DF62A0"/>
    <w:rsid w:val="00DF644C"/>
    <w:rsid w:val="00E029AD"/>
    <w:rsid w:val="00E05608"/>
    <w:rsid w:val="00E16F33"/>
    <w:rsid w:val="00E17B81"/>
    <w:rsid w:val="00E2114C"/>
    <w:rsid w:val="00E21B1C"/>
    <w:rsid w:val="00E3412C"/>
    <w:rsid w:val="00E40FF2"/>
    <w:rsid w:val="00E57478"/>
    <w:rsid w:val="00E57BB1"/>
    <w:rsid w:val="00E6025B"/>
    <w:rsid w:val="00E67FCA"/>
    <w:rsid w:val="00E755B9"/>
    <w:rsid w:val="00E8336B"/>
    <w:rsid w:val="00E846E8"/>
    <w:rsid w:val="00E878F6"/>
    <w:rsid w:val="00E912A1"/>
    <w:rsid w:val="00E92717"/>
    <w:rsid w:val="00E92970"/>
    <w:rsid w:val="00E941E1"/>
    <w:rsid w:val="00EB0BA6"/>
    <w:rsid w:val="00EB1932"/>
    <w:rsid w:val="00EC0BCA"/>
    <w:rsid w:val="00EC2A30"/>
    <w:rsid w:val="00EC4465"/>
    <w:rsid w:val="00EC4E29"/>
    <w:rsid w:val="00ED44E8"/>
    <w:rsid w:val="00EE1F87"/>
    <w:rsid w:val="00EE30D2"/>
    <w:rsid w:val="00EE31B8"/>
    <w:rsid w:val="00EF3920"/>
    <w:rsid w:val="00F000BB"/>
    <w:rsid w:val="00F03223"/>
    <w:rsid w:val="00F1281E"/>
    <w:rsid w:val="00F1467F"/>
    <w:rsid w:val="00F149A3"/>
    <w:rsid w:val="00F26229"/>
    <w:rsid w:val="00F345C4"/>
    <w:rsid w:val="00F3512B"/>
    <w:rsid w:val="00F374B2"/>
    <w:rsid w:val="00F43F48"/>
    <w:rsid w:val="00F4562D"/>
    <w:rsid w:val="00F52ADB"/>
    <w:rsid w:val="00F53B92"/>
    <w:rsid w:val="00F548F8"/>
    <w:rsid w:val="00F576A9"/>
    <w:rsid w:val="00F60EC3"/>
    <w:rsid w:val="00F73F23"/>
    <w:rsid w:val="00F7541C"/>
    <w:rsid w:val="00F8291B"/>
    <w:rsid w:val="00F8639B"/>
    <w:rsid w:val="00F869C6"/>
    <w:rsid w:val="00FA0AAE"/>
    <w:rsid w:val="00FA58C8"/>
    <w:rsid w:val="00FB16FA"/>
    <w:rsid w:val="00FB4AA4"/>
    <w:rsid w:val="00FB6E40"/>
    <w:rsid w:val="00FC089B"/>
    <w:rsid w:val="00FC0D65"/>
    <w:rsid w:val="00FC6F66"/>
    <w:rsid w:val="00FC7596"/>
    <w:rsid w:val="00FE2739"/>
    <w:rsid w:val="00FE5CEA"/>
    <w:rsid w:val="00FE6103"/>
    <w:rsid w:val="00FF200E"/>
    <w:rsid w:val="00FF3D17"/>
    <w:rsid w:val="0224A146"/>
    <w:rsid w:val="0B1FF966"/>
    <w:rsid w:val="1CFB23FA"/>
    <w:rsid w:val="21FCE712"/>
    <w:rsid w:val="25D30F5E"/>
    <w:rsid w:val="3885E341"/>
    <w:rsid w:val="3FD5FB6E"/>
    <w:rsid w:val="43F1B4AF"/>
    <w:rsid w:val="4C6EC549"/>
    <w:rsid w:val="50312CF8"/>
    <w:rsid w:val="5759E2C2"/>
    <w:rsid w:val="5C96DCBC"/>
    <w:rsid w:val="5F4829C8"/>
    <w:rsid w:val="61699EE2"/>
    <w:rsid w:val="667C8D5A"/>
    <w:rsid w:val="6BE5DE70"/>
    <w:rsid w:val="72342709"/>
    <w:rsid w:val="7EF2DC2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paragraph" w:styleId="NormalWeb">
    <w:name w:val="Normal (Web)"/>
    <w:basedOn w:val="Normal"/>
    <w:uiPriority w:val="99"/>
    <w:semiHidden/>
    <w:unhideWhenUsed/>
    <w:rsid w:val="00210268"/>
    <w:rPr>
      <w:rFonts w:ascii="Times New Roman" w:hAnsi="Times New Roman"/>
      <w:sz w:val="24"/>
      <w:szCs w:val="24"/>
    </w:rPr>
  </w:style>
  <w:style w:type="character" w:styleId="Mencinsinresolver">
    <w:name w:val="Unresolved Mention"/>
    <w:basedOn w:val="Fuentedeprrafopredeter"/>
    <w:uiPriority w:val="99"/>
    <w:semiHidden/>
    <w:unhideWhenUsed/>
    <w:rsid w:val="00161B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08769382">
      <w:bodyDiv w:val="1"/>
      <w:marLeft w:val="0"/>
      <w:marRight w:val="0"/>
      <w:marTop w:val="0"/>
      <w:marBottom w:val="0"/>
      <w:divBdr>
        <w:top w:val="none" w:sz="0" w:space="0" w:color="auto"/>
        <w:left w:val="none" w:sz="0" w:space="0" w:color="auto"/>
        <w:bottom w:val="none" w:sz="0" w:space="0" w:color="auto"/>
        <w:right w:val="none" w:sz="0" w:space="0" w:color="auto"/>
      </w:divBdr>
    </w:div>
    <w:div w:id="418793329">
      <w:bodyDiv w:val="1"/>
      <w:marLeft w:val="0"/>
      <w:marRight w:val="0"/>
      <w:marTop w:val="0"/>
      <w:marBottom w:val="0"/>
      <w:divBdr>
        <w:top w:val="none" w:sz="0" w:space="0" w:color="auto"/>
        <w:left w:val="none" w:sz="0" w:space="0" w:color="auto"/>
        <w:bottom w:val="none" w:sz="0" w:space="0" w:color="auto"/>
        <w:right w:val="none" w:sz="0" w:space="0" w:color="auto"/>
      </w:divBdr>
    </w:div>
    <w:div w:id="474220769">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927347878">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184857768">
      <w:bodyDiv w:val="1"/>
      <w:marLeft w:val="0"/>
      <w:marRight w:val="0"/>
      <w:marTop w:val="0"/>
      <w:marBottom w:val="0"/>
      <w:divBdr>
        <w:top w:val="none" w:sz="0" w:space="0" w:color="auto"/>
        <w:left w:val="none" w:sz="0" w:space="0" w:color="auto"/>
        <w:bottom w:val="none" w:sz="0" w:space="0" w:color="auto"/>
        <w:right w:val="none" w:sz="0" w:space="0" w:color="auto"/>
      </w:divBdr>
    </w:div>
    <w:div w:id="1244221044">
      <w:bodyDiv w:val="1"/>
      <w:marLeft w:val="0"/>
      <w:marRight w:val="0"/>
      <w:marTop w:val="0"/>
      <w:marBottom w:val="0"/>
      <w:divBdr>
        <w:top w:val="none" w:sz="0" w:space="0" w:color="auto"/>
        <w:left w:val="none" w:sz="0" w:space="0" w:color="auto"/>
        <w:bottom w:val="none" w:sz="0" w:space="0" w:color="auto"/>
        <w:right w:val="none" w:sz="0" w:space="0" w:color="auto"/>
      </w:divBdr>
    </w:div>
    <w:div w:id="1371493398">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504856255">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19366965">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71201568">
      <w:bodyDiv w:val="1"/>
      <w:marLeft w:val="0"/>
      <w:marRight w:val="0"/>
      <w:marTop w:val="0"/>
      <w:marBottom w:val="0"/>
      <w:divBdr>
        <w:top w:val="none" w:sz="0" w:space="0" w:color="auto"/>
        <w:left w:val="none" w:sz="0" w:space="0" w:color="auto"/>
        <w:bottom w:val="none" w:sz="0" w:space="0" w:color="auto"/>
        <w:right w:val="none" w:sz="0" w:space="0" w:color="auto"/>
      </w:divBdr>
    </w:div>
    <w:div w:id="2122987124">
      <w:bodyDiv w:val="1"/>
      <w:marLeft w:val="0"/>
      <w:marRight w:val="0"/>
      <w:marTop w:val="0"/>
      <w:marBottom w:val="0"/>
      <w:divBdr>
        <w:top w:val="none" w:sz="0" w:space="0" w:color="auto"/>
        <w:left w:val="none" w:sz="0" w:space="0" w:color="auto"/>
        <w:bottom w:val="none" w:sz="0" w:space="0" w:color="auto"/>
        <w:right w:val="none" w:sz="0" w:space="0" w:color="auto"/>
      </w:divBdr>
    </w:div>
    <w:div w:id="214252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interbank.pe/blog/interbank-para-mi/cuando-usar-la-disposicion-de-efectiv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1E9E6F7-FFC2-478E-8F83-56815668F528}"/>
</file>

<file path=customXml/itemProps3.xml><?xml version="1.0" encoding="utf-8"?>
<ds:datastoreItem xmlns:ds="http://schemas.openxmlformats.org/officeDocument/2006/customXml" ds:itemID="{B3F5FF29-A305-411E-8F4A-71FE56F64FAC}"/>
</file>

<file path=customXml/itemProps4.xml><?xml version="1.0" encoding="utf-8"?>
<ds:datastoreItem xmlns:ds="http://schemas.openxmlformats.org/officeDocument/2006/customXml" ds:itemID="{B988F71F-5E09-4547-969B-5AB22CE603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530</cp:revision>
  <cp:lastPrinted>2023-03-01T20:09:00Z</cp:lastPrinted>
  <dcterms:created xsi:type="dcterms:W3CDTF">2022-12-22T22:59:00Z</dcterms:created>
  <dcterms:modified xsi:type="dcterms:W3CDTF">2026-06-01T16:09:06Z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