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047E1" w:rsidR="00C047E1" w:rsidP="00C047E1" w:rsidRDefault="00F15FBA" w14:paraId="1403B7F2" w14:textId="30FC84AB">
      <w:pPr>
        <w:pStyle w:val="Ttulo"/>
        <w:outlineLvl w:val="0"/>
        <w:rPr>
          <w:sz w:val="23"/>
          <w:szCs w:val="23"/>
          <w:lang w:val="es-PE"/>
        </w:rPr>
      </w:pPr>
      <w:r w:rsidRPr="00A419BC">
        <w:rPr>
          <w:sz w:val="23"/>
          <w:szCs w:val="23"/>
          <w:lang w:val="es-PE"/>
        </w:rPr>
        <w:t>RESOLUCIÓN N</w:t>
      </w:r>
      <w:r w:rsidRPr="00A419BC" w:rsidR="001631D6">
        <w:rPr>
          <w:sz w:val="23"/>
          <w:szCs w:val="23"/>
          <w:lang w:val="es-PE"/>
        </w:rPr>
        <w:t>°</w:t>
      </w:r>
      <w:r w:rsidRPr="00A419BC" w:rsidR="00A627AB">
        <w:rPr>
          <w:sz w:val="23"/>
          <w:szCs w:val="23"/>
          <w:lang w:val="es-PE"/>
        </w:rPr>
        <w:t xml:space="preserve"> 16</w:t>
      </w:r>
      <w:r w:rsidRPr="00A419BC" w:rsidR="00A22993">
        <w:rPr>
          <w:sz w:val="23"/>
          <w:szCs w:val="23"/>
          <w:lang w:val="es-PE"/>
        </w:rPr>
        <w:t>7</w:t>
      </w:r>
      <w:r w:rsidRPr="00A419BC" w:rsidR="006264EF">
        <w:rPr>
          <w:sz w:val="23"/>
          <w:szCs w:val="23"/>
          <w:lang w:val="es-PE"/>
        </w:rPr>
        <w:t xml:space="preserve">/ </w:t>
      </w:r>
      <w:r w:rsidRPr="00A419BC" w:rsidR="001631D6">
        <w:rPr>
          <w:sz w:val="23"/>
          <w:szCs w:val="23"/>
          <w:lang w:val="es-PE"/>
        </w:rPr>
        <w:t>2</w:t>
      </w:r>
      <w:r w:rsidRPr="00A419BC" w:rsidR="00B91236">
        <w:rPr>
          <w:sz w:val="23"/>
          <w:szCs w:val="23"/>
          <w:lang w:val="es-PE"/>
        </w:rPr>
        <w:t>5</w:t>
      </w:r>
    </w:p>
    <w:p w:rsidRPr="00C047E1" w:rsidR="00C047E1" w:rsidP="00C047E1" w:rsidRDefault="00C047E1" w14:paraId="6DB47203" w14:textId="77777777">
      <w:pPr>
        <w:jc w:val="right"/>
        <w:outlineLvl w:val="0"/>
        <w:rPr>
          <w:b/>
          <w:bCs/>
          <w:sz w:val="23"/>
          <w:szCs w:val="23"/>
          <w:lang w:val="es-PE"/>
        </w:rPr>
      </w:pPr>
    </w:p>
    <w:p w:rsidRPr="00C047E1" w:rsidR="00C047E1" w:rsidP="00C047E1" w:rsidRDefault="00C047E1" w14:paraId="3E86D8A6" w14:textId="77777777">
      <w:pPr>
        <w:jc w:val="both"/>
        <w:outlineLvl w:val="0"/>
        <w:rPr>
          <w:b/>
          <w:bCs/>
          <w:sz w:val="23"/>
          <w:szCs w:val="23"/>
          <w:lang w:val="es-PE"/>
        </w:rPr>
      </w:pPr>
      <w:r w:rsidRPr="00C047E1">
        <w:rPr>
          <w:b/>
          <w:bCs/>
          <w:sz w:val="23"/>
          <w:szCs w:val="23"/>
          <w:lang w:val="es-PE"/>
        </w:rPr>
        <w:t>Vistos:</w:t>
      </w:r>
    </w:p>
    <w:p w:rsidRPr="00C047E1" w:rsidR="00C047E1" w:rsidP="00C047E1" w:rsidRDefault="00C047E1" w14:paraId="56322003" w14:textId="77777777">
      <w:pPr>
        <w:jc w:val="both"/>
        <w:outlineLvl w:val="0"/>
        <w:rPr>
          <w:b/>
          <w:bCs/>
          <w:sz w:val="23"/>
          <w:szCs w:val="23"/>
          <w:lang w:val="es-PE"/>
        </w:rPr>
      </w:pPr>
    </w:p>
    <w:p w:rsidRPr="00C047E1" w:rsidR="00C047E1" w:rsidP="00C047E1" w:rsidRDefault="00C047E1" w14:paraId="5C02E669" w14:textId="70F92943">
      <w:pPr>
        <w:jc w:val="both"/>
        <w:outlineLvl w:val="0"/>
        <w:rPr>
          <w:sz w:val="23"/>
          <w:szCs w:val="23"/>
          <w:lang w:val="es-PE"/>
        </w:rPr>
      </w:pPr>
      <w:r w:rsidRPr="2946D39C" w:rsidR="00C047E1">
        <w:rPr>
          <w:sz w:val="23"/>
          <w:szCs w:val="23"/>
          <w:lang w:val="es-PE"/>
        </w:rPr>
        <w:t xml:space="preserve">Que, doña </w:t>
      </w:r>
      <w:bookmarkStart w:name="_Hlk107662905" w:id="0"/>
      <w:r w:rsidRPr="2946D39C" w:rsidR="54097A8D">
        <w:rPr>
          <w:b w:val="1"/>
          <w:bCs w:val="1"/>
          <w:sz w:val="23"/>
          <w:szCs w:val="23"/>
          <w:lang w:val="es-MX"/>
        </w:rPr>
        <w:t>.........................................................................</w:t>
      </w:r>
      <w:r w:rsidRPr="2946D39C" w:rsidR="00C047E1">
        <w:rPr>
          <w:b w:val="1"/>
          <w:bCs w:val="1"/>
          <w:sz w:val="23"/>
          <w:szCs w:val="23"/>
          <w:lang w:val="es-MX"/>
        </w:rPr>
        <w:t xml:space="preserve"> </w:t>
      </w:r>
      <w:bookmarkEnd w:id="0"/>
      <w:r w:rsidRPr="2946D39C" w:rsidR="00C047E1">
        <w:rPr>
          <w:sz w:val="23"/>
          <w:szCs w:val="23"/>
          <w:lang w:val="es-PE"/>
        </w:rPr>
        <w:t xml:space="preserve">interpone reclamación ante esta Defensoría del Asegurado (DEFASEG), solicitando que </w:t>
      </w:r>
      <w:r w:rsidRPr="2946D39C" w:rsidR="0A301843">
        <w:rPr>
          <w:sz w:val="23"/>
          <w:szCs w:val="23"/>
          <w:lang w:val="es-PE"/>
        </w:rPr>
        <w:t>...................</w:t>
      </w:r>
      <w:r w:rsidRPr="2946D39C" w:rsidR="00C047E1">
        <w:rPr>
          <w:sz w:val="23"/>
          <w:szCs w:val="23"/>
          <w:lang w:val="es-PE"/>
        </w:rPr>
        <w:t xml:space="preserve"> otorgue debida cobertura al siniestro que afectó a su hijo </w:t>
      </w:r>
      <w:r w:rsidRPr="2946D39C" w:rsidR="396ED471">
        <w:rPr>
          <w:sz w:val="23"/>
          <w:szCs w:val="23"/>
        </w:rPr>
        <w:t>...............................................................................</w:t>
      </w:r>
      <w:r w:rsidRPr="2946D39C" w:rsidR="00C047E1">
        <w:rPr>
          <w:sz w:val="23"/>
          <w:szCs w:val="23"/>
          <w:lang w:val="es-PE"/>
        </w:rPr>
        <w:t xml:space="preserve"> como consecuencia del accidente de tránsito ocurrido el 20 de abril de 2025,</w:t>
      </w:r>
      <w:bookmarkStart w:name="OLE_LINK2" w:id="1"/>
      <w:r w:rsidRPr="2946D39C" w:rsidR="00C047E1">
        <w:rPr>
          <w:sz w:val="23"/>
          <w:szCs w:val="23"/>
          <w:lang w:val="es-PE"/>
        </w:rPr>
        <w:t xml:space="preserve"> conforme al </w:t>
      </w:r>
      <w:r w:rsidRPr="2946D39C" w:rsidR="00C047E1">
        <w:rPr>
          <w:b w:val="1"/>
          <w:bCs w:val="1"/>
          <w:sz w:val="23"/>
          <w:szCs w:val="23"/>
          <w:lang w:val="es-PE"/>
        </w:rPr>
        <w:t xml:space="preserve">SEGURO OBLIGATORIO DE ACCIDENTES DE TRÁNSITO – SOAT, PÓLIZA </w:t>
      </w:r>
      <w:r w:rsidRPr="2946D39C" w:rsidR="00C047E1">
        <w:rPr>
          <w:b w:val="1"/>
          <w:bCs w:val="1"/>
          <w:sz w:val="23"/>
          <w:szCs w:val="23"/>
          <w:lang w:val="es-MX"/>
        </w:rPr>
        <w:t xml:space="preserve">No </w:t>
      </w:r>
      <w:r w:rsidRPr="2946D39C" w:rsidR="6CCCEEBF">
        <w:rPr>
          <w:b w:val="1"/>
          <w:bCs w:val="1"/>
          <w:sz w:val="23"/>
          <w:szCs w:val="23"/>
          <w:lang w:val="es-PE"/>
        </w:rPr>
        <w:t>........................</w:t>
      </w:r>
      <w:r w:rsidRPr="2946D39C" w:rsidR="00C047E1">
        <w:rPr>
          <w:sz w:val="23"/>
          <w:szCs w:val="23"/>
        </w:rPr>
        <w:t>.</w:t>
      </w:r>
    </w:p>
    <w:bookmarkEnd w:id="1"/>
    <w:p w:rsidRPr="00C047E1" w:rsidR="00C047E1" w:rsidP="00C047E1" w:rsidRDefault="00C047E1" w14:paraId="764E2362" w14:textId="77777777">
      <w:pPr>
        <w:jc w:val="both"/>
        <w:outlineLvl w:val="0"/>
        <w:rPr>
          <w:sz w:val="23"/>
          <w:szCs w:val="23"/>
          <w:lang w:val="es-PE"/>
        </w:rPr>
      </w:pPr>
    </w:p>
    <w:p w:rsidRPr="00C047E1" w:rsidR="00C047E1" w:rsidP="00C047E1" w:rsidRDefault="00C047E1" w14:paraId="2EB04D41" w14:textId="77777777">
      <w:pPr>
        <w:jc w:val="both"/>
        <w:outlineLvl w:val="0"/>
        <w:rPr>
          <w:sz w:val="23"/>
          <w:szCs w:val="23"/>
          <w:lang w:val="es-PE"/>
        </w:rPr>
      </w:pPr>
      <w:r w:rsidRPr="00C047E1">
        <w:rPr>
          <w:sz w:val="23"/>
          <w:szCs w:val="23"/>
          <w:lang w:val="es-PE"/>
        </w:rPr>
        <w:t>Que, la señalada reclamación cumple con los requisitos de materia, cuantía y oportunidad establecidos en el reglamento de la DEFASEG (http://www.defaseg.com.pe/reglamento).</w:t>
      </w:r>
    </w:p>
    <w:p w:rsidRPr="00C047E1" w:rsidR="00C047E1" w:rsidP="00C047E1" w:rsidRDefault="00C047E1" w14:paraId="3C908AC2" w14:textId="77777777">
      <w:pPr>
        <w:jc w:val="both"/>
        <w:outlineLvl w:val="0"/>
        <w:rPr>
          <w:sz w:val="23"/>
          <w:szCs w:val="23"/>
          <w:lang w:val="es-PE"/>
        </w:rPr>
      </w:pPr>
    </w:p>
    <w:p w:rsidRPr="00C047E1" w:rsidR="00C047E1" w:rsidP="00C047E1" w:rsidRDefault="00C047E1" w14:paraId="10280DA5" w14:textId="67F5BFC3">
      <w:pPr>
        <w:jc w:val="both"/>
        <w:outlineLvl w:val="0"/>
        <w:rPr>
          <w:sz w:val="23"/>
          <w:szCs w:val="23"/>
          <w:lang w:val="es-PE"/>
        </w:rPr>
      </w:pPr>
      <w:r w:rsidRPr="2946D39C" w:rsidR="00C047E1">
        <w:rPr>
          <w:sz w:val="23"/>
          <w:szCs w:val="23"/>
          <w:lang w:val="es-PE"/>
        </w:rPr>
        <w:t xml:space="preserve">Que, habiéndosele corrido traslado de la señalada reclamación, </w:t>
      </w:r>
      <w:r w:rsidRPr="2946D39C" w:rsidR="6E15D7EA">
        <w:rPr>
          <w:sz w:val="23"/>
          <w:szCs w:val="23"/>
          <w:lang w:val="es-PE"/>
        </w:rPr>
        <w:t>....................</w:t>
      </w:r>
      <w:r w:rsidRPr="2946D39C" w:rsidR="00C047E1">
        <w:rPr>
          <w:sz w:val="23"/>
          <w:szCs w:val="23"/>
          <w:lang w:val="es-PE"/>
        </w:rPr>
        <w:t xml:space="preserve"> cumplió con la presentación de sus descargos.</w:t>
      </w:r>
    </w:p>
    <w:p w:rsidRPr="00C047E1" w:rsidR="00C047E1" w:rsidP="00C047E1" w:rsidRDefault="00C047E1" w14:paraId="6BA02C42" w14:textId="77777777">
      <w:pPr>
        <w:jc w:val="both"/>
        <w:outlineLvl w:val="0"/>
        <w:rPr>
          <w:sz w:val="23"/>
          <w:szCs w:val="23"/>
          <w:lang w:val="es-PE"/>
        </w:rPr>
      </w:pPr>
    </w:p>
    <w:p w:rsidRPr="00C047E1" w:rsidR="00C047E1" w:rsidP="00C047E1" w:rsidRDefault="00C047E1" w14:paraId="7ACEDE74" w14:textId="77777777">
      <w:pPr>
        <w:jc w:val="both"/>
        <w:outlineLvl w:val="0"/>
        <w:rPr>
          <w:sz w:val="23"/>
          <w:szCs w:val="23"/>
          <w:lang w:val="es-PE"/>
        </w:rPr>
      </w:pPr>
      <w:r w:rsidRPr="00C047E1">
        <w:rPr>
          <w:sz w:val="23"/>
          <w:szCs w:val="23"/>
          <w:lang w:val="es-PE"/>
        </w:rPr>
        <w:t>Que, el 15 de septiembre de 20254 se realizó la audiencia virtual de vista con la participación de las partes, conforme consta de la correspondiente acta.</w:t>
      </w:r>
    </w:p>
    <w:p w:rsidRPr="00C047E1" w:rsidR="00C047E1" w:rsidP="00C047E1" w:rsidRDefault="00C047E1" w14:paraId="6D38F95B" w14:textId="77777777">
      <w:pPr>
        <w:jc w:val="both"/>
        <w:outlineLvl w:val="0"/>
        <w:rPr>
          <w:sz w:val="23"/>
          <w:szCs w:val="23"/>
          <w:lang w:val="es-PE"/>
        </w:rPr>
      </w:pPr>
    </w:p>
    <w:p w:rsidRPr="00C047E1" w:rsidR="00C047E1" w:rsidP="00C047E1" w:rsidRDefault="00C047E1" w14:paraId="3DC30395" w14:textId="24E325BC">
      <w:pPr>
        <w:jc w:val="both"/>
        <w:outlineLvl w:val="0"/>
        <w:rPr>
          <w:sz w:val="23"/>
          <w:szCs w:val="23"/>
        </w:rPr>
      </w:pPr>
      <w:r w:rsidRPr="2946D39C" w:rsidR="00C047E1">
        <w:rPr>
          <w:sz w:val="23"/>
          <w:szCs w:val="23"/>
          <w:lang w:val="es-PE"/>
        </w:rPr>
        <w:t xml:space="preserve">Que, la reclamación interpuesta se sustenta resumidamente en los hechos y fundamentos siguientes: (1) </w:t>
      </w:r>
      <w:r w:rsidRPr="2946D39C" w:rsidR="00C047E1">
        <w:rPr>
          <w:sz w:val="23"/>
          <w:szCs w:val="23"/>
        </w:rPr>
        <w:t xml:space="preserve">el 20 de abril de 2025, el vehículo de placa de rodaje </w:t>
      </w:r>
      <w:r w:rsidRPr="2946D39C" w:rsidR="722383C8">
        <w:rPr>
          <w:sz w:val="23"/>
          <w:szCs w:val="23"/>
        </w:rPr>
        <w:t>....................</w:t>
      </w:r>
      <w:r w:rsidRPr="2946D39C" w:rsidR="00C047E1">
        <w:rPr>
          <w:sz w:val="23"/>
          <w:szCs w:val="23"/>
        </w:rPr>
        <w:t xml:space="preserve"> impactó a la motocicleta de placa de rodaje </w:t>
      </w:r>
      <w:r w:rsidRPr="2946D39C" w:rsidR="331A3B97">
        <w:rPr>
          <w:sz w:val="23"/>
          <w:szCs w:val="23"/>
        </w:rPr>
        <w:t>....................</w:t>
      </w:r>
      <w:r w:rsidRPr="2946D39C" w:rsidR="00C047E1">
        <w:rPr>
          <w:sz w:val="23"/>
          <w:szCs w:val="23"/>
        </w:rPr>
        <w:t xml:space="preserve"> conducida por su hijo </w:t>
      </w:r>
      <w:bookmarkStart w:name="_Hlk212128707" w:id="2"/>
      <w:r w:rsidRPr="2946D39C" w:rsidR="396ED471">
        <w:rPr>
          <w:sz w:val="23"/>
          <w:szCs w:val="23"/>
        </w:rPr>
        <w:t>...............................................................................</w:t>
      </w:r>
      <w:bookmarkEnd w:id="2"/>
      <w:r w:rsidRPr="2946D39C" w:rsidR="00C047E1">
        <w:rPr>
          <w:sz w:val="23"/>
          <w:szCs w:val="23"/>
        </w:rPr>
        <w:t xml:space="preserve">, quien falleció producto de dicho accidente de tránsito; (2) reclama el pago del SOAT del vehículo de placa de rodaje </w:t>
      </w:r>
      <w:r w:rsidRPr="2946D39C" w:rsidR="722383C8">
        <w:rPr>
          <w:sz w:val="23"/>
          <w:szCs w:val="23"/>
        </w:rPr>
        <w:t>....................</w:t>
      </w:r>
      <w:r w:rsidRPr="2946D39C" w:rsidR="00C047E1">
        <w:rPr>
          <w:sz w:val="23"/>
          <w:szCs w:val="23"/>
        </w:rPr>
        <w:t>, porque considera que su hijo tenía la categoría de un tercero no ocupante del vehículo.</w:t>
      </w:r>
    </w:p>
    <w:p w:rsidRPr="00C047E1" w:rsidR="00C047E1" w:rsidP="00C047E1" w:rsidRDefault="00C047E1" w14:paraId="7D6D37C7" w14:textId="77777777">
      <w:pPr>
        <w:jc w:val="both"/>
        <w:outlineLvl w:val="0"/>
        <w:rPr>
          <w:sz w:val="23"/>
          <w:szCs w:val="23"/>
          <w:lang w:val="es-PE"/>
        </w:rPr>
      </w:pPr>
    </w:p>
    <w:p w:rsidRPr="00C047E1" w:rsidR="00C047E1" w:rsidP="00C047E1" w:rsidRDefault="00C047E1" w14:paraId="73EAABCC" w14:textId="67624F71">
      <w:pPr>
        <w:jc w:val="both"/>
        <w:outlineLvl w:val="0"/>
        <w:rPr>
          <w:sz w:val="23"/>
          <w:szCs w:val="23"/>
          <w:lang w:val="es-PE"/>
        </w:rPr>
      </w:pPr>
      <w:r w:rsidRPr="2946D39C" w:rsidR="00C047E1">
        <w:rPr>
          <w:sz w:val="23"/>
          <w:szCs w:val="23"/>
        </w:rPr>
        <w:t xml:space="preserve">Que, por su parte, </w:t>
      </w:r>
      <w:r w:rsidRPr="2946D39C" w:rsidR="0A301843">
        <w:rPr>
          <w:sz w:val="23"/>
          <w:szCs w:val="23"/>
        </w:rPr>
        <w:t>...................</w:t>
      </w:r>
      <w:r w:rsidRPr="2946D39C" w:rsidR="00C047E1">
        <w:rPr>
          <w:sz w:val="23"/>
          <w:szCs w:val="23"/>
        </w:rPr>
        <w:t xml:space="preserve"> solicita que la reclamación sea desestimada, </w:t>
      </w:r>
      <w:r w:rsidRPr="2946D39C" w:rsidR="00C047E1">
        <w:rPr>
          <w:sz w:val="23"/>
          <w:szCs w:val="23"/>
          <w:lang w:val="es-PE"/>
        </w:rPr>
        <w:t xml:space="preserve">atendiendo resumidamente a lo siguiente: (1) no es posible la cobertura del SOAT teniendo en cuenta que un ocupante de un vehículo tercero no puede ser llamado "tercero no ocupante”; (2) el señor </w:t>
      </w:r>
      <w:r w:rsidRPr="2946D39C" w:rsidR="4D0C6AA9">
        <w:rPr>
          <w:sz w:val="23"/>
          <w:szCs w:val="23"/>
          <w:lang w:val="es-PE"/>
        </w:rPr>
        <w:t>.................................................................</w:t>
      </w:r>
      <w:r w:rsidRPr="2946D39C" w:rsidR="00C047E1">
        <w:rPr>
          <w:sz w:val="23"/>
          <w:szCs w:val="23"/>
          <w:lang w:val="es-PE"/>
        </w:rPr>
        <w:t xml:space="preserve"> contrató un Seguro Obligatorio de Accidentes de Tránsito (SOAT) materializado en la Póliza </w:t>
      </w:r>
      <w:r w:rsidRPr="2946D39C" w:rsidR="00C047E1">
        <w:rPr>
          <w:sz w:val="23"/>
          <w:szCs w:val="23"/>
          <w:lang w:val="es-PE"/>
        </w:rPr>
        <w:t>N°</w:t>
      </w:r>
      <w:r w:rsidRPr="2946D39C" w:rsidR="00C047E1">
        <w:rPr>
          <w:sz w:val="23"/>
          <w:szCs w:val="23"/>
          <w:lang w:val="es-PE"/>
        </w:rPr>
        <w:t xml:space="preserve"> </w:t>
      </w:r>
      <w:r w:rsidRPr="2946D39C" w:rsidR="6CCCEEBF">
        <w:rPr>
          <w:sz w:val="23"/>
          <w:szCs w:val="23"/>
          <w:lang w:val="es-PE"/>
        </w:rPr>
        <w:t>........................</w:t>
      </w:r>
      <w:r w:rsidRPr="2946D39C" w:rsidR="00C047E1">
        <w:rPr>
          <w:sz w:val="23"/>
          <w:szCs w:val="23"/>
          <w:lang w:val="es-PE"/>
        </w:rPr>
        <w:t xml:space="preserve"> para su vehículo de placa de rodaje </w:t>
      </w:r>
      <w:r w:rsidRPr="2946D39C" w:rsidR="00C047E1">
        <w:rPr>
          <w:sz w:val="23"/>
          <w:szCs w:val="23"/>
          <w:lang w:val="es-PE"/>
        </w:rPr>
        <w:t>N°</w:t>
      </w:r>
      <w:r w:rsidRPr="2946D39C" w:rsidR="00C047E1">
        <w:rPr>
          <w:sz w:val="23"/>
          <w:szCs w:val="23"/>
          <w:lang w:val="es-PE"/>
        </w:rPr>
        <w:t xml:space="preserve"> </w:t>
      </w:r>
      <w:r w:rsidRPr="2946D39C" w:rsidR="181344DE">
        <w:rPr>
          <w:sz w:val="23"/>
          <w:szCs w:val="23"/>
          <w:lang w:val="es-PE"/>
        </w:rPr>
        <w:t>.....................</w:t>
      </w:r>
      <w:r w:rsidRPr="2946D39C" w:rsidR="00C047E1">
        <w:rPr>
          <w:sz w:val="23"/>
          <w:szCs w:val="23"/>
          <w:lang w:val="es-PE"/>
        </w:rPr>
        <w:t xml:space="preserve">; (3) el 20 de abril de 2025 ocurrió un siniestro consistente en un accidente de tránsito en el que el señor Loayza conducía el vehículo de placa </w:t>
      </w:r>
      <w:r w:rsidRPr="2946D39C" w:rsidR="00C047E1">
        <w:rPr>
          <w:sz w:val="23"/>
          <w:szCs w:val="23"/>
          <w:lang w:val="es-PE"/>
        </w:rPr>
        <w:t>N°</w:t>
      </w:r>
      <w:r w:rsidRPr="2946D39C" w:rsidR="00C047E1">
        <w:rPr>
          <w:sz w:val="23"/>
          <w:szCs w:val="23"/>
          <w:lang w:val="es-PE"/>
        </w:rPr>
        <w:t xml:space="preserve"> </w:t>
      </w:r>
      <w:r w:rsidRPr="2946D39C" w:rsidR="181344DE">
        <w:rPr>
          <w:sz w:val="23"/>
          <w:szCs w:val="23"/>
          <w:lang w:val="es-PE"/>
        </w:rPr>
        <w:t>.....................</w:t>
      </w:r>
      <w:r w:rsidRPr="2946D39C" w:rsidR="00C047E1">
        <w:rPr>
          <w:sz w:val="23"/>
          <w:szCs w:val="23"/>
          <w:lang w:val="es-PE"/>
        </w:rPr>
        <w:t xml:space="preserve"> en dirección a la Av. Arequipa, momento en el que impactó con una motocicleta de placa </w:t>
      </w:r>
      <w:r w:rsidRPr="2946D39C" w:rsidR="00C047E1">
        <w:rPr>
          <w:sz w:val="23"/>
          <w:szCs w:val="23"/>
          <w:lang w:val="es-PE"/>
        </w:rPr>
        <w:t>N°</w:t>
      </w:r>
      <w:r w:rsidRPr="2946D39C" w:rsidR="00C047E1">
        <w:rPr>
          <w:sz w:val="23"/>
          <w:szCs w:val="23"/>
          <w:lang w:val="es-PE"/>
        </w:rPr>
        <w:t xml:space="preserve"> </w:t>
      </w:r>
      <w:r w:rsidRPr="2946D39C" w:rsidR="331A3B97">
        <w:rPr>
          <w:sz w:val="23"/>
          <w:szCs w:val="23"/>
          <w:lang w:val="es-PE"/>
        </w:rPr>
        <w:t>....................</w:t>
      </w:r>
      <w:r w:rsidRPr="2946D39C" w:rsidR="00C047E1">
        <w:rPr>
          <w:sz w:val="23"/>
          <w:szCs w:val="23"/>
          <w:lang w:val="es-PE"/>
        </w:rPr>
        <w:t xml:space="preserve"> que no contaba con SOAT</w:t>
      </w:r>
      <w:r w:rsidRPr="2946D39C" w:rsidR="00C047E1">
        <w:rPr>
          <w:b w:val="1"/>
          <w:bCs w:val="1"/>
          <w:sz w:val="23"/>
          <w:szCs w:val="23"/>
          <w:lang w:val="es-PE"/>
        </w:rPr>
        <w:t xml:space="preserve"> </w:t>
      </w:r>
      <w:r w:rsidRPr="2946D39C" w:rsidR="00C047E1">
        <w:rPr>
          <w:sz w:val="23"/>
          <w:szCs w:val="23"/>
          <w:lang w:val="es-PE"/>
        </w:rPr>
        <w:t xml:space="preserve">y era conducida por el señor </w:t>
      </w:r>
      <w:r w:rsidRPr="2946D39C" w:rsidR="396ED471">
        <w:rPr>
          <w:sz w:val="23"/>
          <w:szCs w:val="23"/>
          <w:lang w:val="es-PE"/>
        </w:rPr>
        <w:t>...............................................................................</w:t>
      </w:r>
      <w:r w:rsidRPr="2946D39C" w:rsidR="00C047E1">
        <w:rPr>
          <w:sz w:val="23"/>
          <w:szCs w:val="23"/>
          <w:lang w:val="es-PE"/>
        </w:rPr>
        <w:t xml:space="preserve">, quien producto del accidente fue trasladado en una ambulancia hacia un establecimiento de salud; pero durante el traslado lamentablemente falleció; (4) la controversia radica en determinar si corresponde o no otorgar la cobertura del SOAT por un accidente de tránsito en el que el conductor fallecido no contrató el respectivo SOAT para su vehículo – motocicleta –, y si, en ese contexto, corresponde que el otro vehículo que sí contaba con SOAT asuma los gastos derivados de dicho accidente de tránsito; (5) para aprobar la cobertura de seguros en relación con accidentes de tránsito se debe evaluar los criterios establecidos en el Reglamento Nacional de Responsabilidad Civil y Seguros Obligatorios por Accidentes de Tránsito (Reglamento SOAT), aprobado por Decreto Supremo Nro. 024-2002-MTC; (6) el artículo 17 regula los siguientes supuestos de un accidente entre dos o más vehículos motorizados:  (i) cuando todos los vehículos involucrados en el accidente cuentan con SOAT (supuesto considerado implícitamente en el primer párrafo del artículo 17), la norma dispone que cada compañía de seguros será responsable de las indemnizaciones correspondientes a las personas transportadas en el vehículo por ella asegurado. Y también señala que en caso de peatones o terceros no ocupantes de vehículos automotores, las compañías de seguros intervinientes serán responsables solidariamente de las indemnizaciones que </w:t>
      </w:r>
      <w:r w:rsidRPr="2946D39C" w:rsidR="00C047E1">
        <w:rPr>
          <w:sz w:val="23"/>
          <w:szCs w:val="23"/>
          <w:lang w:val="es-PE"/>
        </w:rPr>
        <w:t>correspondan a dichas personas o su (s) beneficiario (s), y (</w:t>
      </w:r>
      <w:r w:rsidRPr="2946D39C" w:rsidR="00C047E1">
        <w:rPr>
          <w:sz w:val="23"/>
          <w:szCs w:val="23"/>
          <w:lang w:val="es-PE"/>
        </w:rPr>
        <w:t>ii</w:t>
      </w:r>
      <w:r w:rsidRPr="2946D39C" w:rsidR="00C047E1">
        <w:rPr>
          <w:sz w:val="23"/>
          <w:szCs w:val="23"/>
          <w:lang w:val="es-PE"/>
        </w:rPr>
        <w:t>) cuando uno de los vehículos obligados a contratar el SOAT no cumplió con su obligación (supuesto establecido en el cuarto párrafo del artículo 17), la norma señala que “</w:t>
      </w:r>
      <w:r w:rsidRPr="2946D39C" w:rsidR="00C047E1">
        <w:rPr>
          <w:i w:val="1"/>
          <w:iCs w:val="1"/>
          <w:sz w:val="23"/>
          <w:szCs w:val="23"/>
          <w:lang w:val="es-PE"/>
        </w:rPr>
        <w:t>el propietario, el conductor y en su caso, el prestador del servicio de transporte responden solidariamente frente a los ocupantes de dicho vehículo, terceros no ocupantes, establecimientos de salud y compañías de seguros por el monto de los gastos incurridos y/o indemnizaciones que éstos hubieren pagado a los accidentados frente a los cuales, los sujetos antes mencionados, resulten responsables”</w:t>
      </w:r>
      <w:r w:rsidRPr="2946D39C" w:rsidR="00C047E1">
        <w:rPr>
          <w:sz w:val="23"/>
          <w:szCs w:val="23"/>
          <w:lang w:val="es-PE"/>
        </w:rPr>
        <w:t xml:space="preserve">; (8)  en los casos en que un vehículo no cuente con SOAT, la responsabilidad de asumir solidariamente los gastos recae en las personas que omitieron su contratación. Incluso, dicho criterio ha sido recogido por la DEFASEG en sus Resoluciones </w:t>
      </w:r>
      <w:r w:rsidRPr="2946D39C" w:rsidR="00C047E1">
        <w:rPr>
          <w:sz w:val="23"/>
          <w:szCs w:val="23"/>
          <w:lang w:val="es-PE"/>
        </w:rPr>
        <w:t>N°</w:t>
      </w:r>
      <w:r w:rsidRPr="2946D39C" w:rsidR="00C047E1">
        <w:rPr>
          <w:sz w:val="23"/>
          <w:szCs w:val="23"/>
          <w:lang w:val="es-PE"/>
        </w:rPr>
        <w:t xml:space="preserve"> 039/2019 y 128/2019; (9) en los casos de omisión en la contratación del SOAT, la responsabilidad recae en la persona que incurre en dicha omisión, criterio que también ha sido recogido por la DEFASEG en su Resolución </w:t>
      </w:r>
      <w:r w:rsidRPr="2946D39C" w:rsidR="00C047E1">
        <w:rPr>
          <w:sz w:val="23"/>
          <w:szCs w:val="23"/>
          <w:lang w:val="es-PE"/>
        </w:rPr>
        <w:t>N°</w:t>
      </w:r>
      <w:r w:rsidRPr="2946D39C" w:rsidR="00C047E1">
        <w:rPr>
          <w:sz w:val="23"/>
          <w:szCs w:val="23"/>
          <w:lang w:val="es-PE"/>
        </w:rPr>
        <w:t xml:space="preserve"> 062/2010. De modo que, en el presente caso, el señor </w:t>
      </w:r>
      <w:r w:rsidRPr="2946D39C" w:rsidR="209E2027">
        <w:rPr>
          <w:sz w:val="23"/>
          <w:szCs w:val="23"/>
          <w:lang w:val="es-PE"/>
        </w:rPr>
        <w:t>.....................</w:t>
      </w:r>
      <w:r w:rsidRPr="2946D39C" w:rsidR="00C047E1">
        <w:rPr>
          <w:sz w:val="23"/>
          <w:szCs w:val="23"/>
          <w:lang w:val="es-PE"/>
        </w:rPr>
        <w:t xml:space="preserve">, pese a que el SOAT es obligatorio para circular con un vehículo, no cumplió con dicha exigencia, por lo que, conforme a la normativa vigente, los gastos generados a raíz del accidente deben ser asumidos por él o por quienes resulten responsables de esa omisión; (10) conforme a los criterios establecidos por la DEFASEG, no corresponde otorgar la cobertura al señor </w:t>
      </w:r>
      <w:r w:rsidRPr="2946D39C" w:rsidR="209E2027">
        <w:rPr>
          <w:sz w:val="23"/>
          <w:szCs w:val="23"/>
          <w:lang w:val="es-PE"/>
        </w:rPr>
        <w:t>.....................</w:t>
      </w:r>
      <w:r w:rsidRPr="2946D39C" w:rsidR="00C047E1">
        <w:rPr>
          <w:sz w:val="23"/>
          <w:szCs w:val="23"/>
          <w:lang w:val="es-PE"/>
        </w:rPr>
        <w:t xml:space="preserve">, ya que, de acuerdo con la normativa aplicable, la responsabilidad recae en él mismo por no haber contratado el SOAT, obligación indispensable para circular con un vehículo. En ese sentido, el SOAT contratado por el señor Loayza resulta no aplicable a la presente cuestión; (11) el SOAT del señor Loayza solo se activa en aquellos accidentes de tránsito que afectan a los ocupantes de su propio vehículo con SOAT, a peatones o a terceros no ocupantes de vehículos automotores, por lo que en el presente caso no se aplica ninguno de estos supuestos, dado que el señor </w:t>
      </w:r>
      <w:r w:rsidRPr="2946D39C" w:rsidR="209E2027">
        <w:rPr>
          <w:sz w:val="23"/>
          <w:szCs w:val="23"/>
          <w:lang w:val="es-PE"/>
        </w:rPr>
        <w:t>.....................</w:t>
      </w:r>
      <w:r w:rsidRPr="2946D39C" w:rsidR="00C047E1">
        <w:rPr>
          <w:sz w:val="23"/>
          <w:szCs w:val="23"/>
          <w:lang w:val="es-PE"/>
        </w:rPr>
        <w:t xml:space="preserve"> era OCUPANTE de una motocicleta, que es un vehículo automotor, por lo que no se le considera tercero no ocupante, sino ocupante vehicular, pero de un vehículo sin SOAT; (12) la DEFASEG concuerda con dicho criterio, pues conforme a la Resolución </w:t>
      </w:r>
      <w:r w:rsidRPr="2946D39C" w:rsidR="00C047E1">
        <w:rPr>
          <w:sz w:val="23"/>
          <w:szCs w:val="23"/>
          <w:lang w:val="es-PE"/>
        </w:rPr>
        <w:t>N°</w:t>
      </w:r>
      <w:r w:rsidRPr="2946D39C" w:rsidR="00C047E1">
        <w:rPr>
          <w:sz w:val="23"/>
          <w:szCs w:val="23"/>
          <w:lang w:val="es-PE"/>
        </w:rPr>
        <w:t xml:space="preserve"> 071/2020 señala que: </w:t>
      </w:r>
      <w:r w:rsidRPr="2946D39C" w:rsidR="00C047E1">
        <w:rPr>
          <w:i w:val="1"/>
          <w:iCs w:val="1"/>
          <w:sz w:val="23"/>
          <w:szCs w:val="23"/>
          <w:lang w:val="es-PE"/>
        </w:rPr>
        <w:t xml:space="preserve">"Que se distingue entre “ocupantes del vehículo” y “terceros no ocupantes”, siendo que un ocupante es aquel que está dentro de un vehículo automotor; es decir, puede ser un pasajero o un conductor; y un tercero no ocupante sería un peatón o un tercero que se moviliza en un vehículo no automotor (bicicleta, </w:t>
      </w:r>
      <w:r w:rsidRPr="2946D39C" w:rsidR="00C047E1">
        <w:rPr>
          <w:i w:val="1"/>
          <w:iCs w:val="1"/>
          <w:sz w:val="23"/>
          <w:szCs w:val="23"/>
          <w:lang w:val="es-PE"/>
        </w:rPr>
        <w:t>etc</w:t>
      </w:r>
      <w:r w:rsidRPr="2946D39C" w:rsidR="00C047E1">
        <w:rPr>
          <w:i w:val="1"/>
          <w:iCs w:val="1"/>
          <w:sz w:val="23"/>
          <w:szCs w:val="23"/>
          <w:lang w:val="es-PE"/>
        </w:rPr>
        <w:t>)</w:t>
      </w:r>
      <w:r w:rsidRPr="2946D39C" w:rsidR="00C047E1">
        <w:rPr>
          <w:sz w:val="23"/>
          <w:szCs w:val="23"/>
          <w:lang w:val="es-PE"/>
        </w:rPr>
        <w:t xml:space="preserve">; (13) el señor </w:t>
      </w:r>
      <w:r w:rsidRPr="2946D39C" w:rsidR="209E2027">
        <w:rPr>
          <w:sz w:val="23"/>
          <w:szCs w:val="23"/>
          <w:lang w:val="es-PE"/>
        </w:rPr>
        <w:t>.....................</w:t>
      </w:r>
      <w:r w:rsidRPr="2946D39C" w:rsidR="00C047E1">
        <w:rPr>
          <w:sz w:val="23"/>
          <w:szCs w:val="23"/>
          <w:lang w:val="es-PE"/>
        </w:rPr>
        <w:t xml:space="preserve"> no encaja en la categoría de peatón, ya que se constata que conducía una motocicleta, y tampoco se le considera un tercero no ocupante, dado que efectivamente se encontraba dentro de un vehículo automotor, pero que no contaba con SOAT. Por lo que, conforme a los argumentos expuestos, la responsabilidad por la omisión de contratar el SOAT recae en quien incumplió con dicha obligación. </w:t>
      </w:r>
    </w:p>
    <w:p w:rsidRPr="00C047E1" w:rsidR="00C047E1" w:rsidP="00C047E1" w:rsidRDefault="00C047E1" w14:paraId="0CCDA181" w14:textId="77777777">
      <w:pPr>
        <w:jc w:val="both"/>
        <w:outlineLvl w:val="0"/>
        <w:rPr>
          <w:sz w:val="23"/>
          <w:szCs w:val="23"/>
          <w:lang w:val="es-PE"/>
        </w:rPr>
      </w:pPr>
    </w:p>
    <w:p w:rsidRPr="00C047E1" w:rsidR="00C047E1" w:rsidP="00C047E1" w:rsidRDefault="00C047E1" w14:paraId="47B99706" w14:textId="77777777">
      <w:pPr>
        <w:jc w:val="both"/>
        <w:outlineLvl w:val="0"/>
        <w:rPr>
          <w:sz w:val="23"/>
          <w:szCs w:val="23"/>
          <w:lang w:val="es-PE"/>
        </w:rPr>
      </w:pPr>
      <w:r w:rsidRPr="00C047E1">
        <w:rPr>
          <w:b/>
          <w:bCs/>
          <w:sz w:val="23"/>
          <w:szCs w:val="23"/>
          <w:lang w:val="es-PE"/>
        </w:rPr>
        <w:t>CONSIDERANDO:</w:t>
      </w:r>
    </w:p>
    <w:p w:rsidRPr="00C047E1" w:rsidR="00C047E1" w:rsidP="00C047E1" w:rsidRDefault="00C047E1" w14:paraId="35E38DC2" w14:textId="77777777">
      <w:pPr>
        <w:jc w:val="both"/>
        <w:outlineLvl w:val="0"/>
        <w:rPr>
          <w:sz w:val="23"/>
          <w:szCs w:val="23"/>
          <w:lang w:val="es-PE"/>
        </w:rPr>
      </w:pPr>
    </w:p>
    <w:p w:rsidRPr="00C047E1" w:rsidR="00C047E1" w:rsidP="00C047E1" w:rsidRDefault="00C047E1" w14:paraId="75C21760" w14:textId="77777777">
      <w:pPr>
        <w:jc w:val="both"/>
        <w:outlineLvl w:val="0"/>
        <w:rPr>
          <w:sz w:val="23"/>
          <w:szCs w:val="23"/>
          <w:lang w:val="es-PE"/>
        </w:rPr>
      </w:pPr>
      <w:r w:rsidRPr="00C047E1">
        <w:rPr>
          <w:b/>
          <w:sz w:val="23"/>
          <w:szCs w:val="23"/>
          <w:u w:val="single"/>
          <w:lang w:val="es-PE"/>
        </w:rPr>
        <w:t>PRIMERO</w:t>
      </w:r>
      <w:r w:rsidRPr="00C047E1">
        <w:rPr>
          <w:b/>
          <w:sz w:val="23"/>
          <w:szCs w:val="23"/>
          <w:lang w:val="es-PE"/>
        </w:rPr>
        <w:t xml:space="preserve">: </w:t>
      </w:r>
      <w:r w:rsidRPr="00C047E1">
        <w:rPr>
          <w:sz w:val="23"/>
          <w:szCs w:val="23"/>
          <w:lang w:val="es-PE"/>
        </w:rPr>
        <w:t>Conforme a su reglamento, la</w:t>
      </w:r>
      <w:r w:rsidRPr="00C047E1">
        <w:rPr>
          <w:b/>
          <w:bCs/>
          <w:sz w:val="23"/>
          <w:szCs w:val="23"/>
          <w:lang w:val="es-PE"/>
        </w:rPr>
        <w:t xml:space="preserve"> </w:t>
      </w:r>
      <w:r w:rsidRPr="00C047E1">
        <w:rPr>
          <w:sz w:val="23"/>
          <w:szCs w:val="23"/>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C047E1" w:rsidR="00C047E1" w:rsidP="00C047E1" w:rsidRDefault="00C047E1" w14:paraId="3207BE27" w14:textId="77777777">
      <w:pPr>
        <w:jc w:val="both"/>
        <w:outlineLvl w:val="0"/>
        <w:rPr>
          <w:bCs/>
          <w:sz w:val="23"/>
          <w:szCs w:val="23"/>
        </w:rPr>
      </w:pPr>
    </w:p>
    <w:p w:rsidRPr="00C047E1" w:rsidR="00C047E1" w:rsidP="00C047E1" w:rsidRDefault="00C047E1" w14:paraId="6E16B6CE" w14:textId="77777777">
      <w:pPr>
        <w:jc w:val="both"/>
        <w:outlineLvl w:val="0"/>
        <w:rPr>
          <w:bCs/>
          <w:sz w:val="23"/>
          <w:szCs w:val="23"/>
          <w:lang w:val="es-PE"/>
        </w:rPr>
      </w:pPr>
      <w:r w:rsidRPr="00C047E1">
        <w:rPr>
          <w:b/>
          <w:bCs/>
          <w:sz w:val="23"/>
          <w:szCs w:val="23"/>
          <w:u w:val="single"/>
          <w:lang w:val="es-PE"/>
        </w:rPr>
        <w:t>SEGUNDO</w:t>
      </w:r>
      <w:r w:rsidRPr="00C047E1">
        <w:rPr>
          <w:b/>
          <w:bCs/>
          <w:sz w:val="23"/>
          <w:szCs w:val="23"/>
          <w:lang w:val="es-PE"/>
        </w:rPr>
        <w:t>:</w:t>
      </w:r>
      <w:r w:rsidRPr="00C047E1">
        <w:rPr>
          <w:bCs/>
          <w:sz w:val="23"/>
          <w:szCs w:val="23"/>
          <w:lang w:val="es-PE"/>
        </w:rPr>
        <w:t xml:space="preserve"> </w:t>
      </w:r>
      <w:r w:rsidRPr="00C047E1">
        <w:rPr>
          <w:sz w:val="23"/>
          <w:szCs w:val="23"/>
          <w:lang w:val="es-PE"/>
        </w:rPr>
        <w:t xml:space="preserve">Asimismo, de acuerdo con </w:t>
      </w:r>
      <w:r w:rsidRPr="00C047E1">
        <w:rPr>
          <w:bCs/>
          <w:sz w:val="23"/>
          <w:szCs w:val="23"/>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w:t>
      </w:r>
      <w:r w:rsidRPr="00C047E1">
        <w:rPr>
          <w:bCs/>
          <w:sz w:val="23"/>
          <w:szCs w:val="23"/>
          <w:lang w:val="es-PE"/>
        </w:rPr>
        <w:lastRenderedPageBreak/>
        <w:t>indemnizatorias por daños y perjuicios, por reembolso de gastos, o idoneidad de servicios, son ajenas a la competencia funcional de esta Defensoría.</w:t>
      </w:r>
    </w:p>
    <w:p w:rsidRPr="00C047E1" w:rsidR="00C047E1" w:rsidP="00C047E1" w:rsidRDefault="00C047E1" w14:paraId="786FF877" w14:textId="77777777">
      <w:pPr>
        <w:jc w:val="both"/>
        <w:outlineLvl w:val="0"/>
        <w:rPr>
          <w:bCs/>
          <w:sz w:val="23"/>
          <w:szCs w:val="23"/>
          <w:lang w:val="es-PE"/>
        </w:rPr>
      </w:pPr>
    </w:p>
    <w:p w:rsidRPr="00C047E1" w:rsidR="00C047E1" w:rsidP="00C047E1" w:rsidRDefault="00C047E1" w14:paraId="7A9BE257" w14:textId="77777777">
      <w:pPr>
        <w:jc w:val="both"/>
        <w:outlineLvl w:val="0"/>
        <w:rPr>
          <w:sz w:val="23"/>
          <w:szCs w:val="23"/>
        </w:rPr>
      </w:pPr>
      <w:r w:rsidRPr="00C047E1">
        <w:rPr>
          <w:b/>
          <w:bCs/>
          <w:sz w:val="23"/>
          <w:szCs w:val="23"/>
          <w:u w:val="single"/>
          <w:lang w:val="es-PE"/>
        </w:rPr>
        <w:t>TERCERO</w:t>
      </w:r>
      <w:r w:rsidRPr="00C047E1">
        <w:rPr>
          <w:b/>
          <w:bCs/>
          <w:sz w:val="23"/>
          <w:szCs w:val="23"/>
          <w:lang w:val="es-PE"/>
        </w:rPr>
        <w:t>:</w:t>
      </w:r>
      <w:r w:rsidRPr="00C047E1">
        <w:rPr>
          <w:sz w:val="23"/>
          <w:szCs w:val="23"/>
          <w:lang w:val="es-PE"/>
        </w:rPr>
        <w:t xml:space="preserve"> T</w:t>
      </w:r>
      <w:proofErr w:type="spellStart"/>
      <w:r w:rsidRPr="00C047E1">
        <w:rPr>
          <w:sz w:val="23"/>
          <w:szCs w:val="23"/>
        </w:rPr>
        <w:t>ratándose</w:t>
      </w:r>
      <w:proofErr w:type="spellEnd"/>
      <w:r w:rsidRPr="00C047E1">
        <w:rPr>
          <w:sz w:val="23"/>
          <w:szCs w:val="23"/>
        </w:rPr>
        <w:t xml:space="preserve"> en particular del  Seguro Obligatorio de Accidentes de Tránsito – SOAT debe considerarse los alcances de su respectiva regulación normativa, esto es,  el Decreto Supremo Nro. 024-2002-MTC aprobó el Texto Único Ordenado (T.U.O.) del Reglamento Nacional de Responsabilidad Civil y Seguros Obligatorios por Accidentes de Tránsito (Reglamento SOAT), siendo que el artículo I de la Ley Nro. 29946 – Ley del Contrato de Seguro, establece que sus disposiciones son supletorias en materia de seguros obligatorios, como es el caso del SOAT.</w:t>
      </w:r>
    </w:p>
    <w:p w:rsidRPr="00C047E1" w:rsidR="00C047E1" w:rsidP="00C047E1" w:rsidRDefault="00C047E1" w14:paraId="49472036" w14:textId="77777777">
      <w:pPr>
        <w:jc w:val="both"/>
        <w:outlineLvl w:val="0"/>
        <w:rPr>
          <w:b/>
          <w:sz w:val="23"/>
          <w:szCs w:val="23"/>
          <w:u w:val="single"/>
          <w:lang w:val="es-PE"/>
        </w:rPr>
      </w:pPr>
    </w:p>
    <w:p w:rsidRPr="00C047E1" w:rsidR="00C047E1" w:rsidP="00C047E1" w:rsidRDefault="00C047E1" w14:paraId="48AB9427" w14:textId="77777777">
      <w:pPr>
        <w:jc w:val="both"/>
        <w:outlineLvl w:val="0"/>
        <w:rPr>
          <w:sz w:val="23"/>
          <w:szCs w:val="23"/>
          <w:lang w:val="es-PE"/>
        </w:rPr>
      </w:pPr>
      <w:r w:rsidRPr="00C047E1">
        <w:rPr>
          <w:b/>
          <w:sz w:val="23"/>
          <w:szCs w:val="23"/>
          <w:u w:val="single"/>
          <w:lang w:val="es-PE"/>
        </w:rPr>
        <w:t>CUARTO</w:t>
      </w:r>
      <w:r w:rsidRPr="00C047E1">
        <w:rPr>
          <w:b/>
          <w:sz w:val="23"/>
          <w:szCs w:val="23"/>
          <w:lang w:val="es-PE"/>
        </w:rPr>
        <w:t>:</w:t>
      </w:r>
      <w:r w:rsidRPr="00C047E1">
        <w:rPr>
          <w:sz w:val="23"/>
          <w:szCs w:val="23"/>
          <w:lang w:val="es-PE"/>
        </w:rPr>
        <w:t xml:space="preserve"> Conforme a los términos del rechazo, así como al reclamo y su absolución, y a lo tratado en la audiencia de vista, la solución de la presente controversia consiste en determinar si el rechazo de siniestro informado por la aseguradora resulta o no legítima. </w:t>
      </w:r>
    </w:p>
    <w:p w:rsidRPr="00C047E1" w:rsidR="00C047E1" w:rsidP="00C047E1" w:rsidRDefault="00C047E1" w14:paraId="795F8284" w14:textId="77777777">
      <w:pPr>
        <w:jc w:val="both"/>
        <w:outlineLvl w:val="0"/>
        <w:rPr>
          <w:sz w:val="23"/>
          <w:szCs w:val="23"/>
          <w:lang w:val="es-PE"/>
        </w:rPr>
      </w:pPr>
    </w:p>
    <w:p w:rsidRPr="00C047E1" w:rsidR="00C047E1" w:rsidP="00C047E1" w:rsidRDefault="00C047E1" w14:paraId="601F06CD" w14:textId="77777777">
      <w:pPr>
        <w:jc w:val="both"/>
        <w:outlineLvl w:val="0"/>
        <w:rPr>
          <w:sz w:val="23"/>
          <w:szCs w:val="23"/>
          <w:lang w:val="es-PE"/>
        </w:rPr>
      </w:pPr>
      <w:r w:rsidRPr="00C047E1">
        <w:rPr>
          <w:sz w:val="23"/>
          <w:szCs w:val="23"/>
          <w:lang w:val="es-PE"/>
        </w:rPr>
        <w:t xml:space="preserve">Al respecto, esta Defensoría tiene a bien señalar que ya se ha pronunciado en el sentido que la aseguradora contratante del SOAT de una unidad </w:t>
      </w:r>
      <w:proofErr w:type="gramStart"/>
      <w:r w:rsidRPr="00C047E1">
        <w:rPr>
          <w:sz w:val="23"/>
          <w:szCs w:val="23"/>
          <w:lang w:val="es-PE"/>
        </w:rPr>
        <w:t>vehicular,</w:t>
      </w:r>
      <w:proofErr w:type="gramEnd"/>
      <w:r w:rsidRPr="00C047E1">
        <w:rPr>
          <w:sz w:val="23"/>
          <w:szCs w:val="23"/>
          <w:lang w:val="es-PE"/>
        </w:rPr>
        <w:t xml:space="preserve"> no está obligada a otorgar cobertura a los ocupantes de la segunda unidad vehicular que omitió contratar el SOAT, tanto en las Resoluciones 039/19 y 128/19 del año 2019, como previamente en la Resolución 062/2010 emitida en el año 2010, motivo por el cual los argumentos expuestos en dicha resolución que resultan aplicables al presente caso.</w:t>
      </w:r>
    </w:p>
    <w:p w:rsidRPr="00C047E1" w:rsidR="00C047E1" w:rsidP="00C047E1" w:rsidRDefault="00C047E1" w14:paraId="2154C243" w14:textId="77777777">
      <w:pPr>
        <w:jc w:val="both"/>
        <w:outlineLvl w:val="0"/>
        <w:rPr>
          <w:sz w:val="23"/>
          <w:szCs w:val="23"/>
          <w:lang w:val="es-PE"/>
        </w:rPr>
      </w:pPr>
    </w:p>
    <w:p w:rsidRPr="00C047E1" w:rsidR="00C047E1" w:rsidP="00C047E1" w:rsidRDefault="00C047E1" w14:paraId="4BAD4B5F" w14:textId="77777777">
      <w:pPr>
        <w:jc w:val="both"/>
        <w:outlineLvl w:val="0"/>
        <w:rPr>
          <w:sz w:val="23"/>
          <w:szCs w:val="23"/>
          <w:lang w:val="es-PE"/>
        </w:rPr>
      </w:pPr>
      <w:r w:rsidRPr="00C047E1">
        <w:rPr>
          <w:sz w:val="23"/>
          <w:szCs w:val="23"/>
          <w:lang w:val="es-PE"/>
        </w:rPr>
        <w:t>Para ello, resulta pertinente transcribir el artículo 17º del Reglamento Nacional de Responsabilidad Civil y Seguros Obligatorios por Accidentes de Tránsito (según texto final conforme al Decreto Supremo Nro. 001-2004-MTC), cuyos alcances se analizarán en esta resolución:</w:t>
      </w:r>
    </w:p>
    <w:p w:rsidRPr="00C047E1" w:rsidR="00C047E1" w:rsidP="00C047E1" w:rsidRDefault="00C047E1" w14:paraId="52315CD8" w14:textId="77777777">
      <w:pPr>
        <w:jc w:val="both"/>
        <w:outlineLvl w:val="0"/>
        <w:rPr>
          <w:sz w:val="23"/>
          <w:szCs w:val="23"/>
          <w:lang w:val="es-PE"/>
        </w:rPr>
      </w:pPr>
    </w:p>
    <w:p w:rsidRPr="00C047E1" w:rsidR="00C047E1" w:rsidP="00EE5178" w:rsidRDefault="00C047E1" w14:paraId="4AC3A26F" w14:textId="77777777">
      <w:pPr>
        <w:ind w:left="720"/>
        <w:outlineLvl w:val="0"/>
        <w:rPr>
          <w:i/>
          <w:sz w:val="23"/>
          <w:szCs w:val="23"/>
        </w:rPr>
      </w:pPr>
      <w:r w:rsidRPr="00C047E1">
        <w:rPr>
          <w:i/>
          <w:sz w:val="23"/>
          <w:szCs w:val="23"/>
          <w:lang w:val="es-PE"/>
        </w:rPr>
        <w:t>“</w:t>
      </w:r>
      <w:r w:rsidRPr="00C047E1">
        <w:rPr>
          <w:i/>
          <w:sz w:val="23"/>
          <w:szCs w:val="23"/>
        </w:rPr>
        <w:t xml:space="preserve">Artículo 17: En caso de accidentes de tránsito en que hayan participado dos o más vehículos, </w:t>
      </w:r>
      <w:r w:rsidRPr="00C047E1">
        <w:rPr>
          <w:b/>
          <w:i/>
          <w:sz w:val="23"/>
          <w:szCs w:val="23"/>
        </w:rPr>
        <w:t>cada compañía de seguros será responsable de las indemnizaciones correspondientes a las personas transportadas en el vehículo por ella asegurado</w:t>
      </w:r>
      <w:r w:rsidRPr="00C047E1">
        <w:rPr>
          <w:i/>
          <w:sz w:val="23"/>
          <w:szCs w:val="23"/>
        </w:rPr>
        <w:t>.</w:t>
      </w:r>
    </w:p>
    <w:p w:rsidRPr="00C047E1" w:rsidR="00C047E1" w:rsidP="00EE5178" w:rsidRDefault="00C047E1" w14:paraId="4E3B5F9B" w14:textId="77777777">
      <w:pPr>
        <w:ind w:left="720"/>
        <w:outlineLvl w:val="0"/>
        <w:rPr>
          <w:i/>
          <w:sz w:val="23"/>
          <w:szCs w:val="23"/>
        </w:rPr>
      </w:pPr>
      <w:r w:rsidRPr="00C047E1">
        <w:rPr>
          <w:i/>
          <w:sz w:val="23"/>
          <w:szCs w:val="23"/>
        </w:rPr>
        <w:t xml:space="preserve">     En caso de </w:t>
      </w:r>
      <w:r w:rsidRPr="00C047E1">
        <w:rPr>
          <w:b/>
          <w:i/>
          <w:sz w:val="23"/>
          <w:szCs w:val="23"/>
        </w:rPr>
        <w:t>peatones o terceros no ocupantes</w:t>
      </w:r>
      <w:r w:rsidRPr="00C047E1">
        <w:rPr>
          <w:i/>
          <w:sz w:val="23"/>
          <w:szCs w:val="23"/>
        </w:rPr>
        <w:t xml:space="preserve"> de vehículos automotores, las compañías de seguros intervinientes serán responsables solidariamente de las indemnizaciones que correspondan a dichas personas o su (s) beneficiario (s).</w:t>
      </w:r>
    </w:p>
    <w:p w:rsidRPr="00C047E1" w:rsidR="00C047E1" w:rsidP="00EE5178" w:rsidRDefault="00C047E1" w14:paraId="56CF8AA2" w14:textId="77777777">
      <w:pPr>
        <w:ind w:left="720"/>
        <w:outlineLvl w:val="0"/>
        <w:rPr>
          <w:i/>
          <w:sz w:val="23"/>
          <w:szCs w:val="23"/>
        </w:rPr>
      </w:pPr>
      <w:r w:rsidRPr="00C047E1">
        <w:rPr>
          <w:i/>
          <w:sz w:val="23"/>
          <w:szCs w:val="23"/>
        </w:rPr>
        <w:t>     En este último caso, la compañía de seguros que hubiere pagado tendrá derecho a repetir contra las demás para exigirles su correspondiente participación sin perjuicio de los convenios que para el efecto puedan celebrar las compañías de seguros involucradas.</w:t>
      </w:r>
    </w:p>
    <w:p w:rsidRPr="00C047E1" w:rsidR="00C047E1" w:rsidP="00EE5178" w:rsidRDefault="00C047E1" w14:paraId="73065412" w14:textId="77777777">
      <w:pPr>
        <w:ind w:left="720"/>
        <w:outlineLvl w:val="0"/>
        <w:rPr>
          <w:i/>
          <w:sz w:val="23"/>
          <w:szCs w:val="23"/>
        </w:rPr>
      </w:pPr>
      <w:r w:rsidRPr="00C047E1">
        <w:rPr>
          <w:i/>
          <w:sz w:val="23"/>
          <w:szCs w:val="23"/>
        </w:rPr>
        <w:t xml:space="preserve">     En el caso que alguno de los vehículos que participa en el accidente de </w:t>
      </w:r>
      <w:r w:rsidRPr="00C047E1">
        <w:rPr>
          <w:b/>
          <w:i/>
          <w:sz w:val="23"/>
          <w:szCs w:val="23"/>
        </w:rPr>
        <w:t>tránsito no contase con el Seguro Obligatorio de Accidentes de Tránsito, el propietario, el conductor</w:t>
      </w:r>
      <w:r w:rsidRPr="00C047E1">
        <w:rPr>
          <w:i/>
          <w:sz w:val="23"/>
          <w:szCs w:val="23"/>
        </w:rPr>
        <w:t xml:space="preserve"> y en su caso, el prestador del servicio de transporte </w:t>
      </w:r>
      <w:r w:rsidRPr="00C047E1">
        <w:rPr>
          <w:b/>
          <w:i/>
          <w:sz w:val="23"/>
          <w:szCs w:val="23"/>
        </w:rPr>
        <w:t>responden solidariamente</w:t>
      </w:r>
      <w:r w:rsidRPr="00C047E1">
        <w:rPr>
          <w:i/>
          <w:sz w:val="23"/>
          <w:szCs w:val="23"/>
        </w:rPr>
        <w:t xml:space="preserve"> frente a los ocupantes de dicho vehículo, terceros no ocupantes, establecimientos de salud y compañías de seguros por el monto de los gastos incurridos y/o indemnizaciones que éstos hubieren pagado a los accidentados frente a los cuales, los sujetos antes mencionados, resulten responsables.” </w:t>
      </w:r>
      <w:r w:rsidRPr="00C047E1">
        <w:rPr>
          <w:sz w:val="23"/>
          <w:szCs w:val="23"/>
        </w:rPr>
        <w:t>(los resaltados son nuestros)</w:t>
      </w:r>
    </w:p>
    <w:p w:rsidRPr="00C047E1" w:rsidR="00C047E1" w:rsidP="00C047E1" w:rsidRDefault="00C047E1" w14:paraId="54D433F8" w14:textId="77777777">
      <w:pPr>
        <w:jc w:val="both"/>
        <w:outlineLvl w:val="0"/>
        <w:rPr>
          <w:sz w:val="23"/>
          <w:szCs w:val="23"/>
          <w:lang w:val="es-PE"/>
        </w:rPr>
      </w:pPr>
    </w:p>
    <w:p w:rsidRPr="00C047E1" w:rsidR="00C047E1" w:rsidP="00C047E1" w:rsidRDefault="00C047E1" w14:paraId="6BDA8DA1" w14:textId="77777777">
      <w:pPr>
        <w:jc w:val="both"/>
        <w:outlineLvl w:val="0"/>
        <w:rPr>
          <w:sz w:val="23"/>
          <w:szCs w:val="23"/>
          <w:lang w:val="es-PE"/>
        </w:rPr>
      </w:pPr>
      <w:r w:rsidRPr="00C047E1">
        <w:rPr>
          <w:b/>
          <w:sz w:val="23"/>
          <w:szCs w:val="23"/>
          <w:u w:val="single"/>
          <w:lang w:val="es-PE"/>
        </w:rPr>
        <w:t>QUINTO:</w:t>
      </w:r>
      <w:r w:rsidRPr="00C047E1">
        <w:rPr>
          <w:sz w:val="23"/>
          <w:szCs w:val="23"/>
          <w:lang w:val="es-PE"/>
        </w:rPr>
        <w:t xml:space="preserve"> El artículo 17 antes referido regula los siguientes supuestos de un accidente entre más de dos vehículos motorizados (vehículos obligados a contratar la cobertura del </w:t>
      </w:r>
      <w:proofErr w:type="gramStart"/>
      <w:r w:rsidRPr="00C047E1">
        <w:rPr>
          <w:sz w:val="23"/>
          <w:szCs w:val="23"/>
          <w:lang w:val="es-PE"/>
        </w:rPr>
        <w:t>SOAT  tal</w:t>
      </w:r>
      <w:proofErr w:type="gramEnd"/>
      <w:r w:rsidRPr="00C047E1">
        <w:rPr>
          <w:sz w:val="23"/>
          <w:szCs w:val="23"/>
          <w:lang w:val="es-PE"/>
        </w:rPr>
        <w:t xml:space="preserve"> como lo dispone el artículo 3 del citado dispositivo):</w:t>
      </w:r>
    </w:p>
    <w:p w:rsidRPr="00C047E1" w:rsidR="00C047E1" w:rsidP="00C047E1" w:rsidRDefault="00C047E1" w14:paraId="3A783FD7" w14:textId="77777777">
      <w:pPr>
        <w:jc w:val="both"/>
        <w:outlineLvl w:val="0"/>
        <w:rPr>
          <w:b/>
          <w:bCs/>
          <w:sz w:val="23"/>
          <w:szCs w:val="23"/>
          <w:lang w:val="es-PE"/>
        </w:rPr>
      </w:pPr>
    </w:p>
    <w:p w:rsidRPr="00C047E1" w:rsidR="00C047E1" w:rsidP="00451AC6" w:rsidRDefault="00C047E1" w14:paraId="3235F9BE" w14:textId="77777777">
      <w:pPr>
        <w:ind w:left="720"/>
        <w:jc w:val="both"/>
        <w:outlineLvl w:val="0"/>
        <w:rPr>
          <w:b/>
          <w:bCs/>
          <w:sz w:val="23"/>
          <w:szCs w:val="23"/>
          <w:lang w:val="es-PE"/>
        </w:rPr>
      </w:pPr>
      <w:r w:rsidRPr="00C047E1">
        <w:rPr>
          <w:b/>
          <w:bCs/>
          <w:sz w:val="23"/>
          <w:szCs w:val="23"/>
          <w:lang w:val="es-PE"/>
        </w:rPr>
        <w:lastRenderedPageBreak/>
        <w:t>a) Todos los vehículos involucrados en el accidente cuentan con SOAT (supuesto considerado implícitamente en el primer párrafo del artículo 17).</w:t>
      </w:r>
    </w:p>
    <w:p w:rsidRPr="00C047E1" w:rsidR="00C047E1" w:rsidP="00451AC6" w:rsidRDefault="00C047E1" w14:paraId="5BBAB14F" w14:textId="77777777">
      <w:pPr>
        <w:ind w:left="720"/>
        <w:jc w:val="both"/>
        <w:outlineLvl w:val="0"/>
        <w:rPr>
          <w:sz w:val="23"/>
          <w:szCs w:val="23"/>
          <w:lang w:val="es-PE"/>
        </w:rPr>
      </w:pPr>
    </w:p>
    <w:p w:rsidRPr="00C047E1" w:rsidR="00C047E1" w:rsidP="2946D39C" w:rsidRDefault="00C047E1" w14:paraId="243101E3" w14:textId="77777777">
      <w:pPr>
        <w:ind w:left="720"/>
        <w:jc w:val="both"/>
        <w:outlineLvl w:val="0"/>
        <w:rPr>
          <w:sz w:val="23"/>
          <w:szCs w:val="23"/>
          <w:lang w:val="es-ES"/>
        </w:rPr>
      </w:pPr>
      <w:r w:rsidRPr="2946D39C" w:rsidR="00C047E1">
        <w:rPr>
          <w:sz w:val="23"/>
          <w:szCs w:val="23"/>
          <w:lang w:val="es-ES"/>
        </w:rPr>
        <w:t>En dicho supuesto la norma dispone que “</w:t>
      </w:r>
      <w:r w:rsidRPr="2946D39C" w:rsidR="00C047E1">
        <w:rPr>
          <w:i w:val="1"/>
          <w:iCs w:val="1"/>
          <w:sz w:val="23"/>
          <w:szCs w:val="23"/>
          <w:lang w:val="es-ES"/>
        </w:rPr>
        <w:t>cada compañía de seguros será responsable de las indemnizaciones correspondientes a las personas transportadas en el vehículo por ella asegurado</w:t>
      </w:r>
      <w:r w:rsidRPr="2946D39C" w:rsidR="00C047E1">
        <w:rPr>
          <w:i w:val="1"/>
          <w:iCs w:val="1"/>
          <w:sz w:val="23"/>
          <w:szCs w:val="23"/>
          <w:lang w:val="es-ES"/>
        </w:rPr>
        <w:t>”</w:t>
      </w:r>
      <w:r w:rsidRPr="2946D39C" w:rsidR="00C047E1">
        <w:rPr>
          <w:sz w:val="23"/>
          <w:szCs w:val="23"/>
          <w:lang w:val="es-ES"/>
        </w:rPr>
        <w:t xml:space="preserve"> .</w:t>
      </w:r>
    </w:p>
    <w:p w:rsidRPr="00C047E1" w:rsidR="00C047E1" w:rsidP="00451AC6" w:rsidRDefault="00C047E1" w14:paraId="0722214F" w14:textId="77777777">
      <w:pPr>
        <w:ind w:left="720"/>
        <w:jc w:val="both"/>
        <w:outlineLvl w:val="0"/>
        <w:rPr>
          <w:sz w:val="23"/>
          <w:szCs w:val="23"/>
          <w:lang w:val="es-PE"/>
        </w:rPr>
      </w:pPr>
      <w:r w:rsidRPr="00C047E1">
        <w:rPr>
          <w:sz w:val="23"/>
          <w:szCs w:val="23"/>
          <w:lang w:val="es-PE"/>
        </w:rPr>
        <w:t xml:space="preserve"> </w:t>
      </w:r>
    </w:p>
    <w:p w:rsidRPr="00C047E1" w:rsidR="00C047E1" w:rsidP="00451AC6" w:rsidRDefault="00C047E1" w14:paraId="43647DE2" w14:textId="77777777">
      <w:pPr>
        <w:ind w:left="720"/>
        <w:jc w:val="both"/>
        <w:outlineLvl w:val="0"/>
        <w:rPr>
          <w:sz w:val="23"/>
          <w:szCs w:val="23"/>
          <w:lang w:val="es-PE"/>
        </w:rPr>
      </w:pPr>
      <w:r w:rsidRPr="00C047E1">
        <w:rPr>
          <w:sz w:val="23"/>
          <w:szCs w:val="23"/>
          <w:lang w:val="es-PE"/>
        </w:rPr>
        <w:t>Adicionalmente se añade en el segundo párrafo que respecto de los peatones o terceros no ocupantes (los que por su sola definición no serían ni el chofer ni las personas transportadas en los vehículos motorizados)</w:t>
      </w:r>
      <w:r w:rsidRPr="00C047E1">
        <w:rPr>
          <w:i/>
          <w:sz w:val="23"/>
          <w:szCs w:val="23"/>
          <w:lang w:val="es-PE"/>
        </w:rPr>
        <w:t xml:space="preserve">, “las compañías de seguros intervinientes serán responsables solidariamente de las indemnizaciones que correspondan a dichas personas o su (s) beneficiario (s)”; </w:t>
      </w:r>
      <w:r w:rsidRPr="00C047E1">
        <w:rPr>
          <w:sz w:val="23"/>
          <w:szCs w:val="23"/>
          <w:lang w:val="es-PE"/>
        </w:rPr>
        <w:t xml:space="preserve">y en el tercer párrafo se establece que la aseguradora que asumió el gasto en exceso a su participación podrá repetir contra las demás conforme se indica en dicho artículo. </w:t>
      </w:r>
    </w:p>
    <w:p w:rsidRPr="00C047E1" w:rsidR="00C047E1" w:rsidP="00451AC6" w:rsidRDefault="00C047E1" w14:paraId="013E2B0F" w14:textId="77777777">
      <w:pPr>
        <w:ind w:left="720"/>
        <w:jc w:val="both"/>
        <w:outlineLvl w:val="0"/>
        <w:rPr>
          <w:sz w:val="23"/>
          <w:szCs w:val="23"/>
          <w:lang w:val="es-PE"/>
        </w:rPr>
      </w:pPr>
    </w:p>
    <w:p w:rsidRPr="00C047E1" w:rsidR="00C047E1" w:rsidP="00451AC6" w:rsidRDefault="00C047E1" w14:paraId="49069DC3" w14:textId="77777777">
      <w:pPr>
        <w:ind w:left="720"/>
        <w:jc w:val="both"/>
        <w:outlineLvl w:val="0"/>
        <w:rPr>
          <w:b/>
          <w:bCs/>
          <w:sz w:val="23"/>
          <w:szCs w:val="23"/>
          <w:lang w:val="es-PE"/>
        </w:rPr>
      </w:pPr>
      <w:r w:rsidRPr="00C047E1">
        <w:rPr>
          <w:b/>
          <w:bCs/>
          <w:sz w:val="23"/>
          <w:szCs w:val="23"/>
          <w:lang w:val="es-PE"/>
        </w:rPr>
        <w:t>b) Uno de los vehículos obligados a contratar el SOAT no cumplió con su obligación (supuesto establecido en el cuarto párrafo del artículo 17).</w:t>
      </w:r>
    </w:p>
    <w:p w:rsidRPr="00C047E1" w:rsidR="00C047E1" w:rsidP="00451AC6" w:rsidRDefault="00C047E1" w14:paraId="1DDF2E57" w14:textId="77777777">
      <w:pPr>
        <w:ind w:left="720"/>
        <w:jc w:val="both"/>
        <w:outlineLvl w:val="0"/>
        <w:rPr>
          <w:sz w:val="23"/>
          <w:szCs w:val="23"/>
          <w:lang w:val="es-PE"/>
        </w:rPr>
      </w:pPr>
    </w:p>
    <w:p w:rsidRPr="00C047E1" w:rsidR="00C047E1" w:rsidP="00451AC6" w:rsidRDefault="00C047E1" w14:paraId="16017F26" w14:textId="77777777">
      <w:pPr>
        <w:ind w:left="720"/>
        <w:jc w:val="both"/>
        <w:outlineLvl w:val="0"/>
        <w:rPr>
          <w:sz w:val="23"/>
          <w:szCs w:val="23"/>
          <w:lang w:val="es-PE"/>
        </w:rPr>
      </w:pPr>
      <w:r w:rsidRPr="00C047E1">
        <w:rPr>
          <w:sz w:val="23"/>
          <w:szCs w:val="23"/>
          <w:lang w:val="es-PE"/>
        </w:rPr>
        <w:t>En este supuesto la norma señala que “</w:t>
      </w:r>
      <w:r w:rsidRPr="00C047E1">
        <w:rPr>
          <w:i/>
          <w:sz w:val="23"/>
          <w:szCs w:val="23"/>
          <w:lang w:val="es-PE"/>
        </w:rPr>
        <w:t xml:space="preserve">el propietario, el conductor y en su caso, </w:t>
      </w:r>
      <w:proofErr w:type="gramStart"/>
      <w:r w:rsidRPr="00C047E1">
        <w:rPr>
          <w:i/>
          <w:sz w:val="23"/>
          <w:szCs w:val="23"/>
          <w:lang w:val="es-PE"/>
        </w:rPr>
        <w:t>el prestador del servicio de transporte responden solidariamente</w:t>
      </w:r>
      <w:proofErr w:type="gramEnd"/>
      <w:r w:rsidRPr="00C047E1">
        <w:rPr>
          <w:i/>
          <w:sz w:val="23"/>
          <w:szCs w:val="23"/>
          <w:lang w:val="es-PE"/>
        </w:rPr>
        <w:t xml:space="preserve"> </w:t>
      </w:r>
      <w:r w:rsidRPr="00C047E1">
        <w:rPr>
          <w:b/>
          <w:i/>
          <w:sz w:val="23"/>
          <w:szCs w:val="23"/>
          <w:lang w:val="es-PE"/>
        </w:rPr>
        <w:t xml:space="preserve">frente a los ocupantes de </w:t>
      </w:r>
      <w:r w:rsidRPr="00C047E1">
        <w:rPr>
          <w:b/>
          <w:i/>
          <w:sz w:val="23"/>
          <w:szCs w:val="23"/>
          <w:u w:val="single"/>
          <w:lang w:val="es-PE"/>
        </w:rPr>
        <w:t xml:space="preserve">dicho </w:t>
      </w:r>
      <w:r w:rsidRPr="00C047E1">
        <w:rPr>
          <w:b/>
          <w:i/>
          <w:sz w:val="23"/>
          <w:szCs w:val="23"/>
          <w:lang w:val="es-PE"/>
        </w:rPr>
        <w:t>vehículo, terceros no ocupantes</w:t>
      </w:r>
      <w:r w:rsidRPr="00C047E1">
        <w:rPr>
          <w:i/>
          <w:sz w:val="23"/>
          <w:szCs w:val="23"/>
          <w:lang w:val="es-PE"/>
        </w:rPr>
        <w:t xml:space="preserve">, establecimientos de salud y compañías de seguros por el monto de los gastos incurridos y/o indemnizaciones que éstos hubieren pagado a los accidentados frente a los cuales, los sujetos antes mencionados, resulten responsables”. </w:t>
      </w:r>
      <w:r w:rsidRPr="00C047E1">
        <w:rPr>
          <w:sz w:val="23"/>
          <w:szCs w:val="23"/>
          <w:lang w:val="es-PE"/>
        </w:rPr>
        <w:t>(El resaltado y subrayado es nuestro).</w:t>
      </w:r>
    </w:p>
    <w:p w:rsidRPr="00C047E1" w:rsidR="00C047E1" w:rsidP="00451AC6" w:rsidRDefault="00C047E1" w14:paraId="5277897A" w14:textId="77777777">
      <w:pPr>
        <w:ind w:left="720"/>
        <w:jc w:val="both"/>
        <w:outlineLvl w:val="0"/>
        <w:rPr>
          <w:sz w:val="23"/>
          <w:szCs w:val="23"/>
          <w:lang w:val="es-PE"/>
        </w:rPr>
      </w:pPr>
    </w:p>
    <w:p w:rsidRPr="00C047E1" w:rsidR="00C047E1" w:rsidP="00451AC6" w:rsidRDefault="00C047E1" w14:paraId="4EE201C2" w14:textId="77777777">
      <w:pPr>
        <w:ind w:left="720"/>
        <w:jc w:val="both"/>
        <w:outlineLvl w:val="0"/>
        <w:rPr>
          <w:sz w:val="23"/>
          <w:szCs w:val="23"/>
          <w:lang w:val="es-PE"/>
        </w:rPr>
      </w:pPr>
      <w:r w:rsidRPr="00C047E1">
        <w:rPr>
          <w:sz w:val="23"/>
          <w:szCs w:val="23"/>
          <w:lang w:val="es-PE"/>
        </w:rPr>
        <w:t xml:space="preserve">Como se aprecia de la lectura previa, en dicho supuesto, se sanciona solidariamente a tres personas vinculadas al vehículo que omitió contratar al SOAT: al propietario del vehículo, al conductor de este, o al prestador del servicio de transporte si fuera el caso. </w:t>
      </w:r>
    </w:p>
    <w:p w:rsidRPr="00C047E1" w:rsidR="00C047E1" w:rsidP="00451AC6" w:rsidRDefault="00C047E1" w14:paraId="4F6A53A8" w14:textId="77777777">
      <w:pPr>
        <w:ind w:left="720"/>
        <w:jc w:val="both"/>
        <w:outlineLvl w:val="0"/>
        <w:rPr>
          <w:sz w:val="23"/>
          <w:szCs w:val="23"/>
          <w:lang w:val="es-PE"/>
        </w:rPr>
      </w:pPr>
    </w:p>
    <w:p w:rsidRPr="00C047E1" w:rsidR="00C047E1" w:rsidP="00451AC6" w:rsidRDefault="00C047E1" w14:paraId="3D182840" w14:textId="77777777">
      <w:pPr>
        <w:ind w:left="720"/>
        <w:jc w:val="both"/>
        <w:outlineLvl w:val="0"/>
        <w:rPr>
          <w:sz w:val="23"/>
          <w:szCs w:val="23"/>
          <w:lang w:val="es-PE"/>
        </w:rPr>
      </w:pPr>
      <w:r w:rsidRPr="00C047E1">
        <w:rPr>
          <w:sz w:val="23"/>
          <w:szCs w:val="23"/>
          <w:lang w:val="es-PE"/>
        </w:rPr>
        <w:t xml:space="preserve">También se desprende de la parte final de este cuarto párrafo, lo siguiente: </w:t>
      </w:r>
    </w:p>
    <w:p w:rsidRPr="00C047E1" w:rsidR="00C047E1" w:rsidP="00451AC6" w:rsidRDefault="00C047E1" w14:paraId="62CCFF62" w14:textId="77777777">
      <w:pPr>
        <w:ind w:left="720"/>
        <w:jc w:val="both"/>
        <w:outlineLvl w:val="0"/>
        <w:rPr>
          <w:sz w:val="23"/>
          <w:szCs w:val="23"/>
          <w:lang w:val="es-PE"/>
        </w:rPr>
      </w:pPr>
    </w:p>
    <w:p w:rsidRPr="00C047E1" w:rsidR="00C047E1" w:rsidP="00451AC6" w:rsidRDefault="00C047E1" w14:paraId="6D6E2E29" w14:textId="26751745">
      <w:pPr>
        <w:numPr>
          <w:ilvl w:val="0"/>
          <w:numId w:val="29"/>
        </w:numPr>
        <w:ind w:left="1800"/>
        <w:jc w:val="both"/>
        <w:outlineLvl w:val="0"/>
        <w:rPr>
          <w:sz w:val="23"/>
          <w:szCs w:val="23"/>
          <w:lang w:val="es-PE"/>
        </w:rPr>
      </w:pPr>
      <w:r w:rsidRPr="2946D39C" w:rsidR="00C047E1">
        <w:rPr>
          <w:sz w:val="23"/>
          <w:szCs w:val="23"/>
          <w:lang w:val="es-PE"/>
        </w:rPr>
        <w:t xml:space="preserve">Que se distingue entre “ocupantes del vehículo” y entre “terceros no ocupantes”. Un ocupante del vehículo automotor sería entonces un pasajero o el conductor (en este caso el señor </w:t>
      </w:r>
      <w:r w:rsidRPr="2946D39C" w:rsidR="387A065D">
        <w:rPr>
          <w:sz w:val="23"/>
          <w:szCs w:val="23"/>
          <w:lang w:val="es-PE"/>
        </w:rPr>
        <w:t>.....................</w:t>
      </w:r>
      <w:r w:rsidRPr="2946D39C" w:rsidR="00C047E1">
        <w:rPr>
          <w:sz w:val="23"/>
          <w:szCs w:val="23"/>
          <w:lang w:val="es-PE"/>
        </w:rPr>
        <w:t xml:space="preserve"> que lamentablemente falleció en el accidente; y un tercero no ocupante sería un peatón o un tercero que se moviliza en un vehículo no automotor (bicicleta, </w:t>
      </w:r>
      <w:r w:rsidRPr="2946D39C" w:rsidR="00C047E1">
        <w:rPr>
          <w:sz w:val="23"/>
          <w:szCs w:val="23"/>
          <w:lang w:val="es-PE"/>
        </w:rPr>
        <w:t>etc</w:t>
      </w:r>
      <w:r w:rsidRPr="2946D39C" w:rsidR="00C047E1">
        <w:rPr>
          <w:sz w:val="23"/>
          <w:szCs w:val="23"/>
          <w:lang w:val="es-PE"/>
        </w:rPr>
        <w:t xml:space="preserve">); </w:t>
      </w:r>
    </w:p>
    <w:p w:rsidRPr="00C047E1" w:rsidR="00C047E1" w:rsidP="00451AC6" w:rsidRDefault="00C047E1" w14:paraId="36EDD9C0" w14:textId="77777777">
      <w:pPr>
        <w:ind w:left="720"/>
        <w:jc w:val="both"/>
        <w:outlineLvl w:val="0"/>
        <w:rPr>
          <w:sz w:val="23"/>
          <w:szCs w:val="23"/>
          <w:lang w:val="es-PE"/>
        </w:rPr>
      </w:pPr>
    </w:p>
    <w:p w:rsidRPr="00C047E1" w:rsidR="00C047E1" w:rsidP="00451AC6" w:rsidRDefault="00C047E1" w14:paraId="5DC76228" w14:textId="77777777">
      <w:pPr>
        <w:numPr>
          <w:ilvl w:val="0"/>
          <w:numId w:val="29"/>
        </w:numPr>
        <w:ind w:left="1800"/>
        <w:jc w:val="both"/>
        <w:outlineLvl w:val="0"/>
        <w:rPr>
          <w:sz w:val="23"/>
          <w:szCs w:val="23"/>
          <w:lang w:val="es-PE"/>
        </w:rPr>
      </w:pPr>
      <w:r w:rsidRPr="00C047E1">
        <w:rPr>
          <w:sz w:val="23"/>
          <w:szCs w:val="23"/>
          <w:lang w:val="es-PE"/>
        </w:rPr>
        <w:t xml:space="preserve">Que las compañías de seguros que hubieran pagado indemnizaciones </w:t>
      </w:r>
      <w:r w:rsidRPr="00C047E1">
        <w:rPr>
          <w:i/>
          <w:sz w:val="23"/>
          <w:szCs w:val="23"/>
          <w:lang w:val="es-PE"/>
        </w:rPr>
        <w:t>a los terceros no ocupantes respecto de los cuales tienen responsabilidad solidaria</w:t>
      </w:r>
      <w:r w:rsidRPr="00C047E1">
        <w:rPr>
          <w:sz w:val="23"/>
          <w:szCs w:val="23"/>
          <w:lang w:val="es-PE"/>
        </w:rPr>
        <w:t>, podrán repetir contra el propietario o conductor (o empresa de prestadora del servicio de transporte, si corresponde) por la responsabilidad que a estos últimos les compete.</w:t>
      </w:r>
    </w:p>
    <w:p w:rsidRPr="00C047E1" w:rsidR="00C047E1" w:rsidP="00C047E1" w:rsidRDefault="00C047E1" w14:paraId="450D7657" w14:textId="77777777">
      <w:pPr>
        <w:jc w:val="both"/>
        <w:outlineLvl w:val="0"/>
        <w:rPr>
          <w:sz w:val="23"/>
          <w:szCs w:val="23"/>
          <w:lang w:val="es-PE"/>
        </w:rPr>
      </w:pPr>
    </w:p>
    <w:p w:rsidRPr="00C047E1" w:rsidR="00C047E1" w:rsidP="00C047E1" w:rsidRDefault="00C047E1" w14:paraId="3081D155" w14:textId="77777777">
      <w:pPr>
        <w:jc w:val="both"/>
        <w:outlineLvl w:val="0"/>
        <w:rPr>
          <w:sz w:val="23"/>
          <w:szCs w:val="23"/>
          <w:lang w:val="es-PE"/>
        </w:rPr>
      </w:pPr>
      <w:r w:rsidRPr="00C047E1">
        <w:rPr>
          <w:sz w:val="23"/>
          <w:szCs w:val="23"/>
          <w:lang w:val="es-PE"/>
        </w:rPr>
        <w:t xml:space="preserve">La reclamante solicita la cobertura respecto del conductor del vehículo que no contaba con SOAT. No obstante, de acuerdo con lo expuesto precedentemente el conductor no tenía la condición de “tercero no ocupante, siendo que la ley solo presume la responsabilidad solidaria de las aseguradoras respecto de los “terceros no ocupantes”. </w:t>
      </w:r>
    </w:p>
    <w:p w:rsidRPr="00C047E1" w:rsidR="00C047E1" w:rsidP="00C047E1" w:rsidRDefault="00C047E1" w14:paraId="7F4868AA" w14:textId="77777777">
      <w:pPr>
        <w:jc w:val="both"/>
        <w:outlineLvl w:val="0"/>
        <w:rPr>
          <w:sz w:val="23"/>
          <w:szCs w:val="23"/>
          <w:lang w:val="es-PE"/>
        </w:rPr>
      </w:pPr>
    </w:p>
    <w:p w:rsidRPr="00C047E1" w:rsidR="00C047E1" w:rsidP="00C047E1" w:rsidRDefault="00C047E1" w14:paraId="17E44A34" w14:textId="77777777">
      <w:pPr>
        <w:jc w:val="both"/>
        <w:outlineLvl w:val="0"/>
        <w:rPr>
          <w:sz w:val="23"/>
          <w:szCs w:val="23"/>
        </w:rPr>
      </w:pPr>
      <w:r w:rsidRPr="00C047E1">
        <w:rPr>
          <w:sz w:val="23"/>
          <w:szCs w:val="23"/>
          <w:lang w:val="es-PE"/>
        </w:rPr>
        <w:t xml:space="preserve">En otras palabras, del señalado texto normativo no puede desprenderse que la aseguradora deba cubrir, haciendo efectivas las coberturas de la póliza SOAT contratada por su cliente, los daños </w:t>
      </w:r>
      <w:r w:rsidRPr="00C047E1">
        <w:rPr>
          <w:sz w:val="23"/>
          <w:szCs w:val="23"/>
          <w:lang w:val="es-PE"/>
        </w:rPr>
        <w:lastRenderedPageBreak/>
        <w:t>soportados por el conductor y/o los ocupantes de la otra unidad vehicular que participó en los hechos, al margen que la calificación de la actuación del conductor de la unidad asegurada sea concluyente, coadyuvante o ajena a lo sucedido.  En tal virtud, corresponde que los damnificados hagan efectiva la cobertura del propio SOAT que hubiese sido contratado, en el presente caso tratándose de la unidad vehicular (moto)</w:t>
      </w:r>
      <w:r w:rsidRPr="00C047E1">
        <w:rPr>
          <w:sz w:val="23"/>
          <w:szCs w:val="23"/>
        </w:rPr>
        <w:t>.  Si en el presente caso, dicha unidad circulaba en la vía pública sin contar con una póliza SOAT, válida y vigente, ello corresponde a un riesgo asumido consciente o negligentemente por el conductor.</w:t>
      </w:r>
    </w:p>
    <w:p w:rsidRPr="00C047E1" w:rsidR="00C047E1" w:rsidP="00C047E1" w:rsidRDefault="00C047E1" w14:paraId="2BFF7DE4" w14:textId="77777777">
      <w:pPr>
        <w:jc w:val="both"/>
        <w:outlineLvl w:val="0"/>
        <w:rPr>
          <w:sz w:val="23"/>
          <w:szCs w:val="23"/>
        </w:rPr>
      </w:pPr>
    </w:p>
    <w:p w:rsidRPr="00C047E1" w:rsidR="00C047E1" w:rsidP="00C047E1" w:rsidRDefault="00C047E1" w14:paraId="038D54DF" w14:textId="77777777">
      <w:pPr>
        <w:jc w:val="both"/>
        <w:outlineLvl w:val="0"/>
        <w:rPr>
          <w:sz w:val="23"/>
          <w:szCs w:val="23"/>
          <w:lang w:val="es-PE"/>
        </w:rPr>
      </w:pPr>
      <w:r w:rsidRPr="00C047E1">
        <w:rPr>
          <w:sz w:val="23"/>
          <w:szCs w:val="23"/>
        </w:rPr>
        <w:t xml:space="preserve">En efecto, el párrafo en cuestión indica: </w:t>
      </w:r>
      <w:r w:rsidRPr="00C047E1">
        <w:rPr>
          <w:i/>
          <w:sz w:val="23"/>
          <w:szCs w:val="23"/>
        </w:rPr>
        <w:t xml:space="preserve">“En caso de </w:t>
      </w:r>
      <w:r w:rsidRPr="00C047E1">
        <w:rPr>
          <w:b/>
          <w:i/>
          <w:sz w:val="23"/>
          <w:szCs w:val="23"/>
        </w:rPr>
        <w:t>peatones o terceros no ocupantes</w:t>
      </w:r>
      <w:r w:rsidRPr="00C047E1">
        <w:rPr>
          <w:i/>
          <w:sz w:val="23"/>
          <w:szCs w:val="23"/>
        </w:rPr>
        <w:t xml:space="preserve"> de vehículos automotores, las compañías de seguros intervinientes serán responsables solidariamente de las indemnizaciones que correspondan a dichas personas o su (s) beneficiario (s).” </w:t>
      </w:r>
      <w:r w:rsidRPr="00C047E1">
        <w:rPr>
          <w:sz w:val="23"/>
          <w:szCs w:val="23"/>
        </w:rPr>
        <w:t xml:space="preserve">Si la intención de la norma hubiera sido que dicha responsabilidad solidaria (sin perjuicio del derecho de repetición consagrado en el siguiente párrafo de la norma) se extendiera a los terceros ocupantes del vehículo que omitió contratar el SOAT, hubiera indicado: </w:t>
      </w:r>
      <w:r w:rsidRPr="00C047E1">
        <w:rPr>
          <w:i/>
          <w:sz w:val="23"/>
          <w:szCs w:val="23"/>
        </w:rPr>
        <w:t xml:space="preserve">“En caso de peatones, terceros no ocupantes </w:t>
      </w:r>
      <w:r w:rsidRPr="00C047E1">
        <w:rPr>
          <w:b/>
          <w:i/>
          <w:sz w:val="23"/>
          <w:szCs w:val="23"/>
        </w:rPr>
        <w:t>u ocupantes de vehículos automotores participantes en el accidente, incluido el propio conductor del vehículo sin SOAT</w:t>
      </w:r>
      <w:r w:rsidRPr="00C047E1">
        <w:rPr>
          <w:i/>
          <w:sz w:val="23"/>
          <w:szCs w:val="23"/>
        </w:rPr>
        <w:t>, las compañías de seguros intervinientes serán responsables solidariamente (…)”</w:t>
      </w:r>
      <w:r w:rsidRPr="00C047E1">
        <w:rPr>
          <w:sz w:val="23"/>
          <w:szCs w:val="23"/>
        </w:rPr>
        <w:t>; pues conforme se recoge en nuestro ordenamiento legal la solidaridad no se presume “s</w:t>
      </w:r>
      <w:r w:rsidRPr="00C047E1">
        <w:rPr>
          <w:i/>
          <w:sz w:val="23"/>
          <w:szCs w:val="23"/>
        </w:rPr>
        <w:t xml:space="preserve">ólo la ley o el título de la obligación la establecen en forma expresa”, </w:t>
      </w:r>
      <w:r w:rsidRPr="00C047E1">
        <w:rPr>
          <w:sz w:val="23"/>
          <w:szCs w:val="23"/>
        </w:rPr>
        <w:t>tal como se señala en el artículo 1183 del Código Civil</w:t>
      </w:r>
      <w:r w:rsidRPr="00C047E1">
        <w:rPr>
          <w:i/>
          <w:sz w:val="23"/>
          <w:szCs w:val="23"/>
        </w:rPr>
        <w:t xml:space="preserve">. </w:t>
      </w:r>
      <w:r w:rsidRPr="00C047E1">
        <w:rPr>
          <w:sz w:val="23"/>
          <w:szCs w:val="23"/>
        </w:rPr>
        <w:t xml:space="preserve">Asimismo, la séptima regla de interpretación de la ley del contrato de seguro, señala que </w:t>
      </w:r>
      <w:r w:rsidRPr="00C047E1">
        <w:rPr>
          <w:i/>
          <w:sz w:val="23"/>
          <w:szCs w:val="23"/>
        </w:rPr>
        <w:t>“</w:t>
      </w:r>
      <w:r w:rsidRPr="00C047E1">
        <w:rPr>
          <w:i/>
          <w:sz w:val="23"/>
          <w:szCs w:val="23"/>
          <w:lang w:val="es-PE"/>
        </w:rPr>
        <w:t>La cobertura, exclusiones y, en general, la extensión del riesgo así como los derechos de los beneficiarios, previstos en el contrato de seguro, deben interpretarse literalmente”</w:t>
      </w:r>
      <w:r w:rsidRPr="00C047E1">
        <w:rPr>
          <w:sz w:val="23"/>
          <w:szCs w:val="23"/>
          <w:lang w:val="es-PE"/>
        </w:rPr>
        <w:t xml:space="preserve">; debiendo resaltarse que tanto la Ley del Contrato de Seguro, como el Código Civil son de aplicación supletoria a las normas del SOAT, tal como expresamente lo reconoce el artículo I de las Disposiciones Generales de la Ley 29946 y el artículo IX del Título Preliminar del Código Civil. </w:t>
      </w:r>
    </w:p>
    <w:p w:rsidRPr="00C047E1" w:rsidR="00C047E1" w:rsidP="00C047E1" w:rsidRDefault="00C047E1" w14:paraId="5FFD9599" w14:textId="77777777">
      <w:pPr>
        <w:jc w:val="both"/>
        <w:outlineLvl w:val="0"/>
        <w:rPr>
          <w:sz w:val="23"/>
          <w:szCs w:val="23"/>
          <w:lang w:val="es-PE"/>
        </w:rPr>
      </w:pPr>
    </w:p>
    <w:p w:rsidRPr="00C047E1" w:rsidR="00C047E1" w:rsidP="00C047E1" w:rsidRDefault="00C047E1" w14:paraId="1E60FD54" w14:textId="77777777">
      <w:pPr>
        <w:jc w:val="both"/>
        <w:outlineLvl w:val="0"/>
        <w:rPr>
          <w:sz w:val="23"/>
          <w:szCs w:val="23"/>
          <w:lang w:val="es-PE"/>
        </w:rPr>
      </w:pPr>
      <w:r w:rsidRPr="00C047E1">
        <w:rPr>
          <w:sz w:val="23"/>
          <w:szCs w:val="23"/>
          <w:lang w:val="es-PE"/>
        </w:rPr>
        <w:t xml:space="preserve">Ello no afecta la finalidad y espíritu del SOAT que es no dejar desprotegidos a los terceros que se ven afectados en un accidente de tránsito, pues respecto de ellos la solidaridad se mantiene. Los terceros no ocupantes podrán accionar contra alguna de las compañías de seguros que tuviera el SOAT de alguna de las unidades vehiculares involucradas en el accidente; y, los ocupantes de un vehículo que debió contar con </w:t>
      </w:r>
      <w:proofErr w:type="gramStart"/>
      <w:r w:rsidRPr="00C047E1">
        <w:rPr>
          <w:sz w:val="23"/>
          <w:szCs w:val="23"/>
          <w:lang w:val="es-PE"/>
        </w:rPr>
        <w:t>SOAT,</w:t>
      </w:r>
      <w:proofErr w:type="gramEnd"/>
      <w:r w:rsidRPr="00C047E1">
        <w:rPr>
          <w:sz w:val="23"/>
          <w:szCs w:val="23"/>
          <w:lang w:val="es-PE"/>
        </w:rPr>
        <w:t xml:space="preserve"> pueden accionar contra el propietario o conductor del vehículo que debió preocuparse de contar con un SOAT vigente. No tendría sentido que se interprete que la aseguradora del vehículo que sí contaba con SOAT deba responder solidariamente frente al conductor del vehículo que no contaba con SOAT para luego repetir contra el mismo conductor por el monto asumido, pues no existe duda que el último párrafo del artículo 17 del D.S. 024-2002-MTC lo sanciona con dicha responsabilidad solidaria (junto con el propietario y/o el prestador del servicio de transporte, según corresponda).</w:t>
      </w:r>
    </w:p>
    <w:p w:rsidRPr="00C047E1" w:rsidR="00C047E1" w:rsidP="00C047E1" w:rsidRDefault="00C047E1" w14:paraId="09E344D4" w14:textId="77777777">
      <w:pPr>
        <w:jc w:val="both"/>
        <w:outlineLvl w:val="0"/>
        <w:rPr>
          <w:sz w:val="23"/>
          <w:szCs w:val="23"/>
          <w:lang w:val="es-PE"/>
        </w:rPr>
      </w:pPr>
    </w:p>
    <w:p w:rsidRPr="00C047E1" w:rsidR="00C047E1" w:rsidP="00C047E1" w:rsidRDefault="00C047E1" w14:paraId="6ED42D2A" w14:textId="77777777">
      <w:pPr>
        <w:jc w:val="both"/>
        <w:outlineLvl w:val="0"/>
        <w:rPr>
          <w:sz w:val="23"/>
          <w:szCs w:val="23"/>
          <w:lang w:val="es-PE"/>
        </w:rPr>
      </w:pPr>
      <w:r w:rsidRPr="00C047E1">
        <w:rPr>
          <w:sz w:val="23"/>
          <w:szCs w:val="23"/>
          <w:lang w:val="es-PE"/>
        </w:rPr>
        <w:t xml:space="preserve">En este sentido, esta Defensoría tiene a bien precisar que mantiene el criterio recogido en la Resolución 062/2010, la misma que fue emitida en el año 2010, cuyos sexto y sétimo considerandos se reproducen a continuación: </w:t>
      </w:r>
    </w:p>
    <w:p w:rsidRPr="00C047E1" w:rsidR="00C047E1" w:rsidP="00C047E1" w:rsidRDefault="00C047E1" w14:paraId="5CD58E48" w14:textId="77777777">
      <w:pPr>
        <w:jc w:val="both"/>
        <w:outlineLvl w:val="0"/>
        <w:rPr>
          <w:sz w:val="23"/>
          <w:szCs w:val="23"/>
          <w:lang w:val="es-PE"/>
        </w:rPr>
      </w:pPr>
    </w:p>
    <w:p w:rsidRPr="00C047E1" w:rsidR="00C047E1" w:rsidP="00A349D8" w:rsidRDefault="00C047E1" w14:paraId="07C03AE6" w14:textId="77777777">
      <w:pPr>
        <w:ind w:left="720"/>
        <w:jc w:val="both"/>
        <w:outlineLvl w:val="0"/>
        <w:rPr>
          <w:i/>
          <w:sz w:val="23"/>
          <w:szCs w:val="23"/>
          <w:lang w:val="es-PE"/>
        </w:rPr>
      </w:pPr>
      <w:r w:rsidRPr="00C047E1">
        <w:rPr>
          <w:i/>
          <w:sz w:val="23"/>
          <w:szCs w:val="23"/>
          <w:lang w:val="es-PE"/>
        </w:rPr>
        <w:t>“</w:t>
      </w:r>
      <w:r w:rsidRPr="00C047E1">
        <w:rPr>
          <w:i/>
          <w:sz w:val="23"/>
          <w:szCs w:val="23"/>
          <w:u w:val="single"/>
          <w:lang w:val="es-PE"/>
        </w:rPr>
        <w:t>SEXTO</w:t>
      </w:r>
      <w:r w:rsidRPr="00C047E1">
        <w:rPr>
          <w:i/>
          <w:sz w:val="23"/>
          <w:szCs w:val="23"/>
          <w:lang w:val="es-PE"/>
        </w:rPr>
        <w:t xml:space="preserve">:  Este Colegiado mantiene el criterio conforme al cual, de la lectura de la norma reproducida en el considerando precedente, y por más que el SOAT sea un seguro de contratación obligatoria y con finalidad social, no puede inferirse o concluirse que, tratándose de accidentes en que hayan participado al menos dos unidades vehiculares (una de las cuales cuenta con SOAT y la otra no), que la aseguradora de la primera de las unidades esté obligada a otorgar cobertura a quienes son los ocupantes de la segunda unidad, siendo que una conclusión semejante es ajena no sólo al texto legal sino a la propia lógica del seguro en que la prima se estructura en función al riesgo </w:t>
      </w:r>
      <w:r w:rsidRPr="00C047E1">
        <w:rPr>
          <w:i/>
          <w:sz w:val="23"/>
          <w:szCs w:val="23"/>
          <w:lang w:val="es-PE"/>
        </w:rPr>
        <w:lastRenderedPageBreak/>
        <w:t xml:space="preserve">asegurado, siendo que dicha interpretación generaría un desincentivo para contratar el SOAT.  Lo que establece claramente la norma bajo comentario (primer párrafo) es </w:t>
      </w:r>
      <w:proofErr w:type="gramStart"/>
      <w:r w:rsidRPr="00C047E1">
        <w:rPr>
          <w:i/>
          <w:sz w:val="23"/>
          <w:szCs w:val="23"/>
          <w:lang w:val="es-PE"/>
        </w:rPr>
        <w:t>que</w:t>
      </w:r>
      <w:proofErr w:type="gramEnd"/>
      <w:r w:rsidRPr="00C047E1">
        <w:rPr>
          <w:i/>
          <w:sz w:val="23"/>
          <w:szCs w:val="23"/>
          <w:lang w:val="es-PE"/>
        </w:rPr>
        <w:t xml:space="preserve"> si </w:t>
      </w:r>
      <w:proofErr w:type="gramStart"/>
      <w:r w:rsidRPr="00C047E1">
        <w:rPr>
          <w:i/>
          <w:sz w:val="23"/>
          <w:szCs w:val="23"/>
          <w:lang w:val="es-PE"/>
        </w:rPr>
        <w:t>ambas unidades vehiculares cuenta</w:t>
      </w:r>
      <w:proofErr w:type="gramEnd"/>
      <w:r w:rsidRPr="00C047E1">
        <w:rPr>
          <w:i/>
          <w:sz w:val="23"/>
          <w:szCs w:val="23"/>
          <w:lang w:val="es-PE"/>
        </w:rPr>
        <w:t xml:space="preserve"> con SOAT, cada aseguradora otorga cobertura a los ocupantes de la unidad que ha asegurado, y (segundo párrafo) tratándose de peatones o terceros (esto es, no ocupantes) se genera la responsabilidad solidaria entre las aseguradoras.  Y en el caso que una unidad carezca de SOAT (cuarto párrafo), tratándose de sus ocupantes, asumen responsabilidad solidaria el propietario, el conductor y el prestador del servicio de transporte terrestre, de ser el caso; en ese orden de ideas, en el texto no se dispone que dicha solidaridad se haga extensiva a la aseguradora de la unidad que sí cuenta con SOAT.  Siendo que la solidaridad es una excepción a la regla general de responsabilidad simple o parciaria, y que sólo proviene o se instituye mediante pacto o por disposición legal, resulta evidente que la pretendida solidaridad objeto del reclamo no se desprende del tenor del artículo 17 del Reglamento </w:t>
      </w:r>
      <w:r w:rsidRPr="00C047E1">
        <w:rPr>
          <w:i/>
          <w:sz w:val="23"/>
          <w:szCs w:val="23"/>
        </w:rPr>
        <w:t xml:space="preserve">Nacional de Responsabilidad Civil y Seguros Obligatorios por Accidentes de Tránsito, en particular de su cuarto ý último párrafo, siendo que postular lo contrario corresponde a una interpretación contra </w:t>
      </w:r>
      <w:proofErr w:type="spellStart"/>
      <w:r w:rsidRPr="00C047E1">
        <w:rPr>
          <w:i/>
          <w:sz w:val="23"/>
          <w:szCs w:val="23"/>
        </w:rPr>
        <w:t>legem</w:t>
      </w:r>
      <w:proofErr w:type="spellEnd"/>
      <w:r w:rsidRPr="00C047E1">
        <w:rPr>
          <w:i/>
          <w:sz w:val="23"/>
          <w:szCs w:val="23"/>
        </w:rPr>
        <w:t xml:space="preserve">, sine ius, careciendo de todo sustento afirmar que la finalidad (ratio </w:t>
      </w:r>
      <w:proofErr w:type="spellStart"/>
      <w:r w:rsidRPr="00C047E1">
        <w:rPr>
          <w:i/>
          <w:sz w:val="23"/>
          <w:szCs w:val="23"/>
        </w:rPr>
        <w:t>legis</w:t>
      </w:r>
      <w:proofErr w:type="spellEnd"/>
      <w:r w:rsidRPr="00C047E1">
        <w:rPr>
          <w:i/>
          <w:sz w:val="23"/>
          <w:szCs w:val="23"/>
        </w:rPr>
        <w:t>) del señalado cuarto párrafo es otorgar cobertura inmediata e incondicional a todas las víctimas de una accidente, más aún cuando la norma reglamentaria distingue expresamente entre ocupante y peatones o terceros no ocupantes, estableciendo regímenes aplicables distintos.</w:t>
      </w:r>
    </w:p>
    <w:p w:rsidRPr="00C047E1" w:rsidR="00C047E1" w:rsidP="00A349D8" w:rsidRDefault="00C047E1" w14:paraId="74A03BC1" w14:textId="77777777">
      <w:pPr>
        <w:ind w:left="720"/>
        <w:jc w:val="both"/>
        <w:outlineLvl w:val="0"/>
        <w:rPr>
          <w:i/>
          <w:sz w:val="23"/>
          <w:szCs w:val="23"/>
          <w:lang w:val="es-PE"/>
        </w:rPr>
      </w:pPr>
    </w:p>
    <w:p w:rsidRPr="00C047E1" w:rsidR="00C047E1" w:rsidP="00A349D8" w:rsidRDefault="00C047E1" w14:paraId="42214FC7" w14:textId="77777777">
      <w:pPr>
        <w:ind w:left="720"/>
        <w:jc w:val="both"/>
        <w:outlineLvl w:val="0"/>
        <w:rPr>
          <w:i/>
          <w:sz w:val="23"/>
          <w:szCs w:val="23"/>
          <w:lang w:val="es-PE"/>
        </w:rPr>
      </w:pPr>
      <w:r w:rsidRPr="00C047E1">
        <w:rPr>
          <w:i/>
          <w:sz w:val="23"/>
          <w:szCs w:val="23"/>
          <w:u w:val="single"/>
          <w:lang w:val="es-PE"/>
        </w:rPr>
        <w:t>SÉTIMO</w:t>
      </w:r>
      <w:r w:rsidRPr="00C047E1">
        <w:rPr>
          <w:i/>
          <w:sz w:val="23"/>
          <w:szCs w:val="23"/>
          <w:lang w:val="es-PE"/>
        </w:rPr>
        <w:t xml:space="preserve">: A mayor abundamiento, este Colegiado estima que la interpretación postulada por la reclamante resulta siendo finalmente contradictoria con la propia obligatoriedad de contratar el SOAT, por lo que de acogerse aquélla se estaría generando un grave desincentivo para dicha contratación y derivaría en un colapso de las aseguradoras dedicadas a otorgar este tipo de coberturas, o en un incremento tan grave del importe de las primas que generaría un seguro de contratación inviable con un mayor impacto de malestar social, ya que las víctimas de un accidente sólo podrían cobrar una indemnización luego de seguir y ganar un proceso judicial, situación que evita el SOAT por su naturaleza de seguro indemnizatorio antes que de responsabilidad civil.  En ese orden de ideas, no puede ni debe confundirse los alcances del artículo 4° y 14° del </w:t>
      </w:r>
      <w:r w:rsidRPr="00C047E1">
        <w:rPr>
          <w:i/>
          <w:sz w:val="23"/>
          <w:szCs w:val="23"/>
        </w:rPr>
        <w:t xml:space="preserve">Reglamento Nacional de Responsabilidad Civil y Seguros Obligatorios por Accidentes de Tránsito, sobre inmediatez e incondicionalidad del pago indemnizatorio, con un tema de solidaridad para el pago, más </w:t>
      </w:r>
      <w:proofErr w:type="spellStart"/>
      <w:proofErr w:type="gramStart"/>
      <w:r w:rsidRPr="00C047E1">
        <w:rPr>
          <w:i/>
          <w:sz w:val="23"/>
          <w:szCs w:val="23"/>
        </w:rPr>
        <w:t>aun</w:t>
      </w:r>
      <w:proofErr w:type="spellEnd"/>
      <w:proofErr w:type="gramEnd"/>
      <w:r w:rsidRPr="00C047E1">
        <w:rPr>
          <w:i/>
          <w:sz w:val="23"/>
          <w:szCs w:val="23"/>
        </w:rPr>
        <w:t xml:space="preserve"> cuando la pretendida solidaridad invocada no ha sido considerada por el legislador, por lo que resulta improcedente postularla vía interpretación.”</w:t>
      </w:r>
    </w:p>
    <w:p w:rsidRPr="00C047E1" w:rsidR="00C047E1" w:rsidP="00C047E1" w:rsidRDefault="00C047E1" w14:paraId="12FE5818" w14:textId="77777777">
      <w:pPr>
        <w:jc w:val="both"/>
        <w:outlineLvl w:val="0"/>
        <w:rPr>
          <w:sz w:val="23"/>
          <w:szCs w:val="23"/>
          <w:lang w:val="es-PE"/>
        </w:rPr>
      </w:pPr>
    </w:p>
    <w:p w:rsidRPr="00C047E1" w:rsidR="00C047E1" w:rsidP="00C047E1" w:rsidRDefault="00C047E1" w14:paraId="4286392E" w14:textId="77777777">
      <w:pPr>
        <w:jc w:val="both"/>
        <w:outlineLvl w:val="0"/>
        <w:rPr>
          <w:sz w:val="23"/>
          <w:szCs w:val="23"/>
          <w:lang w:val="es-PE"/>
        </w:rPr>
      </w:pPr>
      <w:r w:rsidRPr="00C047E1">
        <w:rPr>
          <w:b/>
          <w:bCs/>
          <w:sz w:val="23"/>
          <w:szCs w:val="23"/>
          <w:u w:val="single"/>
          <w:lang w:val="es-PE"/>
        </w:rPr>
        <w:t>SEXTO:</w:t>
      </w:r>
      <w:r w:rsidRPr="00C047E1">
        <w:rPr>
          <w:sz w:val="23"/>
          <w:szCs w:val="23"/>
          <w:lang w:val="es-PE"/>
        </w:rPr>
        <w:t xml:space="preserve"> Cabe precisar que la sentencia recaída en el expediente 2736-2004 PA/TC, la misma hace una referencia genérica de los sujetos que busca cubrir el SOAT, a fin de pronunciarse sobre la constitucionalidad de las normas que establecen la obligación de contratar el SOAT, y no se refiere a que la aseguradora de un vehículo que contrató SOAT deba cubrir a los ocupantes de un vehículo que no lo contrató, por lo que no resulta aplicable al presente caso. </w:t>
      </w:r>
    </w:p>
    <w:p w:rsidRPr="00C047E1" w:rsidR="00C047E1" w:rsidP="00C047E1" w:rsidRDefault="00C047E1" w14:paraId="324C76D9" w14:textId="77777777">
      <w:pPr>
        <w:jc w:val="both"/>
        <w:outlineLvl w:val="0"/>
        <w:rPr>
          <w:sz w:val="23"/>
          <w:szCs w:val="23"/>
          <w:lang w:val="es-PE"/>
        </w:rPr>
      </w:pPr>
    </w:p>
    <w:p w:rsidRPr="00C047E1" w:rsidR="00C047E1" w:rsidP="00C047E1" w:rsidRDefault="00C047E1" w14:paraId="3A783434" w14:textId="77777777">
      <w:pPr>
        <w:jc w:val="both"/>
        <w:outlineLvl w:val="0"/>
        <w:rPr>
          <w:sz w:val="23"/>
          <w:szCs w:val="23"/>
          <w:lang w:val="es-PE"/>
        </w:rPr>
      </w:pPr>
      <w:r w:rsidRPr="00C047E1">
        <w:rPr>
          <w:sz w:val="23"/>
          <w:szCs w:val="23"/>
          <w:lang w:val="es-PE"/>
        </w:rPr>
        <w:t xml:space="preserve">En lo que respecta a la Casación </w:t>
      </w:r>
      <w:proofErr w:type="spellStart"/>
      <w:r w:rsidRPr="00C047E1">
        <w:rPr>
          <w:sz w:val="23"/>
          <w:szCs w:val="23"/>
          <w:lang w:val="es-PE"/>
        </w:rPr>
        <w:t>Nº</w:t>
      </w:r>
      <w:proofErr w:type="spellEnd"/>
      <w:r w:rsidRPr="00C047E1">
        <w:rPr>
          <w:sz w:val="23"/>
          <w:szCs w:val="23"/>
          <w:lang w:val="es-PE"/>
        </w:rPr>
        <w:t xml:space="preserve"> 10192-2016, la misma sí se refiere al supuesto en el que una unidad vehicular contrató SOAT y la otra no, y concluye en el sentido que las aseguradoras deben dar cobertura a los terceros ocupantes del vehículo que no contrató SOAT, declarando fundada la resolución de Indecopi que se pronunció en ese sentido y ordenó el pago de gastos de sepelio a favor de un menor que era ocupante -no conductor- de la unidad que no contaba con SOAT. </w:t>
      </w:r>
    </w:p>
    <w:p w:rsidRPr="00C047E1" w:rsidR="00C047E1" w:rsidP="00C047E1" w:rsidRDefault="00C047E1" w14:paraId="307792C5" w14:textId="77777777">
      <w:pPr>
        <w:jc w:val="both"/>
        <w:outlineLvl w:val="0"/>
        <w:rPr>
          <w:sz w:val="23"/>
          <w:szCs w:val="23"/>
          <w:lang w:val="es-PE"/>
        </w:rPr>
      </w:pPr>
    </w:p>
    <w:p w:rsidRPr="00C047E1" w:rsidR="00C047E1" w:rsidP="00C047E1" w:rsidRDefault="00C047E1" w14:paraId="76466E46" w14:textId="77777777">
      <w:pPr>
        <w:jc w:val="both"/>
        <w:outlineLvl w:val="0"/>
        <w:rPr>
          <w:sz w:val="23"/>
          <w:szCs w:val="23"/>
          <w:lang w:val="es-PE"/>
        </w:rPr>
      </w:pPr>
      <w:r w:rsidRPr="00C047E1">
        <w:rPr>
          <w:sz w:val="23"/>
          <w:szCs w:val="23"/>
          <w:lang w:val="es-PE"/>
        </w:rPr>
        <w:lastRenderedPageBreak/>
        <w:t xml:space="preserve">No obstante, la sentencia </w:t>
      </w:r>
      <w:proofErr w:type="spellStart"/>
      <w:r w:rsidRPr="00C047E1">
        <w:rPr>
          <w:sz w:val="23"/>
          <w:szCs w:val="23"/>
          <w:lang w:val="es-PE"/>
        </w:rPr>
        <w:t>casatoria</w:t>
      </w:r>
      <w:proofErr w:type="spellEnd"/>
      <w:r w:rsidRPr="00C047E1">
        <w:rPr>
          <w:sz w:val="23"/>
          <w:szCs w:val="23"/>
          <w:lang w:val="es-PE"/>
        </w:rPr>
        <w:t xml:space="preserve"> no ha sido emitida con carácter vinculante, por lo que no constituye un precedente de observancia obligatoria, sin ahondar en el hecho que fue resulta en mayoría existiendo un voto en minoría que se pronunció en sentido contrario. Sin perjuicio de lo expuesto, se advierte que en dicho expediente se reclama la cobertura de gastos de sepelio de un ocupante no conductor de la moto que no contaba con SOAT (en ella iban el conductor y 3 personas más); siendo por tanto un caso diferente al que nos ocupa en el que se reclama la cobertura respecto del propio conductor de la moto que no contaba con SOAT, y al que la ley sanciona indicando que es él o el propietario quienes deberá responder solidariamente frente a los ocupantes de dicho vehículo o terceros no ocupantes por los gastos incurridos y/o indemnizaciones que se hubieran pagado. Si bien Indecopi y la sentencia </w:t>
      </w:r>
      <w:proofErr w:type="spellStart"/>
      <w:r w:rsidRPr="00C047E1">
        <w:rPr>
          <w:sz w:val="23"/>
          <w:szCs w:val="23"/>
          <w:lang w:val="es-PE"/>
        </w:rPr>
        <w:t>casatoria</w:t>
      </w:r>
      <w:proofErr w:type="spellEnd"/>
      <w:r w:rsidRPr="00C047E1">
        <w:rPr>
          <w:sz w:val="23"/>
          <w:szCs w:val="23"/>
          <w:lang w:val="es-PE"/>
        </w:rPr>
        <w:t xml:space="preserve"> consideran en el caso analizado en la casación que la compañía de seguros de la unidad que contrató el SOAT debió pagar al menor pasajero de la unidad que no contrató el SOAT, pudiendo luego repetir contra el conductor, propietario o prestador del servicio de transporte conforme al artículo 17 antes citado; no se refiere al propio conductor; y, no tendría sentido que así fuera, pues mal podría darse cobertura a un conductor que negligentemente conduce un vehículo sin SOAT, indemnizándolo para luego repetir contra el mismo. </w:t>
      </w:r>
    </w:p>
    <w:p w:rsidRPr="00C047E1" w:rsidR="00C047E1" w:rsidP="00C047E1" w:rsidRDefault="00C047E1" w14:paraId="0701640D" w14:textId="77777777">
      <w:pPr>
        <w:jc w:val="both"/>
        <w:outlineLvl w:val="0"/>
        <w:rPr>
          <w:sz w:val="23"/>
          <w:szCs w:val="23"/>
          <w:lang w:val="es-PE"/>
        </w:rPr>
      </w:pPr>
    </w:p>
    <w:p w:rsidRPr="00C047E1" w:rsidR="00C047E1" w:rsidP="00C047E1" w:rsidRDefault="00C047E1" w14:paraId="3F01C7AF" w14:textId="283F9CEC">
      <w:pPr>
        <w:jc w:val="both"/>
        <w:outlineLvl w:val="0"/>
        <w:rPr>
          <w:sz w:val="23"/>
          <w:szCs w:val="23"/>
          <w:lang w:val="es-PE"/>
        </w:rPr>
      </w:pPr>
      <w:r w:rsidRPr="00C047E1">
        <w:rPr>
          <w:sz w:val="23"/>
          <w:szCs w:val="23"/>
          <w:lang w:val="es-PE"/>
        </w:rPr>
        <w:t xml:space="preserve">En efecto, existe jurisprudencia de Indecopi que ratifica dicho criterio, es decir, que el SOAT del vehículo asegurado no alcanza al conductor del vehículo sin SOAT. Por lo que aun cuando este colegiado no coincide con todos los argumentos de dicha jurisprudencia -pues conforme se ha referido en el considerando precedente esta Defensoría  considera que el SOAT de un vehículo no alcanza a los ocupantes y conductor de un vehículo sin SOAT, sino únicamente a lo terceros no ocupantes como sería un peatón-, este colegiado tiene a bien referir dicho antecedente que se refiere al caso en controversia, por lo que a continuación se transcribe el considerando </w:t>
      </w:r>
      <w:proofErr w:type="spellStart"/>
      <w:r w:rsidRPr="00C047E1">
        <w:rPr>
          <w:sz w:val="23"/>
          <w:szCs w:val="23"/>
          <w:lang w:val="es-PE"/>
        </w:rPr>
        <w:t>Nº</w:t>
      </w:r>
      <w:proofErr w:type="spellEnd"/>
      <w:r w:rsidRPr="00C047E1">
        <w:rPr>
          <w:sz w:val="23"/>
          <w:szCs w:val="23"/>
          <w:lang w:val="es-PE"/>
        </w:rPr>
        <w:t xml:space="preserve"> 41, parte pertinente del </w:t>
      </w:r>
      <w:proofErr w:type="spellStart"/>
      <w:r w:rsidRPr="00C047E1">
        <w:rPr>
          <w:sz w:val="23"/>
          <w:szCs w:val="23"/>
          <w:lang w:val="es-PE"/>
        </w:rPr>
        <w:t>Nº</w:t>
      </w:r>
      <w:proofErr w:type="spellEnd"/>
      <w:r w:rsidRPr="00C047E1">
        <w:rPr>
          <w:sz w:val="23"/>
          <w:szCs w:val="23"/>
          <w:lang w:val="es-PE"/>
        </w:rPr>
        <w:t xml:space="preserve"> 42 y el considerando </w:t>
      </w:r>
      <w:proofErr w:type="spellStart"/>
      <w:r w:rsidRPr="00C047E1">
        <w:rPr>
          <w:sz w:val="23"/>
          <w:szCs w:val="23"/>
          <w:lang w:val="es-PE"/>
        </w:rPr>
        <w:t>Nº</w:t>
      </w:r>
      <w:proofErr w:type="spellEnd"/>
      <w:r w:rsidRPr="00C047E1">
        <w:rPr>
          <w:sz w:val="23"/>
          <w:szCs w:val="23"/>
          <w:lang w:val="es-PE"/>
        </w:rPr>
        <w:t xml:space="preserve"> 50 de la Resolución </w:t>
      </w:r>
      <w:proofErr w:type="spellStart"/>
      <w:r w:rsidRPr="00C047E1">
        <w:rPr>
          <w:sz w:val="23"/>
          <w:szCs w:val="23"/>
          <w:lang w:val="es-PE"/>
        </w:rPr>
        <w:t>Nº</w:t>
      </w:r>
      <w:proofErr w:type="spellEnd"/>
      <w:r w:rsidRPr="00C047E1">
        <w:rPr>
          <w:sz w:val="23"/>
          <w:szCs w:val="23"/>
          <w:lang w:val="es-PE"/>
        </w:rPr>
        <w:t xml:space="preserve"> 4288-2016/SPC-INDECOPI: </w:t>
      </w:r>
    </w:p>
    <w:p w:rsidRPr="00C047E1" w:rsidR="00C047E1" w:rsidP="00C047E1" w:rsidRDefault="00C047E1" w14:paraId="42564D7B" w14:textId="77777777">
      <w:pPr>
        <w:jc w:val="both"/>
        <w:outlineLvl w:val="0"/>
        <w:rPr>
          <w:sz w:val="23"/>
          <w:szCs w:val="23"/>
          <w:lang w:val="es-PE"/>
        </w:rPr>
      </w:pPr>
    </w:p>
    <w:p w:rsidRPr="00C047E1" w:rsidR="00C047E1" w:rsidP="00A419BC" w:rsidRDefault="00C047E1" w14:paraId="03E73769" w14:textId="77777777">
      <w:pPr>
        <w:ind w:left="720"/>
        <w:jc w:val="both"/>
        <w:outlineLvl w:val="0"/>
        <w:rPr>
          <w:i/>
          <w:iCs/>
          <w:sz w:val="23"/>
          <w:szCs w:val="23"/>
        </w:rPr>
      </w:pPr>
      <w:r w:rsidRPr="00C047E1">
        <w:rPr>
          <w:i/>
          <w:iCs/>
          <w:sz w:val="23"/>
          <w:szCs w:val="23"/>
          <w:lang w:val="es-PE"/>
        </w:rPr>
        <w:t xml:space="preserve">“41. </w:t>
      </w:r>
      <w:r w:rsidRPr="00C047E1">
        <w:rPr>
          <w:i/>
          <w:iCs/>
          <w:sz w:val="23"/>
          <w:szCs w:val="23"/>
        </w:rPr>
        <w:t xml:space="preserve">En efecto, teniendo en cuenta que es deber de todo conductor contratar el seguro SOAT para su vehículo antes de hacerlo circular, no resulta correcto que ante un siniestro, este conductor, que no cumple con tal obligación legal, reclame a la aseguradora de otro vehículo interviniente en el siniestro (que cuenta con SOAT) una indemnización por los daños materiales y personales que haya sufrido, cuando este, en primera instancia, no ha cumplido con el deber legal antes mencionado, esto es contar y pagar por un SOAT destinado a cubrir a los ocupantes y terceros no ocupantes con relación a su propio vehículo. </w:t>
      </w:r>
    </w:p>
    <w:p w:rsidRPr="00C047E1" w:rsidR="00C047E1" w:rsidP="00A419BC" w:rsidRDefault="00C047E1" w14:paraId="584574CF" w14:textId="77777777">
      <w:pPr>
        <w:ind w:left="720"/>
        <w:jc w:val="both"/>
        <w:outlineLvl w:val="0"/>
        <w:rPr>
          <w:i/>
          <w:iCs/>
          <w:sz w:val="23"/>
          <w:szCs w:val="23"/>
        </w:rPr>
      </w:pPr>
      <w:r w:rsidRPr="00C047E1">
        <w:rPr>
          <w:i/>
          <w:iCs/>
          <w:sz w:val="23"/>
          <w:szCs w:val="23"/>
        </w:rPr>
        <w:t>42. Así, la Sala coincide con la Comisión cuando esta indica que si un agente de tránsito conduce un vehículo a sabiendas que no cuenta con un SOAT, no podría ser considerado como beneficiario de dicho seguro, en tanto ha actuado inobservando un deber de cuidado impuesto por ley, (…).</w:t>
      </w:r>
    </w:p>
    <w:p w:rsidRPr="00C047E1" w:rsidR="00C047E1" w:rsidP="00A419BC" w:rsidRDefault="00C047E1" w14:paraId="7B9F15D8" w14:textId="77777777">
      <w:pPr>
        <w:ind w:left="720"/>
        <w:jc w:val="both"/>
        <w:outlineLvl w:val="0"/>
        <w:rPr>
          <w:i/>
          <w:iCs/>
          <w:sz w:val="23"/>
          <w:szCs w:val="23"/>
        </w:rPr>
      </w:pPr>
      <w:r w:rsidRPr="00C047E1">
        <w:rPr>
          <w:i/>
          <w:iCs/>
          <w:sz w:val="23"/>
          <w:szCs w:val="23"/>
        </w:rPr>
        <w:t>(…).</w:t>
      </w:r>
    </w:p>
    <w:p w:rsidRPr="00C047E1" w:rsidR="00C047E1" w:rsidP="00A419BC" w:rsidRDefault="00C047E1" w14:paraId="2115E7D9" w14:textId="77777777">
      <w:pPr>
        <w:ind w:left="720"/>
        <w:jc w:val="both"/>
        <w:outlineLvl w:val="0"/>
        <w:rPr>
          <w:i/>
          <w:iCs/>
          <w:sz w:val="23"/>
          <w:szCs w:val="23"/>
          <w:lang w:val="es-PE"/>
        </w:rPr>
      </w:pPr>
      <w:r w:rsidRPr="00C047E1">
        <w:rPr>
          <w:i/>
          <w:iCs/>
          <w:sz w:val="23"/>
          <w:szCs w:val="23"/>
          <w:lang w:val="es-PE"/>
        </w:rPr>
        <w:t>50. En este orden de ideas, considerando que el conductor irresponsable, en este caso el señor (…), no debe verse beneficiado por el seguro SOAT, dado que no cumplió con su obligación de contar con este tipo de seguro al momento del siniestro y, en ese sentido, esta situación replica en sus eventuales beneficiarios como es el caso de la señora (…), se evidencia que (…), por la interpretación que este Colegiado da a las normas del SOAT, no negó de forma indebida la cobertura del seguro SOAT a favor de esta última”.</w:t>
      </w:r>
    </w:p>
    <w:p w:rsidRPr="00C047E1" w:rsidR="00C047E1" w:rsidP="00C047E1" w:rsidRDefault="00C047E1" w14:paraId="606C245B" w14:textId="77777777">
      <w:pPr>
        <w:jc w:val="both"/>
        <w:outlineLvl w:val="0"/>
        <w:rPr>
          <w:sz w:val="23"/>
          <w:szCs w:val="23"/>
          <w:lang w:val="es-PE"/>
        </w:rPr>
      </w:pPr>
    </w:p>
    <w:p w:rsidRPr="00C047E1" w:rsidR="00C047E1" w:rsidP="00C047E1" w:rsidRDefault="00C047E1" w14:paraId="2FBB9D90" w14:textId="77777777">
      <w:pPr>
        <w:jc w:val="both"/>
        <w:outlineLvl w:val="0"/>
        <w:rPr>
          <w:sz w:val="23"/>
          <w:szCs w:val="23"/>
          <w:lang w:val="es-PE"/>
        </w:rPr>
      </w:pPr>
      <w:r w:rsidRPr="00C047E1">
        <w:rPr>
          <w:sz w:val="23"/>
          <w:szCs w:val="23"/>
          <w:lang w:val="es-PE"/>
        </w:rPr>
        <w:lastRenderedPageBreak/>
        <w:t xml:space="preserve">Atendiendo a lo expresado precedentemente, esta Defensoría concluye su apreciación razonada y conjunta al amparo de lo establecido en su Reglamento, no encontrando razones que amparen la presente reclamación, por lo que </w:t>
      </w:r>
    </w:p>
    <w:p w:rsidRPr="00C047E1" w:rsidR="00C047E1" w:rsidP="00C047E1" w:rsidRDefault="00C047E1" w14:paraId="4B98635F" w14:textId="77777777">
      <w:pPr>
        <w:jc w:val="both"/>
        <w:outlineLvl w:val="0"/>
        <w:rPr>
          <w:sz w:val="23"/>
          <w:szCs w:val="23"/>
          <w:lang w:val="es-PE"/>
        </w:rPr>
      </w:pPr>
    </w:p>
    <w:p w:rsidRPr="00C047E1" w:rsidR="00C047E1" w:rsidP="00C047E1" w:rsidRDefault="00C047E1" w14:paraId="302906FC" w14:textId="77777777">
      <w:pPr>
        <w:jc w:val="both"/>
        <w:outlineLvl w:val="0"/>
        <w:rPr>
          <w:b/>
          <w:sz w:val="23"/>
          <w:szCs w:val="23"/>
          <w:lang w:val="es-PE"/>
        </w:rPr>
      </w:pPr>
      <w:r w:rsidRPr="00C047E1">
        <w:rPr>
          <w:b/>
          <w:sz w:val="23"/>
          <w:szCs w:val="23"/>
          <w:lang w:val="es-PE"/>
        </w:rPr>
        <w:t>RESUELVE:</w:t>
      </w:r>
    </w:p>
    <w:p w:rsidRPr="00C047E1" w:rsidR="00C047E1" w:rsidP="00C047E1" w:rsidRDefault="00C047E1" w14:paraId="30FDB25C" w14:textId="77777777">
      <w:pPr>
        <w:jc w:val="both"/>
        <w:outlineLvl w:val="0"/>
        <w:rPr>
          <w:sz w:val="23"/>
          <w:szCs w:val="23"/>
        </w:rPr>
      </w:pPr>
    </w:p>
    <w:p w:rsidRPr="00A419BC" w:rsidR="00FC6CFF" w:rsidP="00A419BC" w:rsidRDefault="00C047E1" w14:paraId="2D8BD577" w14:textId="584FD0FA">
      <w:pPr>
        <w:jc w:val="both"/>
        <w:outlineLvl w:val="0"/>
        <w:rPr>
          <w:sz w:val="23"/>
          <w:szCs w:val="23"/>
          <w:lang w:val="es-PE"/>
        </w:rPr>
      </w:pPr>
      <w:r w:rsidRPr="2946D39C" w:rsidR="00C047E1">
        <w:rPr>
          <w:sz w:val="23"/>
          <w:szCs w:val="23"/>
          <w:lang w:val="es-PE"/>
        </w:rPr>
        <w:t xml:space="preserve">Declarar </w:t>
      </w:r>
      <w:r w:rsidRPr="2946D39C" w:rsidR="00C047E1">
        <w:rPr>
          <w:b w:val="1"/>
          <w:bCs w:val="1"/>
          <w:sz w:val="23"/>
          <w:szCs w:val="23"/>
          <w:lang w:val="es-PE"/>
        </w:rPr>
        <w:t>INFUNDADA</w:t>
      </w:r>
      <w:r w:rsidRPr="2946D39C" w:rsidR="00C047E1">
        <w:rPr>
          <w:sz w:val="23"/>
          <w:szCs w:val="23"/>
          <w:lang w:val="es-PE"/>
        </w:rPr>
        <w:t xml:space="preserve"> la reclamación interpuesta por </w:t>
      </w:r>
      <w:r w:rsidRPr="2946D39C" w:rsidR="54097A8D">
        <w:rPr>
          <w:b w:val="1"/>
          <w:bCs w:val="1"/>
          <w:sz w:val="23"/>
          <w:szCs w:val="23"/>
          <w:lang w:val="es-MX"/>
        </w:rPr>
        <w:t>.........................................................................</w:t>
      </w:r>
      <w:r w:rsidRPr="2946D39C" w:rsidR="00C047E1">
        <w:rPr>
          <w:b w:val="1"/>
          <w:bCs w:val="1"/>
          <w:sz w:val="23"/>
          <w:szCs w:val="23"/>
          <w:lang w:val="es-MX"/>
        </w:rPr>
        <w:t xml:space="preserve"> </w:t>
      </w:r>
      <w:r w:rsidRPr="2946D39C" w:rsidR="00C047E1">
        <w:rPr>
          <w:sz w:val="23"/>
          <w:szCs w:val="23"/>
          <w:lang w:val="es-PE"/>
        </w:rPr>
        <w:t xml:space="preserve">contra </w:t>
      </w:r>
      <w:r w:rsidRPr="2946D39C" w:rsidR="0A301843">
        <w:rPr>
          <w:sz w:val="23"/>
          <w:szCs w:val="23"/>
          <w:lang w:val="es-PE"/>
        </w:rPr>
        <w:t>...................</w:t>
      </w:r>
      <w:r w:rsidRPr="2946D39C" w:rsidR="00C047E1">
        <w:rPr>
          <w:sz w:val="23"/>
          <w:szCs w:val="23"/>
          <w:lang w:val="es-PE"/>
        </w:rPr>
        <w:t xml:space="preserve"> correspondiente al SEGURO OBLIGATORIO DE ACCIDENTES DE TRÁNSITO –SOAT, quedando a salvo el derecho de la reclamante de recurrir ante las instancias que considere pertinentes.</w:t>
      </w:r>
    </w:p>
    <w:p w:rsidRPr="00A419BC" w:rsidR="00E95C64" w:rsidP="00E95C64" w:rsidRDefault="00E95C64" w14:paraId="6D615881" w14:textId="13E37EA2">
      <w:pPr>
        <w:jc w:val="right"/>
        <w:outlineLvl w:val="0"/>
        <w:rPr>
          <w:sz w:val="23"/>
          <w:szCs w:val="23"/>
          <w:lang w:val="es-PE"/>
        </w:rPr>
      </w:pPr>
      <w:r w:rsidRPr="00A419BC">
        <w:rPr>
          <w:sz w:val="23"/>
          <w:szCs w:val="23"/>
          <w:lang w:val="es-PE"/>
        </w:rPr>
        <w:t xml:space="preserve">Lima, </w:t>
      </w:r>
      <w:r w:rsidRPr="00A419BC" w:rsidR="00A22993">
        <w:rPr>
          <w:sz w:val="23"/>
          <w:szCs w:val="23"/>
          <w:lang w:val="es-PE"/>
        </w:rPr>
        <w:t>2</w:t>
      </w:r>
      <w:r w:rsidRPr="00A419BC" w:rsidR="00A419BC">
        <w:rPr>
          <w:sz w:val="23"/>
          <w:szCs w:val="23"/>
          <w:lang w:val="es-PE"/>
        </w:rPr>
        <w:t>7</w:t>
      </w:r>
      <w:r w:rsidRPr="00A419BC" w:rsidR="00A22993">
        <w:rPr>
          <w:sz w:val="23"/>
          <w:szCs w:val="23"/>
          <w:lang w:val="es-PE"/>
        </w:rPr>
        <w:t xml:space="preserve"> </w:t>
      </w:r>
      <w:r w:rsidRPr="00A419BC" w:rsidR="00395926">
        <w:rPr>
          <w:sz w:val="23"/>
          <w:szCs w:val="23"/>
        </w:rPr>
        <w:t>d</w:t>
      </w:r>
      <w:proofErr w:type="spellStart"/>
      <w:r w:rsidRPr="00A419BC" w:rsidR="00395926">
        <w:rPr>
          <w:sz w:val="23"/>
          <w:szCs w:val="23"/>
          <w:lang w:val="es-PE"/>
        </w:rPr>
        <w:t>e</w:t>
      </w:r>
      <w:proofErr w:type="spellEnd"/>
      <w:r w:rsidRPr="00A419BC" w:rsidR="00ED40BA">
        <w:rPr>
          <w:sz w:val="23"/>
          <w:szCs w:val="23"/>
          <w:lang w:val="es-PE"/>
        </w:rPr>
        <w:t xml:space="preserve"> octubre</w:t>
      </w:r>
      <w:r w:rsidRPr="00A419BC">
        <w:rPr>
          <w:sz w:val="23"/>
          <w:szCs w:val="23"/>
          <w:lang w:val="es-PE"/>
        </w:rPr>
        <w:t xml:space="preserve"> de 202</w:t>
      </w:r>
      <w:r w:rsidRPr="00A419BC" w:rsidR="00ED40BA">
        <w:rPr>
          <w:sz w:val="23"/>
          <w:szCs w:val="23"/>
          <w:lang w:val="es-PE"/>
        </w:rPr>
        <w:t>5</w:t>
      </w:r>
    </w:p>
    <w:p w:rsidRPr="00A419BC" w:rsidR="00E95C64" w:rsidP="00E95C64" w:rsidRDefault="00E95C64" w14:paraId="4A8D383C" w14:textId="77777777">
      <w:pPr>
        <w:rPr>
          <w:sz w:val="23"/>
          <w:szCs w:val="23"/>
        </w:rPr>
      </w:pPr>
    </w:p>
    <w:p w:rsidRPr="00A419BC" w:rsidR="00592865" w:rsidP="00592865" w:rsidRDefault="00592865" w14:paraId="544F4BBB" w14:textId="77777777">
      <w:pPr>
        <w:spacing w:after="200"/>
        <w:jc w:val="both"/>
        <w:rPr>
          <w:b/>
          <w:bCs/>
          <w:i/>
          <w:iCs/>
          <w:sz w:val="23"/>
          <w:szCs w:val="23"/>
          <w:lang w:val="es-PE"/>
        </w:rPr>
      </w:pPr>
      <w:r w:rsidRPr="00A419BC">
        <w:rPr>
          <w:b/>
          <w:bCs/>
          <w:i/>
          <w:iCs/>
          <w:sz w:val="23"/>
          <w:szCs w:val="23"/>
          <w:lang w:val="es-PE"/>
        </w:rPr>
        <w:t xml:space="preserve">La Secretaría Técnica certifica que la presente resolución cuenta con el voto de los vocales cuyos nombres figuran en el presente documento. </w:t>
      </w:r>
    </w:p>
    <w:p w:rsidRPr="00A419BC" w:rsidR="00592865" w:rsidP="00592865" w:rsidRDefault="00592865" w14:paraId="011935EE" w14:textId="77777777">
      <w:pPr>
        <w:spacing w:after="200"/>
        <w:jc w:val="center"/>
        <w:rPr>
          <w:b/>
          <w:bCs/>
          <w:sz w:val="23"/>
          <w:szCs w:val="23"/>
          <w:lang w:val="es-PE"/>
        </w:rPr>
      </w:pPr>
      <w:r w:rsidRPr="00A419BC">
        <w:rPr>
          <w:b/>
          <w:bCs/>
          <w:sz w:val="23"/>
          <w:szCs w:val="23"/>
          <w:lang w:val="es-PE"/>
        </w:rPr>
        <w:t xml:space="preserve">Antonio Rodriguez Lobatón – </w:t>
      </w:r>
      <w:proofErr w:type="gramStart"/>
      <w:r w:rsidRPr="00A419BC">
        <w:rPr>
          <w:b/>
          <w:bCs/>
          <w:sz w:val="23"/>
          <w:szCs w:val="23"/>
          <w:lang w:val="es-PE"/>
        </w:rPr>
        <w:t>Presidente</w:t>
      </w:r>
      <w:proofErr w:type="gramEnd"/>
    </w:p>
    <w:p w:rsidRPr="00A419BC" w:rsidR="00592865" w:rsidP="00592865" w:rsidRDefault="00592865" w14:paraId="3F369BA4" w14:textId="77777777">
      <w:pPr>
        <w:spacing w:after="200"/>
        <w:jc w:val="center"/>
        <w:rPr>
          <w:b/>
          <w:bCs/>
          <w:sz w:val="23"/>
          <w:szCs w:val="23"/>
          <w:lang w:val="es-PE"/>
        </w:rPr>
      </w:pPr>
      <w:r w:rsidRPr="00A419BC">
        <w:rPr>
          <w:b/>
          <w:bCs/>
          <w:sz w:val="23"/>
          <w:szCs w:val="23"/>
          <w:lang w:val="es-PE"/>
        </w:rPr>
        <w:t>María Eugenia Valdez Fernández Baca – Vocal</w:t>
      </w:r>
    </w:p>
    <w:p w:rsidRPr="00A419BC" w:rsidR="00592865" w:rsidP="00592865" w:rsidRDefault="00592865" w14:paraId="2CFDB48D" w14:textId="77777777">
      <w:pPr>
        <w:spacing w:after="200"/>
        <w:jc w:val="center"/>
        <w:rPr>
          <w:b/>
          <w:bCs/>
          <w:sz w:val="23"/>
          <w:szCs w:val="23"/>
          <w:lang w:val="es-PE"/>
        </w:rPr>
      </w:pPr>
      <w:r w:rsidRPr="00A419BC">
        <w:rPr>
          <w:b/>
          <w:bCs/>
          <w:sz w:val="23"/>
          <w:szCs w:val="23"/>
          <w:lang w:val="es-PE"/>
        </w:rPr>
        <w:t xml:space="preserve">Rolando Eyzaguirre </w:t>
      </w:r>
      <w:proofErr w:type="spellStart"/>
      <w:r w:rsidRPr="00A419BC">
        <w:rPr>
          <w:b/>
          <w:bCs/>
          <w:sz w:val="23"/>
          <w:szCs w:val="23"/>
          <w:lang w:val="es-PE"/>
        </w:rPr>
        <w:t>Maccan</w:t>
      </w:r>
      <w:proofErr w:type="spellEnd"/>
      <w:r w:rsidRPr="00A419BC">
        <w:rPr>
          <w:b/>
          <w:bCs/>
          <w:sz w:val="23"/>
          <w:szCs w:val="23"/>
          <w:lang w:val="es-PE"/>
        </w:rPr>
        <w:t xml:space="preserve"> – Vocal</w:t>
      </w:r>
    </w:p>
    <w:p w:rsidRPr="00A419BC" w:rsidR="00592865" w:rsidP="00592865" w:rsidRDefault="00592865" w14:paraId="1C045F97" w14:textId="77777777">
      <w:pPr>
        <w:spacing w:after="200"/>
        <w:jc w:val="center"/>
        <w:rPr>
          <w:b/>
          <w:bCs/>
          <w:sz w:val="23"/>
          <w:szCs w:val="23"/>
          <w:lang w:val="es-PE"/>
        </w:rPr>
      </w:pPr>
      <w:r w:rsidRPr="00A419BC">
        <w:rPr>
          <w:b/>
          <w:bCs/>
          <w:sz w:val="23"/>
          <w:szCs w:val="23"/>
          <w:lang w:val="es-PE"/>
        </w:rPr>
        <w:t>Juan Fry Cipriani – Vocal</w:t>
      </w:r>
    </w:p>
    <w:p w:rsidRPr="00A419BC" w:rsidR="00F15FBA" w:rsidP="00F15FBA" w:rsidRDefault="00F15FBA" w14:paraId="58BFC23A" w14:textId="77777777">
      <w:pPr>
        <w:rPr>
          <w:sz w:val="23"/>
          <w:szCs w:val="23"/>
        </w:rPr>
      </w:pPr>
    </w:p>
    <w:p w:rsidRPr="00A419BC" w:rsidR="00180060" w:rsidRDefault="00180060" w14:paraId="164CAA9F" w14:textId="77777777">
      <w:pPr>
        <w:rPr>
          <w:sz w:val="23"/>
          <w:szCs w:val="23"/>
        </w:rPr>
      </w:pPr>
    </w:p>
    <w:sectPr w:rsidRPr="00A419BC" w:rsidR="00180060" w:rsidSect="005F7588">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31F7B" w:rsidP="005F148C" w:rsidRDefault="00131F7B" w14:paraId="33FB51D2" w14:textId="77777777">
      <w:r>
        <w:separator/>
      </w:r>
    </w:p>
  </w:endnote>
  <w:endnote w:type="continuationSeparator" w:id="0">
    <w:p w:rsidR="00131F7B" w:rsidP="005F148C" w:rsidRDefault="00131F7B" w14:paraId="54BFB177" w14:textId="77777777">
      <w:r>
        <w:continuationSeparator/>
      </w:r>
    </w:p>
  </w:endnote>
  <w:endnote w:type="continuationNotice" w:id="1">
    <w:p w:rsidR="00131F7B" w:rsidRDefault="00131F7B" w14:paraId="25800C2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31F7B" w:rsidP="005F148C" w:rsidRDefault="00131F7B" w14:paraId="69AB1D5D" w14:textId="77777777">
      <w:r>
        <w:separator/>
      </w:r>
    </w:p>
  </w:footnote>
  <w:footnote w:type="continuationSeparator" w:id="0">
    <w:p w:rsidR="00131F7B" w:rsidP="005F148C" w:rsidRDefault="00131F7B" w14:paraId="620775C7" w14:textId="77777777">
      <w:r>
        <w:continuationSeparator/>
      </w:r>
    </w:p>
  </w:footnote>
  <w:footnote w:type="continuationNotice" w:id="1">
    <w:p w:rsidR="00131F7B" w:rsidRDefault="00131F7B" w14:paraId="1804ED1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3"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0"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1"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7"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8"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5"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7"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1"/>
  </w:num>
  <w:num w:numId="2" w16cid:durableId="1171919473">
    <w:abstractNumId w:val="19"/>
  </w:num>
  <w:num w:numId="3" w16cid:durableId="1658803834">
    <w:abstractNumId w:val="7"/>
  </w:num>
  <w:num w:numId="4" w16cid:durableId="711463926">
    <w:abstractNumId w:val="21"/>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1"/>
  </w:num>
  <w:num w:numId="7" w16cid:durableId="8678369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2"/>
  </w:num>
  <w:num w:numId="11" w16cid:durableId="533613517">
    <w:abstractNumId w:val="26"/>
  </w:num>
  <w:num w:numId="12" w16cid:durableId="2130783287">
    <w:abstractNumId w:val="14"/>
  </w:num>
  <w:num w:numId="13" w16cid:durableId="1265580262">
    <w:abstractNumId w:val="24"/>
  </w:num>
  <w:num w:numId="14" w16cid:durableId="895973461">
    <w:abstractNumId w:val="12"/>
  </w:num>
  <w:num w:numId="15" w16cid:durableId="121660352">
    <w:abstractNumId w:val="13"/>
  </w:num>
  <w:num w:numId="16" w16cid:durableId="202908264">
    <w:abstractNumId w:val="23"/>
  </w:num>
  <w:num w:numId="17" w16cid:durableId="1820920746">
    <w:abstractNumId w:val="8"/>
  </w:num>
  <w:num w:numId="18" w16cid:durableId="1755320812">
    <w:abstractNumId w:val="20"/>
  </w:num>
  <w:num w:numId="19" w16cid:durableId="1160461192">
    <w:abstractNumId w:val="9"/>
  </w:num>
  <w:num w:numId="20" w16cid:durableId="1033462477">
    <w:abstractNumId w:val="27"/>
  </w:num>
  <w:num w:numId="21" w16cid:durableId="1897889237">
    <w:abstractNumId w:val="18"/>
  </w:num>
  <w:num w:numId="22" w16cid:durableId="715354678">
    <w:abstractNumId w:val="25"/>
  </w:num>
  <w:num w:numId="23" w16cid:durableId="4969182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2"/>
  </w:num>
  <w:num w:numId="25" w16cid:durableId="278152224">
    <w:abstractNumId w:val="6"/>
  </w:num>
  <w:num w:numId="26" w16cid:durableId="12379394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02835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DDA"/>
    <w:rsid w:val="00095C86"/>
    <w:rsid w:val="000A1A1A"/>
    <w:rsid w:val="000A3589"/>
    <w:rsid w:val="000A362B"/>
    <w:rsid w:val="000A5B4D"/>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14B54"/>
    <w:rsid w:val="00115BFC"/>
    <w:rsid w:val="0011750B"/>
    <w:rsid w:val="00121057"/>
    <w:rsid w:val="00131F7B"/>
    <w:rsid w:val="00131FAD"/>
    <w:rsid w:val="00132227"/>
    <w:rsid w:val="00133E25"/>
    <w:rsid w:val="001354E6"/>
    <w:rsid w:val="0013670F"/>
    <w:rsid w:val="001379AC"/>
    <w:rsid w:val="00140C67"/>
    <w:rsid w:val="00144BB2"/>
    <w:rsid w:val="001454A5"/>
    <w:rsid w:val="0014622D"/>
    <w:rsid w:val="0014787A"/>
    <w:rsid w:val="001509FF"/>
    <w:rsid w:val="00150C84"/>
    <w:rsid w:val="00151DE7"/>
    <w:rsid w:val="00152658"/>
    <w:rsid w:val="0015345B"/>
    <w:rsid w:val="0015346A"/>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163"/>
    <w:rsid w:val="0021601E"/>
    <w:rsid w:val="0022168A"/>
    <w:rsid w:val="00221E3F"/>
    <w:rsid w:val="00227DFA"/>
    <w:rsid w:val="002309F6"/>
    <w:rsid w:val="002338B9"/>
    <w:rsid w:val="00233ED8"/>
    <w:rsid w:val="00234D7A"/>
    <w:rsid w:val="002365C4"/>
    <w:rsid w:val="00236A66"/>
    <w:rsid w:val="002370F4"/>
    <w:rsid w:val="00255F5F"/>
    <w:rsid w:val="00263D77"/>
    <w:rsid w:val="002663CF"/>
    <w:rsid w:val="00271C40"/>
    <w:rsid w:val="00272CAB"/>
    <w:rsid w:val="00280264"/>
    <w:rsid w:val="00281026"/>
    <w:rsid w:val="00295BA9"/>
    <w:rsid w:val="00297041"/>
    <w:rsid w:val="002A0171"/>
    <w:rsid w:val="002A2188"/>
    <w:rsid w:val="002A2960"/>
    <w:rsid w:val="002B14D5"/>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1AC6"/>
    <w:rsid w:val="00455A27"/>
    <w:rsid w:val="004616C7"/>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DC"/>
    <w:rsid w:val="0049665C"/>
    <w:rsid w:val="00497DC5"/>
    <w:rsid w:val="004A5F55"/>
    <w:rsid w:val="004A76F0"/>
    <w:rsid w:val="004A7BEB"/>
    <w:rsid w:val="004B0190"/>
    <w:rsid w:val="004B52AF"/>
    <w:rsid w:val="004B5915"/>
    <w:rsid w:val="004C2AA2"/>
    <w:rsid w:val="004C5317"/>
    <w:rsid w:val="004D1D90"/>
    <w:rsid w:val="004D3907"/>
    <w:rsid w:val="004D4867"/>
    <w:rsid w:val="004D6287"/>
    <w:rsid w:val="004D754C"/>
    <w:rsid w:val="004E084E"/>
    <w:rsid w:val="004E50D6"/>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6201"/>
    <w:rsid w:val="0059638A"/>
    <w:rsid w:val="005A4F2B"/>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D24"/>
    <w:rsid w:val="007064FB"/>
    <w:rsid w:val="00713406"/>
    <w:rsid w:val="007138A3"/>
    <w:rsid w:val="007224F7"/>
    <w:rsid w:val="0072469C"/>
    <w:rsid w:val="0072590B"/>
    <w:rsid w:val="00730F16"/>
    <w:rsid w:val="00734447"/>
    <w:rsid w:val="00742D07"/>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5EBD"/>
    <w:rsid w:val="008B6321"/>
    <w:rsid w:val="008B6994"/>
    <w:rsid w:val="008B7C7F"/>
    <w:rsid w:val="008C6834"/>
    <w:rsid w:val="008D0547"/>
    <w:rsid w:val="008D27D1"/>
    <w:rsid w:val="008D2CA9"/>
    <w:rsid w:val="008E291D"/>
    <w:rsid w:val="008E56F7"/>
    <w:rsid w:val="008F2BF6"/>
    <w:rsid w:val="008F2D1E"/>
    <w:rsid w:val="008F3650"/>
    <w:rsid w:val="00904EEA"/>
    <w:rsid w:val="0090596B"/>
    <w:rsid w:val="009078AE"/>
    <w:rsid w:val="00917568"/>
    <w:rsid w:val="0092266A"/>
    <w:rsid w:val="009240AC"/>
    <w:rsid w:val="0092563D"/>
    <w:rsid w:val="009262B6"/>
    <w:rsid w:val="00926C4F"/>
    <w:rsid w:val="009321EC"/>
    <w:rsid w:val="00934888"/>
    <w:rsid w:val="009372DC"/>
    <w:rsid w:val="00937BAF"/>
    <w:rsid w:val="0094505D"/>
    <w:rsid w:val="009453B3"/>
    <w:rsid w:val="00954EB6"/>
    <w:rsid w:val="009679F2"/>
    <w:rsid w:val="00973069"/>
    <w:rsid w:val="009752CC"/>
    <w:rsid w:val="009767BB"/>
    <w:rsid w:val="00977F56"/>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613A"/>
    <w:rsid w:val="00A223FC"/>
    <w:rsid w:val="00A22993"/>
    <w:rsid w:val="00A22E09"/>
    <w:rsid w:val="00A23563"/>
    <w:rsid w:val="00A322A8"/>
    <w:rsid w:val="00A3392B"/>
    <w:rsid w:val="00A349D8"/>
    <w:rsid w:val="00A406BC"/>
    <w:rsid w:val="00A419BC"/>
    <w:rsid w:val="00A43616"/>
    <w:rsid w:val="00A43A99"/>
    <w:rsid w:val="00A4486A"/>
    <w:rsid w:val="00A53F8D"/>
    <w:rsid w:val="00A5654F"/>
    <w:rsid w:val="00A5711E"/>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B04114"/>
    <w:rsid w:val="00B1005D"/>
    <w:rsid w:val="00B16E20"/>
    <w:rsid w:val="00B17F4D"/>
    <w:rsid w:val="00B25CB1"/>
    <w:rsid w:val="00B372A5"/>
    <w:rsid w:val="00B42651"/>
    <w:rsid w:val="00B444D2"/>
    <w:rsid w:val="00B45058"/>
    <w:rsid w:val="00B468EB"/>
    <w:rsid w:val="00B515FB"/>
    <w:rsid w:val="00B56323"/>
    <w:rsid w:val="00B60E25"/>
    <w:rsid w:val="00B617B5"/>
    <w:rsid w:val="00B62FA5"/>
    <w:rsid w:val="00B74ED2"/>
    <w:rsid w:val="00B773DA"/>
    <w:rsid w:val="00B77E66"/>
    <w:rsid w:val="00B832A2"/>
    <w:rsid w:val="00B84B2B"/>
    <w:rsid w:val="00B84F66"/>
    <w:rsid w:val="00B91236"/>
    <w:rsid w:val="00B94A4F"/>
    <w:rsid w:val="00B97EAD"/>
    <w:rsid w:val="00BA04C0"/>
    <w:rsid w:val="00BA6133"/>
    <w:rsid w:val="00BA6D3B"/>
    <w:rsid w:val="00BB7321"/>
    <w:rsid w:val="00BC2F55"/>
    <w:rsid w:val="00BC6134"/>
    <w:rsid w:val="00BC633A"/>
    <w:rsid w:val="00BD386A"/>
    <w:rsid w:val="00BD5FD0"/>
    <w:rsid w:val="00BE3107"/>
    <w:rsid w:val="00BE3315"/>
    <w:rsid w:val="00BE3ABE"/>
    <w:rsid w:val="00BE7F18"/>
    <w:rsid w:val="00BF36AE"/>
    <w:rsid w:val="00BF4FF3"/>
    <w:rsid w:val="00BF7954"/>
    <w:rsid w:val="00C01AB2"/>
    <w:rsid w:val="00C047E1"/>
    <w:rsid w:val="00C061B7"/>
    <w:rsid w:val="00C11655"/>
    <w:rsid w:val="00C168CE"/>
    <w:rsid w:val="00C21729"/>
    <w:rsid w:val="00C21994"/>
    <w:rsid w:val="00C23771"/>
    <w:rsid w:val="00C274D2"/>
    <w:rsid w:val="00C341BA"/>
    <w:rsid w:val="00C3792D"/>
    <w:rsid w:val="00C47597"/>
    <w:rsid w:val="00C55D6D"/>
    <w:rsid w:val="00C576C0"/>
    <w:rsid w:val="00C677C3"/>
    <w:rsid w:val="00C717E9"/>
    <w:rsid w:val="00C74243"/>
    <w:rsid w:val="00C81522"/>
    <w:rsid w:val="00C83CB7"/>
    <w:rsid w:val="00C85630"/>
    <w:rsid w:val="00C87E0B"/>
    <w:rsid w:val="00C9313F"/>
    <w:rsid w:val="00C96E0B"/>
    <w:rsid w:val="00C9752A"/>
    <w:rsid w:val="00CA4FD6"/>
    <w:rsid w:val="00CA6E4C"/>
    <w:rsid w:val="00CB182B"/>
    <w:rsid w:val="00CB451A"/>
    <w:rsid w:val="00CB7C37"/>
    <w:rsid w:val="00CC034E"/>
    <w:rsid w:val="00CC234B"/>
    <w:rsid w:val="00CC2E79"/>
    <w:rsid w:val="00CC582D"/>
    <w:rsid w:val="00CC5BCD"/>
    <w:rsid w:val="00CC7ED2"/>
    <w:rsid w:val="00CD13C5"/>
    <w:rsid w:val="00CE195F"/>
    <w:rsid w:val="00CE2FD6"/>
    <w:rsid w:val="00CE51DF"/>
    <w:rsid w:val="00CE793E"/>
    <w:rsid w:val="00CF3742"/>
    <w:rsid w:val="00D0420C"/>
    <w:rsid w:val="00D128FF"/>
    <w:rsid w:val="00D1427D"/>
    <w:rsid w:val="00D15C1E"/>
    <w:rsid w:val="00D16CC8"/>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647A"/>
    <w:rsid w:val="00DE6834"/>
    <w:rsid w:val="00DF2346"/>
    <w:rsid w:val="00DF3AFB"/>
    <w:rsid w:val="00DF3E75"/>
    <w:rsid w:val="00E03EB5"/>
    <w:rsid w:val="00E055F5"/>
    <w:rsid w:val="00E06DE2"/>
    <w:rsid w:val="00E116C0"/>
    <w:rsid w:val="00E15436"/>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5178"/>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56B3"/>
    <w:rsid w:val="00FD7551"/>
    <w:rsid w:val="00FE3388"/>
    <w:rsid w:val="00FE6EEE"/>
    <w:rsid w:val="00FE7B85"/>
    <w:rsid w:val="00FF0C4F"/>
    <w:rsid w:val="00FF2389"/>
    <w:rsid w:val="0A301843"/>
    <w:rsid w:val="181344DE"/>
    <w:rsid w:val="1F585C93"/>
    <w:rsid w:val="209E2027"/>
    <w:rsid w:val="2946D39C"/>
    <w:rsid w:val="2FE35289"/>
    <w:rsid w:val="331A3B97"/>
    <w:rsid w:val="387A065D"/>
    <w:rsid w:val="396ED471"/>
    <w:rsid w:val="421E0C6C"/>
    <w:rsid w:val="45B5C768"/>
    <w:rsid w:val="4D0C6AA9"/>
    <w:rsid w:val="54097A8D"/>
    <w:rsid w:val="5E5025EF"/>
    <w:rsid w:val="6B81CACC"/>
    <w:rsid w:val="6CCCEEBF"/>
    <w:rsid w:val="6E15D7EA"/>
    <w:rsid w:val="722383C8"/>
    <w:rsid w:val="76D11DE4"/>
    <w:rsid w:val="78217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0594152-4CDE-4D6F-945D-939FDB5942D1}"/>
</file>

<file path=customXml/itemProps3.xml><?xml version="1.0" encoding="utf-8"?>
<ds:datastoreItem xmlns:ds="http://schemas.openxmlformats.org/officeDocument/2006/customXml" ds:itemID="{D7FDA868-4E24-4591-A98F-5736B3A2D009}"/>
</file>

<file path=customXml/itemProps4.xml><?xml version="1.0" encoding="utf-8"?>
<ds:datastoreItem xmlns:ds="http://schemas.openxmlformats.org/officeDocument/2006/customXml" ds:itemID="{B136C2F9-0405-46D7-BE1B-F343B827FA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599</cp:revision>
  <cp:lastPrinted>2025-10-21T17:32:00Z</cp:lastPrinted>
  <dcterms:created xsi:type="dcterms:W3CDTF">2020-12-18T20:09:00Z</dcterms:created>
  <dcterms:modified xsi:type="dcterms:W3CDTF">2026-06-15T16:22:54Z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