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09A0" w:rsidR="00F15FBA" w:rsidP="00026017" w:rsidRDefault="00F15FBA" w14:paraId="6EF5AEAB" w14:textId="3C44BCA1">
      <w:pPr>
        <w:pStyle w:val="Ttulo"/>
        <w:outlineLvl w:val="0"/>
        <w:rPr>
          <w:lang w:val="es-PE"/>
        </w:rPr>
      </w:pPr>
      <w:r w:rsidRPr="00BF09A0">
        <w:rPr>
          <w:lang w:val="es-PE"/>
        </w:rPr>
        <w:t>RESOLUCIÓN N</w:t>
      </w:r>
      <w:r w:rsidRPr="00BF09A0" w:rsidR="001631D6">
        <w:rPr>
          <w:lang w:val="es-PE"/>
        </w:rPr>
        <w:t>°</w:t>
      </w:r>
      <w:r w:rsidRPr="00BF09A0" w:rsidR="00A627AB">
        <w:rPr>
          <w:lang w:val="es-PE"/>
        </w:rPr>
        <w:t xml:space="preserve"> </w:t>
      </w:r>
      <w:r w:rsidRPr="00BF09A0" w:rsidR="00235BC7">
        <w:rPr>
          <w:lang w:val="es-PE"/>
        </w:rPr>
        <w:t>1</w:t>
      </w:r>
      <w:r w:rsidRPr="00BF09A0" w:rsidR="00B27BC3">
        <w:rPr>
          <w:lang w:val="es-PE"/>
        </w:rPr>
        <w:t>9</w:t>
      </w:r>
      <w:r w:rsidRPr="00BF09A0" w:rsidR="00981834">
        <w:rPr>
          <w:lang w:val="es-PE"/>
        </w:rPr>
        <w:t>2</w:t>
      </w:r>
      <w:r w:rsidRPr="00BF09A0" w:rsidR="006264EF">
        <w:rPr>
          <w:lang w:val="es-PE"/>
        </w:rPr>
        <w:t>/</w:t>
      </w:r>
      <w:r w:rsidRPr="00BF09A0" w:rsidR="001631D6">
        <w:rPr>
          <w:lang w:val="es-PE"/>
        </w:rPr>
        <w:t>2</w:t>
      </w:r>
      <w:r w:rsidRPr="00BF09A0" w:rsidR="00B91236">
        <w:rPr>
          <w:lang w:val="es-PE"/>
        </w:rPr>
        <w:t>5</w:t>
      </w:r>
    </w:p>
    <w:p w:rsidRPr="00BF09A0" w:rsidR="00BF09A0" w:rsidP="00BF09A0" w:rsidRDefault="00BF09A0" w14:paraId="57AA7C01" w14:textId="77777777">
      <w:pPr>
        <w:jc w:val="both"/>
        <w:outlineLvl w:val="0"/>
        <w:rPr>
          <w:b/>
          <w:bCs/>
          <w:lang w:val="es-MX"/>
        </w:rPr>
      </w:pPr>
    </w:p>
    <w:p w:rsidRPr="00BF09A0" w:rsidR="00BF09A0" w:rsidP="00BF09A0" w:rsidRDefault="00BF09A0" w14:paraId="42640D67" w14:textId="77777777">
      <w:pPr>
        <w:jc w:val="both"/>
        <w:outlineLvl w:val="0"/>
        <w:rPr>
          <w:b/>
          <w:bCs/>
          <w:lang w:val="es-MX"/>
        </w:rPr>
      </w:pPr>
      <w:r w:rsidRPr="00BF09A0">
        <w:rPr>
          <w:b/>
          <w:bCs/>
          <w:lang w:val="es-MX"/>
        </w:rPr>
        <w:t>VISTOS:</w:t>
      </w:r>
    </w:p>
    <w:p w:rsidRPr="00BF09A0" w:rsidR="00BF09A0" w:rsidP="00BF09A0" w:rsidRDefault="00BF09A0" w14:paraId="5E198FBE" w14:textId="77777777">
      <w:pPr>
        <w:jc w:val="both"/>
        <w:outlineLvl w:val="0"/>
        <w:rPr>
          <w:b/>
          <w:bCs/>
          <w:lang w:val="es-MX"/>
        </w:rPr>
      </w:pPr>
    </w:p>
    <w:p w:rsidRPr="00BF09A0" w:rsidR="00BF09A0" w:rsidP="00BF09A0" w:rsidRDefault="00BF09A0" w14:paraId="1362F67F" w14:textId="17BC7041">
      <w:pPr>
        <w:jc w:val="both"/>
        <w:outlineLvl w:val="0"/>
        <w:rPr>
          <w:lang w:val="es-PE"/>
        </w:rPr>
      </w:pPr>
      <w:r w:rsidRPr="3541BDFD" w:rsidR="00BF09A0">
        <w:rPr>
          <w:lang w:val="es-PE"/>
        </w:rPr>
        <w:t>Que, con fecha 14 de mayo de 2025</w:t>
      </w:r>
      <w:bookmarkStart w:name="_Hlk107662905" w:id="0"/>
      <w:r w:rsidRPr="3541BDFD" w:rsidR="00BF09A0">
        <w:rPr>
          <w:lang w:val="es-PE"/>
        </w:rPr>
        <w:t xml:space="preserve">, </w:t>
      </w:r>
      <w:r w:rsidRPr="3541BDFD" w:rsidR="1827D957">
        <w:rPr>
          <w:b w:val="1"/>
          <w:bCs w:val="1"/>
          <w:lang w:val="es-PE"/>
        </w:rPr>
        <w:t>..........................................................................................</w:t>
      </w:r>
      <w:r w:rsidRPr="3541BDFD" w:rsidR="00BF09A0">
        <w:rPr>
          <w:b w:val="1"/>
          <w:bCs w:val="1"/>
          <w:lang w:val="es-PE"/>
        </w:rPr>
        <w:t xml:space="preserve"> (“</w:t>
      </w:r>
      <w:r w:rsidRPr="3541BDFD" w:rsidR="2F0AE81F">
        <w:rPr>
          <w:b w:val="1"/>
          <w:bCs w:val="1"/>
          <w:lang w:val="es-PE"/>
        </w:rPr>
        <w:t>...........................................................................</w:t>
      </w:r>
      <w:r w:rsidRPr="3541BDFD" w:rsidR="00BF09A0">
        <w:rPr>
          <w:b w:val="1"/>
          <w:bCs w:val="1"/>
          <w:lang w:val="es-PE"/>
        </w:rPr>
        <w:t xml:space="preserve">”) </w:t>
      </w:r>
      <w:r w:rsidRPr="3541BDFD" w:rsidR="00BF09A0">
        <w:rPr>
          <w:lang w:val="es-PE"/>
        </w:rPr>
        <w:t xml:space="preserve">representado por </w:t>
      </w:r>
      <w:r w:rsidRPr="3541BDFD" w:rsidR="2964A9FF">
        <w:rPr>
          <w:lang w:val="es-PE"/>
        </w:rPr>
        <w:t>......................................................</w:t>
      </w:r>
      <w:r w:rsidRPr="3541BDFD" w:rsidR="00BF09A0">
        <w:rPr>
          <w:lang w:val="es-PE"/>
        </w:rPr>
        <w:t xml:space="preserve">, según poder que obra en autos, </w:t>
      </w:r>
      <w:bookmarkEnd w:id="0"/>
      <w:r w:rsidRPr="3541BDFD" w:rsidR="00BF09A0">
        <w:rPr>
          <w:lang w:val="es-PE"/>
        </w:rPr>
        <w:t xml:space="preserve">interpuso un reclamo ante la Defensoría del Asegurado </w:t>
      </w:r>
      <w:r w:rsidRPr="3541BDFD" w:rsidR="00BF09A0">
        <w:rPr>
          <w:b w:val="1"/>
          <w:bCs w:val="1"/>
          <w:lang w:val="es-PE"/>
        </w:rPr>
        <w:t>(“DEFASEG”</w:t>
      </w:r>
      <w:r w:rsidRPr="3541BDFD" w:rsidR="00BF09A0">
        <w:rPr>
          <w:lang w:val="es-PE"/>
        </w:rPr>
        <w:t xml:space="preserve">) contra </w:t>
      </w:r>
      <w:r w:rsidRPr="3541BDFD" w:rsidR="3DC7A4AC">
        <w:rPr>
          <w:b w:val="1"/>
          <w:bCs w:val="1"/>
          <w:lang w:val="es-PE"/>
        </w:rPr>
        <w:t>...................................................................................</w:t>
      </w:r>
      <w:r w:rsidRPr="3541BDFD" w:rsidR="00BF09A0">
        <w:rPr>
          <w:b w:val="1"/>
          <w:bCs w:val="1"/>
          <w:lang w:val="es-PE"/>
        </w:rPr>
        <w:t xml:space="preserve"> (“</w:t>
      </w:r>
      <w:r w:rsidRPr="3541BDFD" w:rsidR="308E0966">
        <w:rPr>
          <w:b w:val="1"/>
          <w:bCs w:val="1"/>
          <w:lang w:val="es-PE"/>
        </w:rPr>
        <w:t>....................</w:t>
      </w:r>
      <w:r w:rsidRPr="3541BDFD" w:rsidR="00BF09A0">
        <w:rPr>
          <w:b w:val="1"/>
          <w:bCs w:val="1"/>
          <w:lang w:val="es-PE"/>
        </w:rPr>
        <w:t>”</w:t>
      </w:r>
      <w:r w:rsidRPr="3541BDFD" w:rsidR="00BF09A0">
        <w:rPr>
          <w:b w:val="1"/>
          <w:bCs w:val="1"/>
          <w:lang w:val="es-MX"/>
        </w:rPr>
        <w:t xml:space="preserve">) </w:t>
      </w:r>
      <w:r w:rsidRPr="3541BDFD" w:rsidR="00BF09A0">
        <w:rPr>
          <w:lang w:val="es-PE"/>
        </w:rPr>
        <w:t xml:space="preserve">para que se le otorgue cobertura de acuerdo con el seguro vehicular </w:t>
      </w:r>
      <w:r w:rsidRPr="3541BDFD" w:rsidR="00BF09A0">
        <w:rPr>
          <w:lang w:val="es-PE"/>
        </w:rPr>
        <w:t>n.°</w:t>
      </w:r>
      <w:r w:rsidRPr="3541BDFD" w:rsidR="00BF09A0">
        <w:rPr>
          <w:lang w:val="es-PE"/>
        </w:rPr>
        <w:t xml:space="preserve"> </w:t>
      </w:r>
      <w:r w:rsidRPr="3541BDFD" w:rsidR="6B961D7D">
        <w:rPr>
          <w:lang w:val="es-PE"/>
        </w:rPr>
        <w:t>.........................</w:t>
      </w:r>
      <w:r w:rsidRPr="3541BDFD" w:rsidR="00BF09A0">
        <w:rPr>
          <w:lang w:val="es-PE"/>
        </w:rPr>
        <w:t xml:space="preserve">, Certificado </w:t>
      </w:r>
      <w:r w:rsidRPr="3541BDFD" w:rsidR="00BF09A0">
        <w:rPr>
          <w:lang w:val="es-PE"/>
        </w:rPr>
        <w:t>n.°</w:t>
      </w:r>
      <w:r w:rsidRPr="3541BDFD" w:rsidR="00BF09A0">
        <w:rPr>
          <w:lang w:val="es-PE"/>
        </w:rPr>
        <w:t xml:space="preserve"> </w:t>
      </w:r>
      <w:r w:rsidRPr="3541BDFD" w:rsidR="74CDFDAE">
        <w:rPr>
          <w:lang w:val="es-PE"/>
        </w:rPr>
        <w:t>........</w:t>
      </w:r>
      <w:r w:rsidRPr="3541BDFD" w:rsidR="00BF09A0">
        <w:rPr>
          <w:lang w:val="es-PE"/>
        </w:rPr>
        <w:t xml:space="preserve"> (la, “Póliza”), como consecuencia del siniestro que afectó al vehículo marca Toyota, modelo Hilux, con placa de rodaja </w:t>
      </w:r>
      <w:r w:rsidRPr="3541BDFD" w:rsidR="00BF09A0">
        <w:rPr>
          <w:lang w:val="es-PE"/>
        </w:rPr>
        <w:t>n.°</w:t>
      </w:r>
      <w:r w:rsidRPr="3541BDFD" w:rsidR="00BF09A0">
        <w:rPr>
          <w:lang w:val="es-PE"/>
        </w:rPr>
        <w:t xml:space="preserve"> </w:t>
      </w:r>
      <w:r w:rsidRPr="3541BDFD" w:rsidR="7646E1E1">
        <w:rPr>
          <w:lang w:val="es-PE"/>
        </w:rPr>
        <w:t>................</w:t>
      </w:r>
      <w:r w:rsidRPr="3541BDFD" w:rsidR="00BF09A0">
        <w:rPr>
          <w:lang w:val="es-PE"/>
        </w:rPr>
        <w:t xml:space="preserve"> el 12 de marzo de 2025 (“vehículo asegurado”). </w:t>
      </w:r>
    </w:p>
    <w:p w:rsidRPr="00BF09A0" w:rsidR="00BF09A0" w:rsidP="00BF09A0" w:rsidRDefault="00BF09A0" w14:paraId="0D4E9D78" w14:textId="77777777">
      <w:pPr>
        <w:jc w:val="both"/>
        <w:outlineLvl w:val="0"/>
        <w:rPr>
          <w:lang w:val="es-PE"/>
        </w:rPr>
      </w:pPr>
    </w:p>
    <w:p w:rsidRPr="00BF09A0" w:rsidR="00BF09A0" w:rsidP="00BF09A0" w:rsidRDefault="00BF09A0" w14:paraId="569723F4" w14:textId="47AE9436">
      <w:pPr>
        <w:jc w:val="both"/>
        <w:outlineLvl w:val="0"/>
        <w:rPr>
          <w:lang w:val="es-PE"/>
        </w:rPr>
      </w:pPr>
      <w:r w:rsidRPr="3541BDFD" w:rsidR="00BF09A0">
        <w:rPr>
          <w:lang w:val="es-PE"/>
        </w:rPr>
        <w:t xml:space="preserve">Que, </w:t>
      </w:r>
      <w:r w:rsidRPr="3541BDFD" w:rsidR="2F0AE81F">
        <w:rPr>
          <w:lang w:val="es-PE"/>
        </w:rPr>
        <w:t>...........................................................................</w:t>
      </w:r>
      <w:r w:rsidRPr="3541BDFD" w:rsidR="00BF09A0">
        <w:rPr>
          <w:lang w:val="es-PE"/>
        </w:rPr>
        <w:t xml:space="preserve"> sustenta su reclamo sobre la base de los siguientes hechos y argumentos: </w:t>
      </w:r>
      <w:r w:rsidRPr="3541BDFD" w:rsidR="00BF09A0">
        <w:rPr>
          <w:b w:val="1"/>
          <w:bCs w:val="1"/>
          <w:i w:val="1"/>
          <w:iCs w:val="1"/>
          <w:lang w:val="es-PE"/>
        </w:rPr>
        <w:t xml:space="preserve">a) </w:t>
      </w:r>
      <w:r w:rsidRPr="3541BDFD" w:rsidR="00BF09A0">
        <w:rPr>
          <w:lang w:val="es-PE"/>
        </w:rPr>
        <w:t xml:space="preserve">que, con fecha 2 de agosto de 2023 contrató la Póliza con la empresa aseguradora </w:t>
      </w:r>
      <w:r w:rsidRPr="3541BDFD" w:rsidR="3A6D4590">
        <w:rPr>
          <w:lang w:val="es-PE"/>
        </w:rPr>
        <w:t>....................</w:t>
      </w:r>
      <w:r w:rsidRPr="3541BDFD" w:rsidR="00BF09A0">
        <w:rPr>
          <w:lang w:val="es-PE"/>
        </w:rPr>
        <w:t xml:space="preserve">, con una vigencia hasta el 02 de agosto de 2024, momento en el cual se tuvo acceso a la placa del vehículo y se conoció al propietario del mismo; </w:t>
      </w:r>
      <w:r w:rsidRPr="3541BDFD" w:rsidR="00BF09A0">
        <w:rPr>
          <w:b w:val="1"/>
          <w:bCs w:val="1"/>
          <w:i w:val="1"/>
          <w:iCs w:val="1"/>
          <w:lang w:val="es-PE"/>
        </w:rPr>
        <w:t>b)</w:t>
      </w:r>
      <w:r w:rsidRPr="3541BDFD" w:rsidR="00BF09A0">
        <w:rPr>
          <w:lang w:val="es-PE"/>
        </w:rPr>
        <w:t xml:space="preserve"> que, se declaró el endoso de cesión de derechos indemnizatorios a favor del Banco de Crédito del Perú (“BCP”); </w:t>
      </w:r>
      <w:r w:rsidRPr="3541BDFD" w:rsidR="00BF09A0">
        <w:rPr>
          <w:b w:val="1"/>
          <w:bCs w:val="1"/>
          <w:i w:val="1"/>
          <w:iCs w:val="1"/>
          <w:lang w:val="es-PE"/>
        </w:rPr>
        <w:t>c)</w:t>
      </w:r>
      <w:r w:rsidRPr="3541BDFD" w:rsidR="00BF09A0">
        <w:rPr>
          <w:lang w:val="es-PE"/>
        </w:rPr>
        <w:t xml:space="preserve"> que, con fecha 12 de marzo de 2024 a las 19:20 h, sufrió el robo por asalto del vehículo asegurado; </w:t>
      </w:r>
      <w:r w:rsidRPr="3541BDFD" w:rsidR="00BF09A0">
        <w:rPr>
          <w:b w:val="1"/>
          <w:bCs w:val="1"/>
          <w:i w:val="1"/>
          <w:iCs w:val="1"/>
          <w:lang w:val="es-PE"/>
        </w:rPr>
        <w:t>d)</w:t>
      </w:r>
      <w:r w:rsidRPr="3541BDFD" w:rsidR="00BF09A0">
        <w:rPr>
          <w:lang w:val="es-PE"/>
        </w:rPr>
        <w:t xml:space="preserve"> que, se solicitó la recuperación del vehículo a la DIROVE; </w:t>
      </w:r>
      <w:r w:rsidRPr="3541BDFD" w:rsidR="00BF09A0">
        <w:rPr>
          <w:b w:val="1"/>
          <w:bCs w:val="1"/>
          <w:i w:val="1"/>
          <w:iCs w:val="1"/>
          <w:lang w:val="es-PE"/>
        </w:rPr>
        <w:t xml:space="preserve">e) </w:t>
      </w:r>
      <w:r w:rsidRPr="3541BDFD" w:rsidR="00BF09A0">
        <w:rPr>
          <w:lang w:val="es-PE"/>
        </w:rPr>
        <w:t xml:space="preserve">que, la Póliza en el punto primero hace referencia dentro de los límites de cobertura, la cobertura por robo total por una suma asegurada de USD 27,500 (veintisiete mil quinientos dólares americanos y 00/100); </w:t>
      </w:r>
      <w:r w:rsidRPr="3541BDFD" w:rsidR="00BF09A0">
        <w:rPr>
          <w:b w:val="1"/>
          <w:bCs w:val="1"/>
          <w:i w:val="1"/>
          <w:iCs w:val="1"/>
          <w:lang w:val="es-PE"/>
        </w:rPr>
        <w:t>f)</w:t>
      </w:r>
      <w:r w:rsidRPr="3541BDFD" w:rsidR="00BF09A0">
        <w:rPr>
          <w:lang w:val="es-PE"/>
        </w:rPr>
        <w:t xml:space="preserve"> que, suscitado el hecho, se constituyó de manera inmediata a la autoridad correspondiente, Policía Nacional del Perú, y se comunicó con su bróker de seguros, éste último, dio cuenta a la central de emergencias de </w:t>
      </w:r>
      <w:r w:rsidRPr="3541BDFD" w:rsidR="3A6D4590">
        <w:rPr>
          <w:lang w:val="es-PE"/>
        </w:rPr>
        <w:t>....................</w:t>
      </w:r>
      <w:r w:rsidRPr="3541BDFD" w:rsidR="00BF09A0">
        <w:rPr>
          <w:lang w:val="es-PE"/>
        </w:rPr>
        <w:t xml:space="preserve"> (generándose el reporte </w:t>
      </w:r>
      <w:r w:rsidRPr="3541BDFD" w:rsidR="00BF09A0">
        <w:rPr>
          <w:lang w:val="es-PE"/>
        </w:rPr>
        <w:t>n.°</w:t>
      </w:r>
      <w:r w:rsidRPr="3541BDFD" w:rsidR="00BF09A0">
        <w:rPr>
          <w:lang w:val="es-PE"/>
        </w:rPr>
        <w:t xml:space="preserve"> 5303), respecto del siniestro; </w:t>
      </w:r>
      <w:r w:rsidRPr="3541BDFD" w:rsidR="00BF09A0">
        <w:rPr>
          <w:b w:val="1"/>
          <w:bCs w:val="1"/>
          <w:i w:val="1"/>
          <w:iCs w:val="1"/>
          <w:lang w:val="es-PE"/>
        </w:rPr>
        <w:t>g)</w:t>
      </w:r>
      <w:r w:rsidRPr="3541BDFD" w:rsidR="00BF09A0">
        <w:rPr>
          <w:lang w:val="es-PE"/>
        </w:rPr>
        <w:t xml:space="preserve"> que, el 13 de marzo de 2024 se comunicó el procurador de </w:t>
      </w:r>
      <w:r w:rsidRPr="3541BDFD" w:rsidR="308E0966">
        <w:rPr>
          <w:lang w:val="es-PE"/>
        </w:rPr>
        <w:t>....................</w:t>
      </w:r>
      <w:r w:rsidRPr="3541BDFD" w:rsidR="00BF09A0">
        <w:rPr>
          <w:lang w:val="es-PE"/>
        </w:rPr>
        <w:t xml:space="preserve">, a fin de realizar el recabo de su declaración con relación al siniestro; </w:t>
      </w:r>
      <w:r w:rsidRPr="3541BDFD" w:rsidR="00BF09A0">
        <w:rPr>
          <w:b w:val="1"/>
          <w:bCs w:val="1"/>
          <w:i w:val="1"/>
          <w:iCs w:val="1"/>
          <w:lang w:val="es-PE"/>
        </w:rPr>
        <w:t>h)</w:t>
      </w:r>
      <w:r w:rsidRPr="3541BDFD" w:rsidR="00BF09A0">
        <w:rPr>
          <w:lang w:val="es-PE"/>
        </w:rPr>
        <w:t xml:space="preserve"> que, el 9 de abril de 2024, fue informada por su bróker de seguros, indicando que el siniestro en </w:t>
      </w:r>
      <w:r w:rsidRPr="3541BDFD" w:rsidR="00BF09A0">
        <w:rPr>
          <w:lang w:val="es-PE"/>
        </w:rPr>
        <w:t>reclamo,</w:t>
      </w:r>
      <w:r w:rsidRPr="3541BDFD" w:rsidR="00BF09A0">
        <w:rPr>
          <w:lang w:val="es-PE"/>
        </w:rPr>
        <w:t xml:space="preserve"> estaba siendo atendido y solicita la carta de pérdida total; </w:t>
      </w:r>
      <w:r w:rsidRPr="3541BDFD" w:rsidR="00BF09A0">
        <w:rPr>
          <w:b w:val="1"/>
          <w:bCs w:val="1"/>
          <w:i w:val="1"/>
          <w:iCs w:val="1"/>
          <w:lang w:val="es-PE"/>
        </w:rPr>
        <w:t>i)</w:t>
      </w:r>
      <w:r w:rsidRPr="3541BDFD" w:rsidR="00BF09A0">
        <w:rPr>
          <w:lang w:val="es-PE"/>
        </w:rPr>
        <w:t xml:space="preserve"> que, el 14 mayo de 2024, fue notificada con la carta </w:t>
      </w:r>
      <w:r w:rsidRPr="3541BDFD" w:rsidR="00BF09A0">
        <w:rPr>
          <w:lang w:val="es-PE"/>
        </w:rPr>
        <w:t>n.°</w:t>
      </w:r>
      <w:r w:rsidRPr="3541BDFD" w:rsidR="00BF09A0">
        <w:rPr>
          <w:lang w:val="es-PE"/>
        </w:rPr>
        <w:t xml:space="preserve"> </w:t>
      </w:r>
      <w:r w:rsidRPr="3541BDFD" w:rsidR="5E3941B2">
        <w:rPr>
          <w:lang w:val="es-PE"/>
        </w:rPr>
        <w:t>............................</w:t>
      </w:r>
      <w:r w:rsidRPr="3541BDFD" w:rsidR="00BF09A0">
        <w:rPr>
          <w:lang w:val="es-PE"/>
        </w:rPr>
        <w:t xml:space="preserve"> de fecha 13 de mayo de 2024, la cual indica que no procedía la cobertura (“Carta de rechazo”); </w:t>
      </w:r>
      <w:r w:rsidRPr="3541BDFD" w:rsidR="00BF09A0">
        <w:rPr>
          <w:b w:val="1"/>
          <w:bCs w:val="1"/>
          <w:i w:val="1"/>
          <w:iCs w:val="1"/>
          <w:lang w:val="es-PE"/>
        </w:rPr>
        <w:t xml:space="preserve">j) </w:t>
      </w:r>
      <w:r w:rsidRPr="3541BDFD" w:rsidR="00BF09A0">
        <w:rPr>
          <w:lang w:val="es-PE"/>
        </w:rPr>
        <w:t xml:space="preserve">que, la Carta de rechazo señala que al realizar la evaluación de los informes y documentos del siniestro, se verificó en el Registro de la Propiedad Vehicular, que el vehículo asegurado se encuentra registrado como propiedad del BCP, que lo adquirió el 22 agosto de 2018 y continúa siendo el propietario, no habiéndose designado al propietario del vehículo como beneficiario de la Póliza; </w:t>
      </w:r>
      <w:r w:rsidRPr="3541BDFD" w:rsidR="00BF09A0">
        <w:rPr>
          <w:b w:val="1"/>
          <w:bCs w:val="1"/>
          <w:i w:val="1"/>
          <w:iCs w:val="1"/>
          <w:lang w:val="es-PE"/>
        </w:rPr>
        <w:t>k)</w:t>
      </w:r>
      <w:r w:rsidRPr="3541BDFD" w:rsidR="00BF09A0">
        <w:rPr>
          <w:lang w:val="es-PE"/>
        </w:rPr>
        <w:t xml:space="preserve"> que, la Carta de rechazo señala que las Cláusulas generales de contratación de la Póliza, cubren cualquier riesgo siempre que, al tiempo de su celebración, exista un interés asegurable actual o contingente; asimismo concluye que, se contrató un seguro sin que el contratante o asegurado tuviera interés asegurable con respecto al vehículo de placa </w:t>
      </w:r>
      <w:r w:rsidRPr="3541BDFD" w:rsidR="341E34DB">
        <w:rPr>
          <w:lang w:val="es-PE"/>
        </w:rPr>
        <w:t>.................</w:t>
      </w:r>
      <w:r w:rsidRPr="3541BDFD" w:rsidR="00BF09A0">
        <w:rPr>
          <w:lang w:val="es-PE"/>
        </w:rPr>
        <w:t xml:space="preserve">, ya que. en el momento en que se contrató la Póliza, la empresa no era propietaria del vehículo asegurado; </w:t>
      </w:r>
      <w:r w:rsidRPr="3541BDFD" w:rsidR="00BF09A0">
        <w:rPr>
          <w:b w:val="1"/>
          <w:bCs w:val="1"/>
          <w:i w:val="1"/>
          <w:iCs w:val="1"/>
          <w:lang w:val="es-PE"/>
        </w:rPr>
        <w:t>l)</w:t>
      </w:r>
      <w:r w:rsidRPr="3541BDFD" w:rsidR="00BF09A0">
        <w:rPr>
          <w:lang w:val="es-PE"/>
        </w:rPr>
        <w:t xml:space="preserve"> que, el 28 de mayo su bróker de seguros presentó los descargos correspondientes, señalando que es falsa toda afirmación respecto que no ha designado o señalado al propietario registral del vehículo como asegurado o beneficiario de la Póliza, pues existe un endoso de cesión de derechos con vigencia desde el 2 de agosto 2023 hasta el 2 de agosto de 2024 (es decir, desde que se emitió la póliza, inclusive); </w:t>
      </w:r>
      <w:r w:rsidRPr="3541BDFD" w:rsidR="00BF09A0">
        <w:rPr>
          <w:b w:val="1"/>
          <w:bCs w:val="1"/>
          <w:i w:val="1"/>
          <w:iCs w:val="1"/>
          <w:lang w:val="es-PE"/>
        </w:rPr>
        <w:t>m)</w:t>
      </w:r>
      <w:r w:rsidRPr="3541BDFD" w:rsidR="00BF09A0">
        <w:rPr>
          <w:lang w:val="es-PE"/>
        </w:rPr>
        <w:t xml:space="preserve"> que, en virtud del mencionado endoso, toda indemnización derivada del siniestro debió ser desembolsada a favor del BCP, usanza común al momento de emisión de pólizas respecto de unidades con leasing o crédito vehicular y aceptadas por las entidades financieras al </w:t>
      </w:r>
      <w:r w:rsidRPr="3541BDFD" w:rsidR="00BF09A0">
        <w:rPr>
          <w:lang w:val="es-PE"/>
        </w:rPr>
        <w:t xml:space="preserve">momento de revisión de pólizas; </w:t>
      </w:r>
      <w:r w:rsidRPr="3541BDFD" w:rsidR="00BF09A0">
        <w:rPr>
          <w:b w:val="1"/>
          <w:bCs w:val="1"/>
          <w:i w:val="1"/>
          <w:iCs w:val="1"/>
          <w:lang w:val="es-PE"/>
        </w:rPr>
        <w:t>n)</w:t>
      </w:r>
      <w:r w:rsidRPr="3541BDFD" w:rsidR="00BF09A0">
        <w:rPr>
          <w:lang w:val="es-PE"/>
        </w:rPr>
        <w:t xml:space="preserve"> que, no niega que la titularidad registral del vehículo asegurado sea del BCP y que toda indemnización debiera ser dirigida a ellos, lo que niega es que no exista interés asegurable; </w:t>
      </w:r>
      <w:r w:rsidRPr="3541BDFD" w:rsidR="00BF09A0">
        <w:rPr>
          <w:b w:val="1"/>
          <w:bCs w:val="1"/>
          <w:i w:val="1"/>
          <w:iCs w:val="1"/>
          <w:lang w:val="es-PE"/>
        </w:rPr>
        <w:t>ñ)</w:t>
      </w:r>
      <w:r w:rsidRPr="3541BDFD" w:rsidR="00BF09A0">
        <w:rPr>
          <w:lang w:val="es-PE"/>
        </w:rPr>
        <w:t xml:space="preserve"> que, el interés asegurable existe a razón del contrato de leasing </w:t>
      </w:r>
      <w:r w:rsidRPr="3541BDFD" w:rsidR="00BF09A0">
        <w:rPr>
          <w:lang w:val="es-PE"/>
        </w:rPr>
        <w:t>n.°</w:t>
      </w:r>
      <w:r w:rsidRPr="3541BDFD" w:rsidR="00BF09A0">
        <w:rPr>
          <w:lang w:val="es-PE"/>
        </w:rPr>
        <w:t xml:space="preserve"> </w:t>
      </w:r>
      <w:r w:rsidRPr="3541BDFD" w:rsidR="2E5F16D0">
        <w:rPr>
          <w:lang w:val="es-PE"/>
        </w:rPr>
        <w:t>....................</w:t>
      </w:r>
      <w:r w:rsidRPr="3541BDFD" w:rsidR="00BF09A0">
        <w:rPr>
          <w:lang w:val="es-PE"/>
        </w:rPr>
        <w:t xml:space="preserve"> por el cual se adquirió el vehículo de placa </w:t>
      </w:r>
      <w:r w:rsidRPr="3541BDFD" w:rsidR="341E34DB">
        <w:rPr>
          <w:lang w:val="es-PE"/>
        </w:rPr>
        <w:t>.................</w:t>
      </w:r>
      <w:r w:rsidRPr="3541BDFD" w:rsidR="00BF09A0">
        <w:rPr>
          <w:lang w:val="es-PE"/>
        </w:rPr>
        <w:t xml:space="preserve">, adicionado a que la Póliza sí permite asegurar vehículos de propiedad de terceros, de acuerdo con una Condición especial, por lo que sí existe interés asegurable; </w:t>
      </w:r>
      <w:r w:rsidRPr="3541BDFD" w:rsidR="00BF09A0">
        <w:rPr>
          <w:b w:val="1"/>
          <w:bCs w:val="1"/>
          <w:i w:val="1"/>
          <w:iCs w:val="1"/>
          <w:lang w:val="es-PE"/>
        </w:rPr>
        <w:t xml:space="preserve">o) </w:t>
      </w:r>
      <w:r w:rsidRPr="3541BDFD" w:rsidR="00BF09A0">
        <w:rPr>
          <w:lang w:val="es-PE"/>
        </w:rPr>
        <w:t xml:space="preserve">que, el interés asegurable es el interés económico y legal que una persona o entidad tiene en que un bien que pide asegurar se pierda o se dañe; es decir, la razón por la cual la persona lo protege es para que no se afecte su patrimonio; </w:t>
      </w:r>
      <w:r w:rsidRPr="3541BDFD" w:rsidR="00BF09A0">
        <w:rPr>
          <w:b w:val="1"/>
          <w:bCs w:val="1"/>
          <w:i w:val="1"/>
          <w:iCs w:val="1"/>
          <w:lang w:val="es-PE"/>
        </w:rPr>
        <w:t>p)</w:t>
      </w:r>
      <w:r w:rsidRPr="3541BDFD" w:rsidR="00BF09A0">
        <w:rPr>
          <w:lang w:val="es-PE"/>
        </w:rPr>
        <w:t xml:space="preserve"> que, si el vehículo asegurado se encuentra a nombre del BCP es porque se trata de un leasing, siendo el leasing un contrato mediante el cual una entidad financiera adquiere un bien a solicitud de una empresa o persona y se lo cede en uso por un período determinado; </w:t>
      </w:r>
      <w:r w:rsidRPr="3541BDFD" w:rsidR="00BF09A0">
        <w:rPr>
          <w:b w:val="1"/>
          <w:bCs w:val="1"/>
          <w:i w:val="1"/>
          <w:iCs w:val="1"/>
          <w:lang w:val="es-PE"/>
        </w:rPr>
        <w:t>q)</w:t>
      </w:r>
      <w:r w:rsidRPr="3541BDFD" w:rsidR="00BF09A0">
        <w:rPr>
          <w:lang w:val="es-PE"/>
        </w:rPr>
        <w:t xml:space="preserve"> que, bajo la figura de leasing el arrendatario (empresa o persona que solicita el leasing) es quien paga mensualmente al banco por el uso el bien y lo hace porque este es un mecanismo de financiamiento que permite a las empresas utilizar bienes de alto valor sin realizar un desembolso inicial importante, lo que les permite liquidez para su negocio; </w:t>
      </w:r>
      <w:r w:rsidRPr="3541BDFD" w:rsidR="00BF09A0">
        <w:rPr>
          <w:b w:val="1"/>
          <w:bCs w:val="1"/>
          <w:i w:val="1"/>
          <w:iCs w:val="1"/>
          <w:lang w:val="es-PE"/>
        </w:rPr>
        <w:t>r)</w:t>
      </w:r>
      <w:r w:rsidRPr="3541BDFD" w:rsidR="00BF09A0">
        <w:rPr>
          <w:lang w:val="es-PE"/>
        </w:rPr>
        <w:t xml:space="preserve"> que, en el momento de la suscripción, se tiene acceso a la placa del bien y se conoce al propietario; en ese sentido no procede rechazar la cobertura porque </w:t>
      </w:r>
      <w:r w:rsidRPr="3541BDFD" w:rsidR="308E0966">
        <w:rPr>
          <w:lang w:val="es-PE"/>
        </w:rPr>
        <w:t>....................</w:t>
      </w:r>
      <w:r w:rsidRPr="3541BDFD" w:rsidR="00BF09A0">
        <w:rPr>
          <w:lang w:val="es-PE"/>
        </w:rPr>
        <w:t xml:space="preserve"> conocía la figura desde que se suscribió la Póliza; y, </w:t>
      </w:r>
      <w:r w:rsidRPr="3541BDFD" w:rsidR="00BF09A0">
        <w:rPr>
          <w:b w:val="1"/>
          <w:bCs w:val="1"/>
          <w:i w:val="1"/>
          <w:iCs w:val="1"/>
          <w:lang w:val="es-PE"/>
        </w:rPr>
        <w:t>s)</w:t>
      </w:r>
      <w:r w:rsidRPr="3541BDFD" w:rsidR="00BF09A0">
        <w:rPr>
          <w:lang w:val="es-PE"/>
        </w:rPr>
        <w:t xml:space="preserve"> que, en tal sentido, solicita la activación de la cobertura de robo total y se le indemnice por la pérdida total del vehículo </w:t>
      </w:r>
      <w:r w:rsidRPr="3541BDFD" w:rsidR="00BF09A0">
        <w:rPr>
          <w:lang w:val="es-PE"/>
        </w:rPr>
        <w:t>asegurado  por</w:t>
      </w:r>
      <w:r w:rsidRPr="3541BDFD" w:rsidR="00BF09A0">
        <w:rPr>
          <w:lang w:val="es-PE"/>
        </w:rPr>
        <w:t xml:space="preserve"> el valor de USD 27,500 (veintisiete mil quinientos dólares americanos y 00/100).</w:t>
      </w:r>
    </w:p>
    <w:p w:rsidRPr="00BF09A0" w:rsidR="00BF09A0" w:rsidP="00BF09A0" w:rsidRDefault="00BF09A0" w14:paraId="2352B665" w14:textId="77777777">
      <w:pPr>
        <w:jc w:val="both"/>
        <w:outlineLvl w:val="0"/>
        <w:rPr>
          <w:lang w:val="es-PE"/>
        </w:rPr>
      </w:pPr>
    </w:p>
    <w:p w:rsidRPr="00BF09A0" w:rsidR="00BF09A0" w:rsidP="00BF09A0" w:rsidRDefault="00BF09A0" w14:paraId="7F4B1BDB" w14:textId="26336A96">
      <w:pPr>
        <w:jc w:val="both"/>
        <w:outlineLvl w:val="0"/>
        <w:rPr>
          <w:lang w:val="es-PE"/>
        </w:rPr>
      </w:pPr>
      <w:r w:rsidRPr="3541BDFD" w:rsidR="00BF09A0">
        <w:rPr>
          <w:lang w:val="es-PE"/>
        </w:rPr>
        <w:t xml:space="preserve">Que, con su reclamo, </w:t>
      </w:r>
      <w:r w:rsidRPr="3541BDFD" w:rsidR="2F0AE81F">
        <w:rPr>
          <w:lang w:val="es-PE"/>
        </w:rPr>
        <w:t>...........................................................................</w:t>
      </w:r>
      <w:r w:rsidRPr="3541BDFD" w:rsidR="00BF09A0">
        <w:rPr>
          <w:lang w:val="es-PE"/>
        </w:rPr>
        <w:t xml:space="preserve"> presentó los siguientes documentos: </w:t>
      </w:r>
      <w:r w:rsidRPr="3541BDFD" w:rsidR="00BF09A0">
        <w:rPr>
          <w:b w:val="1"/>
          <w:bCs w:val="1"/>
          <w:i w:val="1"/>
          <w:iCs w:val="1"/>
          <w:lang w:val="es-PE"/>
        </w:rPr>
        <w:t>(i)</w:t>
      </w:r>
      <w:r w:rsidRPr="3541BDFD" w:rsidR="00BF09A0">
        <w:rPr>
          <w:lang w:val="es-PE"/>
        </w:rPr>
        <w:t xml:space="preserve"> copia del documento nacional de identidad del representante de la empresa; </w:t>
      </w:r>
      <w:r w:rsidRPr="3541BDFD" w:rsidR="00BF09A0">
        <w:rPr>
          <w:b w:val="1"/>
          <w:bCs w:val="1"/>
          <w:i w:val="1"/>
          <w:iCs w:val="1"/>
          <w:lang w:val="es-PE"/>
        </w:rPr>
        <w:t>(</w:t>
      </w:r>
      <w:r w:rsidRPr="3541BDFD" w:rsidR="00BF09A0">
        <w:rPr>
          <w:b w:val="1"/>
          <w:bCs w:val="1"/>
          <w:i w:val="1"/>
          <w:iCs w:val="1"/>
          <w:lang w:val="es-PE"/>
        </w:rPr>
        <w:t>ii</w:t>
      </w:r>
      <w:r w:rsidRPr="3541BDFD" w:rsidR="00BF09A0">
        <w:rPr>
          <w:b w:val="1"/>
          <w:bCs w:val="1"/>
          <w:i w:val="1"/>
          <w:iCs w:val="1"/>
          <w:lang w:val="es-PE"/>
        </w:rPr>
        <w:t>)</w:t>
      </w:r>
      <w:r w:rsidRPr="3541BDFD" w:rsidR="00BF09A0">
        <w:rPr>
          <w:lang w:val="es-PE"/>
        </w:rPr>
        <w:t xml:space="preserve"> copia de la vigencia de poder del representante de la empresa; </w:t>
      </w:r>
      <w:r w:rsidRPr="3541BDFD" w:rsidR="00BF09A0">
        <w:rPr>
          <w:b w:val="1"/>
          <w:bCs w:val="1"/>
          <w:i w:val="1"/>
          <w:iCs w:val="1"/>
          <w:lang w:val="es-PE"/>
        </w:rPr>
        <w:t>(</w:t>
      </w:r>
      <w:r w:rsidRPr="3541BDFD" w:rsidR="00BF09A0">
        <w:rPr>
          <w:b w:val="1"/>
          <w:bCs w:val="1"/>
          <w:i w:val="1"/>
          <w:iCs w:val="1"/>
          <w:lang w:val="es-PE"/>
        </w:rPr>
        <w:t>iii</w:t>
      </w:r>
      <w:r w:rsidRPr="3541BDFD" w:rsidR="00BF09A0">
        <w:rPr>
          <w:b w:val="1"/>
          <w:bCs w:val="1"/>
          <w:i w:val="1"/>
          <w:iCs w:val="1"/>
          <w:lang w:val="es-PE"/>
        </w:rPr>
        <w:t xml:space="preserve">) </w:t>
      </w:r>
      <w:r w:rsidRPr="3541BDFD" w:rsidR="00BF09A0">
        <w:rPr>
          <w:lang w:val="es-PE"/>
        </w:rPr>
        <w:t xml:space="preserve">copia de la Carta de rechazo; y, </w:t>
      </w:r>
      <w:r w:rsidRPr="3541BDFD" w:rsidR="00BF09A0">
        <w:rPr>
          <w:b w:val="1"/>
          <w:bCs w:val="1"/>
          <w:i w:val="1"/>
          <w:iCs w:val="1"/>
          <w:lang w:val="es-PE"/>
        </w:rPr>
        <w:t>(</w:t>
      </w:r>
      <w:r w:rsidRPr="3541BDFD" w:rsidR="00BF09A0">
        <w:rPr>
          <w:b w:val="1"/>
          <w:bCs w:val="1"/>
          <w:i w:val="1"/>
          <w:iCs w:val="1"/>
          <w:lang w:val="es-PE"/>
        </w:rPr>
        <w:t>iv</w:t>
      </w:r>
      <w:r w:rsidRPr="3541BDFD" w:rsidR="00BF09A0">
        <w:rPr>
          <w:b w:val="1"/>
          <w:bCs w:val="1"/>
          <w:i w:val="1"/>
          <w:iCs w:val="1"/>
          <w:lang w:val="es-PE"/>
        </w:rPr>
        <w:t>)</w:t>
      </w:r>
      <w:r w:rsidRPr="3541BDFD" w:rsidR="00BF09A0">
        <w:rPr>
          <w:lang w:val="es-PE"/>
        </w:rPr>
        <w:t xml:space="preserve"> copia de la Póliza. </w:t>
      </w:r>
    </w:p>
    <w:p w:rsidRPr="00BF09A0" w:rsidR="00BF09A0" w:rsidP="00BF09A0" w:rsidRDefault="00BF09A0" w14:paraId="2D25FD14" w14:textId="77777777">
      <w:pPr>
        <w:jc w:val="both"/>
        <w:outlineLvl w:val="0"/>
        <w:rPr>
          <w:lang w:val="es-PE"/>
        </w:rPr>
      </w:pPr>
    </w:p>
    <w:p w:rsidRPr="00BF09A0" w:rsidR="00BF09A0" w:rsidP="00BF09A0" w:rsidRDefault="00BF09A0" w14:paraId="7F78A70D" w14:textId="688B2097">
      <w:pPr>
        <w:jc w:val="both"/>
        <w:outlineLvl w:val="0"/>
        <w:rPr>
          <w:lang w:val="es-PE"/>
        </w:rPr>
      </w:pPr>
      <w:r w:rsidRPr="00BF09A0" w:rsidR="00BF09A0">
        <w:rPr>
          <w:lang w:val="es-PE"/>
        </w:rPr>
        <w:t xml:space="preserve">Que, </w:t>
      </w:r>
      <w:r w:rsidRPr="3541BDFD" w:rsidR="308E0966">
        <w:rPr>
          <w:lang w:val="es-PE"/>
        </w:rPr>
        <w:t>....................</w:t>
      </w:r>
      <w:r w:rsidRPr="3541BDFD" w:rsidR="00BF09A0">
        <w:rPr>
          <w:lang w:val="es-PE"/>
        </w:rPr>
        <w:t xml:space="preserve"> presentó su descargo el día 14 de julio de 2025, solicitando que el reclamo sea archivado sobre la base de los siguientes argumentos: </w:t>
      </w:r>
      <w:r w:rsidRPr="3541BDFD" w:rsidR="00BF09A0">
        <w:rPr>
          <w:b w:val="1"/>
          <w:bCs w:val="1"/>
          <w:i w:val="1"/>
          <w:iCs w:val="1"/>
          <w:lang w:val="es-PE"/>
        </w:rPr>
        <w:t xml:space="preserve">a) </w:t>
      </w:r>
      <w:r w:rsidRPr="3541BDFD" w:rsidR="00BF09A0">
        <w:rPr>
          <w:lang w:val="es-PE"/>
        </w:rPr>
        <w:t xml:space="preserve">que, el reclamante, contrató con la empresa aseguradora la Póliza; </w:t>
      </w:r>
      <w:r w:rsidRPr="3541BDFD" w:rsidR="00BF09A0">
        <w:rPr>
          <w:b w:val="1"/>
          <w:bCs w:val="1"/>
          <w:i w:val="1"/>
          <w:iCs w:val="1"/>
          <w:lang w:val="es-PE"/>
        </w:rPr>
        <w:t>b)</w:t>
      </w:r>
      <w:r w:rsidRPr="3541BDFD" w:rsidR="00BF09A0">
        <w:rPr>
          <w:lang w:val="es-PE"/>
        </w:rPr>
        <w:t xml:space="preserve"> que, el 12 de marzo de 2025, se produjo un siniestro que afectó al vehículo asegurado, el incidente fue reportado al día siguiente, generándose el reporte </w:t>
      </w:r>
      <w:r w:rsidRPr="3541BDFD" w:rsidR="00BF09A0">
        <w:rPr>
          <w:lang w:val="es-PE"/>
        </w:rPr>
        <w:t>n.°</w:t>
      </w:r>
      <w:r w:rsidRPr="3541BDFD" w:rsidR="00BF09A0">
        <w:rPr>
          <w:lang w:val="es-PE"/>
        </w:rPr>
        <w:t xml:space="preserve"> 5507; </w:t>
      </w:r>
      <w:r w:rsidRPr="3541BDFD" w:rsidR="00BF09A0">
        <w:rPr>
          <w:b w:val="1"/>
          <w:bCs w:val="1"/>
          <w:i w:val="1"/>
          <w:iCs w:val="1"/>
          <w:lang w:val="es-PE"/>
        </w:rPr>
        <w:t>c)</w:t>
      </w:r>
      <w:r w:rsidRPr="3541BDFD" w:rsidR="00BF09A0">
        <w:rPr>
          <w:lang w:val="es-PE"/>
        </w:rPr>
        <w:t xml:space="preserve"> que, la empresa aseguradora procedió a rechazar la cobertura del siniestro basándose en que se identificó falta de interés asegurable; </w:t>
      </w:r>
      <w:r w:rsidRPr="3541BDFD" w:rsidR="00BF09A0">
        <w:rPr>
          <w:b w:val="1"/>
          <w:bCs w:val="1"/>
          <w:i w:val="1"/>
          <w:iCs w:val="1"/>
          <w:lang w:val="es-PE"/>
        </w:rPr>
        <w:t>d)</w:t>
      </w:r>
      <w:r w:rsidRPr="3541BDFD" w:rsidR="00BF09A0">
        <w:rPr>
          <w:lang w:val="es-PE"/>
        </w:rPr>
        <w:t xml:space="preserve"> que, reafirma su posición respecto que el rechazo del siniestro se encuentra plenamente justificado, </w:t>
      </w:r>
      <w:r w:rsidRPr="3541BDFD" w:rsidR="00BF09A0">
        <w:rPr>
          <w:b w:val="1"/>
          <w:bCs w:val="1"/>
          <w:i w:val="1"/>
          <w:iCs w:val="1"/>
          <w:lang w:val="es-PE"/>
        </w:rPr>
        <w:t>e)</w:t>
      </w:r>
      <w:r w:rsidRPr="3541BDFD" w:rsidR="00BF09A0">
        <w:rPr>
          <w:lang w:val="es-PE"/>
        </w:rPr>
        <w:t xml:space="preserve"> que, la póliza vehicular contratada exige como condición esencial la existencia de interés asegurable, el cual se entiende como la relación económica lícita entre el asegurado y el bien asegurado, reflejada en su interés legítimo de que el siniestro no ocurra para evitar un perjuicio en su patrimonio; dicho elemento constituye un requisito indispensable para la validez del contrato de seguro, según lo dispuesto en el artículo 7 del Condicionado general de la Póliza</w:t>
      </w:r>
      <w:r w:rsidRPr="3541BDFD">
        <w:rPr>
          <w:vertAlign w:val="superscript"/>
          <w:lang w:val="es-PE"/>
        </w:rPr>
        <w:footnoteReference w:id="21365"/>
      </w:r>
      <w:r w:rsidRPr="3541BDFD" w:rsidR="00BF09A0">
        <w:rPr>
          <w:lang w:val="es-PE"/>
        </w:rPr>
        <w:t xml:space="preserve"> y el la Ley del contrato de seguro;  </w:t>
      </w:r>
      <w:r w:rsidRPr="3541BDFD" w:rsidR="00BF09A0">
        <w:rPr>
          <w:b w:val="1"/>
          <w:bCs w:val="1"/>
          <w:i w:val="1"/>
          <w:iCs w:val="1"/>
          <w:lang w:val="es-PE"/>
        </w:rPr>
        <w:t>f)</w:t>
      </w:r>
      <w:r w:rsidRPr="3541BDFD" w:rsidR="00BF09A0">
        <w:rPr>
          <w:lang w:val="es-PE"/>
        </w:rPr>
        <w:t xml:space="preserve"> que, a la fecha de contratación de la Póliza y al momento de la ocurrencia del siniestro, la propiedad registral del vehículo asegurado correspondía al BCP desde el año 2018, sin que exista constancia registral de transferencia a favor del asegurado; </w:t>
      </w:r>
      <w:r w:rsidRPr="3541BDFD" w:rsidR="00BF09A0">
        <w:rPr>
          <w:b w:val="1"/>
          <w:bCs w:val="1"/>
          <w:i w:val="1"/>
          <w:iCs w:val="1"/>
          <w:lang w:val="es-PE"/>
        </w:rPr>
        <w:t>g)</w:t>
      </w:r>
      <w:r w:rsidRPr="3541BDFD" w:rsidR="00BF09A0">
        <w:rPr>
          <w:lang w:val="es-PE"/>
        </w:rPr>
        <w:t xml:space="preserve"> que, la existencia de un contrato de leasing carece de relevancia, dado que dicho contrato fue cancelado en octubre de 2021 y, por tanto, no se encontraba vigente al momento del siniestro; </w:t>
      </w:r>
      <w:r w:rsidRPr="3541BDFD" w:rsidR="00BF09A0">
        <w:rPr>
          <w:b w:val="1"/>
          <w:bCs w:val="1"/>
          <w:i w:val="1"/>
          <w:iCs w:val="1"/>
          <w:lang w:val="es-PE"/>
        </w:rPr>
        <w:t>h)</w:t>
      </w:r>
      <w:r w:rsidRPr="3541BDFD" w:rsidR="00BF09A0">
        <w:rPr>
          <w:lang w:val="es-PE"/>
        </w:rPr>
        <w:t xml:space="preserve"> que, el asegurado presentó como descargo documentación referida a dicho contrato y a una eventual transferencia posterior, sin </w:t>
      </w:r>
      <w:r w:rsidRPr="3541BDFD" w:rsidR="00BF09A0">
        <w:rPr>
          <w:lang w:val="es-PE"/>
        </w:rPr>
        <w:t xml:space="preserve">embargo, no acreditó con título de fecha cierta, ni con inscripción registral que ostentara la propiedad del vehículo en la fecha del robo; </w:t>
      </w:r>
      <w:r w:rsidRPr="3541BDFD" w:rsidR="00BF09A0">
        <w:rPr>
          <w:b w:val="1"/>
          <w:bCs w:val="1"/>
          <w:i w:val="1"/>
          <w:iCs w:val="1"/>
          <w:lang w:val="es-PE"/>
        </w:rPr>
        <w:t>i)</w:t>
      </w:r>
      <w:r w:rsidRPr="3541BDFD" w:rsidR="00BF09A0">
        <w:rPr>
          <w:lang w:val="es-PE"/>
        </w:rPr>
        <w:t xml:space="preserve"> que, en consecuencia, no puede sostenerse la existencia de un interés asegurable válido en cabeza del asegurado, siendo el BCP el verdadero propietario y titular del derecho económico sobre el bien; </w:t>
      </w:r>
      <w:r w:rsidRPr="3541BDFD" w:rsidR="00BF09A0">
        <w:rPr>
          <w:b w:val="1"/>
          <w:bCs w:val="1"/>
          <w:i w:val="1"/>
          <w:iCs w:val="1"/>
          <w:lang w:val="es-PE"/>
        </w:rPr>
        <w:t>j)</w:t>
      </w:r>
      <w:r w:rsidRPr="3541BDFD" w:rsidR="00BF09A0">
        <w:rPr>
          <w:lang w:val="es-PE"/>
        </w:rPr>
        <w:t xml:space="preserve"> que, esta situación se ve confirmada, por el hecho de que el propio BCP contrató una póliza vehicular para la misma unidad con otra compañía aseguradora, con vigencia desde el 11 de marzo de 2024, lo cual refuerza su posición como legítimo propietario y asegurado natural del bien siniestrado; </w:t>
      </w:r>
      <w:r w:rsidRPr="3541BDFD" w:rsidR="00BF09A0">
        <w:rPr>
          <w:b w:val="1"/>
          <w:bCs w:val="1"/>
          <w:i w:val="1"/>
          <w:iCs w:val="1"/>
          <w:lang w:val="es-PE"/>
        </w:rPr>
        <w:t xml:space="preserve">k) </w:t>
      </w:r>
      <w:r w:rsidRPr="3541BDFD" w:rsidR="00BF09A0">
        <w:rPr>
          <w:lang w:val="es-PE"/>
        </w:rPr>
        <w:t xml:space="preserve">que, la contratación de la Póliza se realizó bajo el principio de buena fe, previsto en la Ley del contrato de seguro, el cual impone al asegurado la obligación de declarar con veracidad toda circunstancia relevante que pueda influir en la valoración del riesgo por parte del asegurador, la omisión de informar sobre la titularidad del vehículo constituye una vulneración directa a este deber de declaración, afectando la validez misma del contrato celebrado; </w:t>
      </w:r>
      <w:r w:rsidRPr="3541BDFD" w:rsidR="00BF09A0">
        <w:rPr>
          <w:b w:val="1"/>
          <w:bCs w:val="1"/>
          <w:i w:val="1"/>
          <w:iCs w:val="1"/>
          <w:lang w:val="es-PE"/>
        </w:rPr>
        <w:t xml:space="preserve">l) </w:t>
      </w:r>
      <w:r w:rsidRPr="3541BDFD" w:rsidR="00BF09A0">
        <w:rPr>
          <w:lang w:val="es-PE"/>
        </w:rPr>
        <w:t xml:space="preserve">que, la empresa aseguradora, al emitir la Póliza, confió en la exactitud de la información proporcionada por el asegurado, sin que se le haya comunicado la condición de propiedad registral del vehículo ni la falta de un interés asegurable directo, omisión que compromete la confianza recíproca que debe regir la relación contractual y afecta la procedencia de cualquier cobertura; y, </w:t>
      </w:r>
      <w:r w:rsidRPr="3541BDFD" w:rsidR="00BF09A0">
        <w:rPr>
          <w:b w:val="1"/>
          <w:bCs w:val="1"/>
          <w:i w:val="1"/>
          <w:iCs w:val="1"/>
          <w:lang w:val="es-PE"/>
        </w:rPr>
        <w:t xml:space="preserve">m) </w:t>
      </w:r>
      <w:r w:rsidRPr="3541BDFD" w:rsidR="00BF09A0">
        <w:rPr>
          <w:lang w:val="es-PE"/>
        </w:rPr>
        <w:t xml:space="preserve">que, la decisión de rechazo del siniestro se encuentra plenamente sustentada en la falta de interés asegurable y en la omisión de información esencial por parte del asegurado al momento de contratar la póliza, lo cual vicia la validez del contrato desde su origen. </w:t>
      </w:r>
    </w:p>
    <w:p w:rsidRPr="00BF09A0" w:rsidR="00BF09A0" w:rsidP="00BF09A0" w:rsidRDefault="00BF09A0" w14:paraId="08C85876" w14:textId="77777777">
      <w:pPr>
        <w:jc w:val="both"/>
        <w:outlineLvl w:val="0"/>
        <w:rPr>
          <w:lang w:val="es-PE"/>
        </w:rPr>
      </w:pPr>
    </w:p>
    <w:p w:rsidRPr="00BF09A0" w:rsidR="00BF09A0" w:rsidP="00BF09A0" w:rsidRDefault="00BF09A0" w14:paraId="52AD9FB9" w14:textId="3BBE0A76">
      <w:pPr>
        <w:jc w:val="both"/>
        <w:outlineLvl w:val="0"/>
        <w:rPr>
          <w:lang w:val="es-PE"/>
        </w:rPr>
      </w:pPr>
      <w:r w:rsidRPr="3541BDFD" w:rsidR="00BF09A0">
        <w:rPr>
          <w:lang w:val="es-PE"/>
        </w:rPr>
        <w:t xml:space="preserve">Que, con la absolución del reclamo, </w:t>
      </w:r>
      <w:r w:rsidRPr="3541BDFD" w:rsidR="308E0966">
        <w:rPr>
          <w:lang w:val="es-PE"/>
        </w:rPr>
        <w:t>....................</w:t>
      </w:r>
      <w:r w:rsidRPr="3541BDFD" w:rsidR="00BF09A0">
        <w:rPr>
          <w:lang w:val="es-PE"/>
        </w:rPr>
        <w:t xml:space="preserve"> presentó los siguientes documentos: </w:t>
      </w:r>
      <w:r w:rsidRPr="3541BDFD" w:rsidR="00BF09A0">
        <w:rPr>
          <w:b w:val="1"/>
          <w:bCs w:val="1"/>
          <w:i w:val="1"/>
          <w:iCs w:val="1"/>
          <w:lang w:val="es-PE"/>
        </w:rPr>
        <w:t>(i)</w:t>
      </w:r>
      <w:r w:rsidRPr="3541BDFD" w:rsidR="00BF09A0">
        <w:rPr>
          <w:lang w:val="es-PE"/>
        </w:rPr>
        <w:t xml:space="preserve"> copia de la Póliza; </w:t>
      </w:r>
      <w:r w:rsidRPr="3541BDFD" w:rsidR="00BF09A0">
        <w:rPr>
          <w:b w:val="1"/>
          <w:bCs w:val="1"/>
          <w:i w:val="1"/>
          <w:iCs w:val="1"/>
          <w:lang w:val="es-PE"/>
        </w:rPr>
        <w:t>(</w:t>
      </w:r>
      <w:r w:rsidRPr="3541BDFD" w:rsidR="00BF09A0">
        <w:rPr>
          <w:b w:val="1"/>
          <w:bCs w:val="1"/>
          <w:i w:val="1"/>
          <w:iCs w:val="1"/>
          <w:lang w:val="es-PE"/>
        </w:rPr>
        <w:t>ii</w:t>
      </w:r>
      <w:r w:rsidRPr="3541BDFD" w:rsidR="00BF09A0">
        <w:rPr>
          <w:b w:val="1"/>
          <w:bCs w:val="1"/>
          <w:i w:val="1"/>
          <w:iCs w:val="1"/>
          <w:lang w:val="es-PE"/>
        </w:rPr>
        <w:t xml:space="preserve">) </w:t>
      </w:r>
      <w:r w:rsidRPr="3541BDFD" w:rsidR="00BF09A0">
        <w:rPr>
          <w:lang w:val="es-PE"/>
        </w:rPr>
        <w:t xml:space="preserve">copia de las Condicionado general y Cláusulas adicionales de la Póliza para vehículos pesados; </w:t>
      </w:r>
      <w:r w:rsidRPr="3541BDFD" w:rsidR="00BF09A0">
        <w:rPr>
          <w:b w:val="1"/>
          <w:bCs w:val="1"/>
          <w:i w:val="1"/>
          <w:iCs w:val="1"/>
          <w:lang w:val="es-PE"/>
        </w:rPr>
        <w:t>(</w:t>
      </w:r>
      <w:r w:rsidRPr="3541BDFD" w:rsidR="00BF09A0">
        <w:rPr>
          <w:b w:val="1"/>
          <w:bCs w:val="1"/>
          <w:i w:val="1"/>
          <w:iCs w:val="1"/>
          <w:lang w:val="es-PE"/>
        </w:rPr>
        <w:t>iii</w:t>
      </w:r>
      <w:r w:rsidRPr="3541BDFD" w:rsidR="00BF09A0">
        <w:rPr>
          <w:b w:val="1"/>
          <w:bCs w:val="1"/>
          <w:i w:val="1"/>
          <w:iCs w:val="1"/>
          <w:lang w:val="es-PE"/>
        </w:rPr>
        <w:t>)</w:t>
      </w:r>
      <w:r w:rsidRPr="3541BDFD" w:rsidR="00BF09A0">
        <w:rPr>
          <w:lang w:val="es-PE"/>
        </w:rPr>
        <w:t xml:space="preserve"> copia de la Carta de rechazo del 13 de mayo de 2024; </w:t>
      </w:r>
      <w:r w:rsidRPr="3541BDFD" w:rsidR="00BF09A0">
        <w:rPr>
          <w:b w:val="1"/>
          <w:bCs w:val="1"/>
          <w:i w:val="1"/>
          <w:iCs w:val="1"/>
          <w:lang w:val="es-PE"/>
        </w:rPr>
        <w:t>(</w:t>
      </w:r>
      <w:r w:rsidRPr="3541BDFD" w:rsidR="00BF09A0">
        <w:rPr>
          <w:b w:val="1"/>
          <w:bCs w:val="1"/>
          <w:i w:val="1"/>
          <w:iCs w:val="1"/>
          <w:lang w:val="es-PE"/>
        </w:rPr>
        <w:t>iv</w:t>
      </w:r>
      <w:r w:rsidRPr="3541BDFD" w:rsidR="00BF09A0">
        <w:rPr>
          <w:b w:val="1"/>
          <w:bCs w:val="1"/>
          <w:i w:val="1"/>
          <w:iCs w:val="1"/>
          <w:lang w:val="es-PE"/>
        </w:rPr>
        <w:t>)</w:t>
      </w:r>
      <w:r w:rsidRPr="3541BDFD" w:rsidR="00BF09A0">
        <w:rPr>
          <w:lang w:val="es-PE"/>
        </w:rPr>
        <w:t xml:space="preserve"> copia de la comunicación de </w:t>
      </w:r>
      <w:r w:rsidRPr="3541BDFD" w:rsidR="308E0966">
        <w:rPr>
          <w:lang w:val="es-PE"/>
        </w:rPr>
        <w:t>....................</w:t>
      </w:r>
      <w:r w:rsidRPr="3541BDFD" w:rsidR="00BF09A0">
        <w:rPr>
          <w:lang w:val="es-PE"/>
        </w:rPr>
        <w:t xml:space="preserve"> </w:t>
      </w:r>
      <w:r w:rsidRPr="3541BDFD" w:rsidR="00BF09A0">
        <w:rPr>
          <w:lang w:val="es-PE"/>
        </w:rPr>
        <w:t>n.°</w:t>
      </w:r>
      <w:r w:rsidRPr="3541BDFD" w:rsidR="00BF09A0">
        <w:rPr>
          <w:lang w:val="es-PE"/>
        </w:rPr>
        <w:t xml:space="preserve"> </w:t>
      </w:r>
      <w:r w:rsidRPr="3541BDFD" w:rsidR="7CB8CE9F">
        <w:rPr>
          <w:lang w:val="es-PE"/>
        </w:rPr>
        <w:t>......................................</w:t>
      </w:r>
      <w:r w:rsidRPr="3541BDFD" w:rsidR="00BF09A0">
        <w:rPr>
          <w:lang w:val="es-PE"/>
        </w:rPr>
        <w:t xml:space="preserve"> sin fecha, que da respuesta a los descargos presentados por </w:t>
      </w:r>
      <w:r w:rsidRPr="3541BDFD" w:rsidR="2F0AE81F">
        <w:rPr>
          <w:lang w:val="es-PE"/>
        </w:rPr>
        <w:t>...........................................................................</w:t>
      </w:r>
      <w:r w:rsidRPr="3541BDFD" w:rsidR="00BF09A0">
        <w:rPr>
          <w:lang w:val="es-PE"/>
        </w:rPr>
        <w:t xml:space="preserve"> respecto del siniestro por robo total del vehículo asegurado, reiterando la improcedencia del reclamo presentado por la asegurada; y, </w:t>
      </w:r>
      <w:r w:rsidRPr="3541BDFD" w:rsidR="00BF09A0">
        <w:rPr>
          <w:b w:val="1"/>
          <w:bCs w:val="1"/>
          <w:i w:val="1"/>
          <w:iCs w:val="1"/>
          <w:lang w:val="es-PE"/>
        </w:rPr>
        <w:t>(v)</w:t>
      </w:r>
      <w:r w:rsidRPr="3541BDFD" w:rsidR="00BF09A0">
        <w:rPr>
          <w:lang w:val="es-PE"/>
        </w:rPr>
        <w:t xml:space="preserve"> carta DE </w:t>
      </w:r>
      <w:r w:rsidRPr="3541BDFD" w:rsidR="308E0966">
        <w:rPr>
          <w:lang w:val="es-PE"/>
        </w:rPr>
        <w:t>....................</w:t>
      </w:r>
      <w:r w:rsidRPr="3541BDFD" w:rsidR="00BF09A0">
        <w:rPr>
          <w:lang w:val="es-PE"/>
        </w:rPr>
        <w:t xml:space="preserve"> </w:t>
      </w:r>
      <w:r w:rsidRPr="3541BDFD" w:rsidR="00BF09A0">
        <w:rPr>
          <w:lang w:val="es-PE"/>
        </w:rPr>
        <w:t>n.°</w:t>
      </w:r>
      <w:r w:rsidRPr="3541BDFD" w:rsidR="00BF09A0">
        <w:rPr>
          <w:lang w:val="es-PE"/>
        </w:rPr>
        <w:t xml:space="preserve"> </w:t>
      </w:r>
      <w:r w:rsidRPr="3541BDFD" w:rsidR="546E808C">
        <w:rPr>
          <w:lang w:val="es-PE"/>
        </w:rPr>
        <w:t>...................................</w:t>
      </w:r>
      <w:r w:rsidRPr="3541BDFD" w:rsidR="00BF09A0">
        <w:rPr>
          <w:lang w:val="es-PE"/>
        </w:rPr>
        <w:t xml:space="preserve"> del 11 de junio de 2024, como respuesta a la comunicación </w:t>
      </w:r>
      <w:r w:rsidRPr="3541BDFD" w:rsidR="00BF09A0">
        <w:rPr>
          <w:lang w:val="es-PE"/>
        </w:rPr>
        <w:t xml:space="preserve">de  </w:t>
      </w:r>
      <w:r w:rsidRPr="3541BDFD" w:rsidR="2F0AE81F">
        <w:rPr>
          <w:lang w:val="es-PE"/>
        </w:rPr>
        <w:t>...........................................................................</w:t>
      </w:r>
      <w:r w:rsidRPr="3541BDFD" w:rsidR="00BF09A0">
        <w:rPr>
          <w:lang w:val="es-PE"/>
        </w:rPr>
        <w:t xml:space="preserve"> con relación a la solicitud de reevaluación del caso, concluyendo que la solicitud de revertir el pronunciamiento de la empresa aseguradora resulta </w:t>
      </w:r>
      <w:r w:rsidRPr="3541BDFD" w:rsidR="00BF09A0">
        <w:rPr>
          <w:lang w:val="es-PE"/>
        </w:rPr>
        <w:t>infundado</w:t>
      </w:r>
      <w:r w:rsidRPr="3541BDFD" w:rsidR="00BF09A0">
        <w:rPr>
          <w:lang w:val="es-PE"/>
        </w:rPr>
        <w:t>.</w:t>
      </w:r>
    </w:p>
    <w:p w:rsidRPr="00BF09A0" w:rsidR="00BF09A0" w:rsidP="00BF09A0" w:rsidRDefault="00BF09A0" w14:paraId="70253A6B" w14:textId="77777777">
      <w:pPr>
        <w:jc w:val="both"/>
        <w:outlineLvl w:val="0"/>
        <w:rPr>
          <w:lang w:val="es-PE"/>
        </w:rPr>
      </w:pPr>
    </w:p>
    <w:p w:rsidRPr="00BF09A0" w:rsidR="00BF09A0" w:rsidP="00BF09A0" w:rsidRDefault="00BF09A0" w14:paraId="69D55BBD" w14:textId="74CC2BA2">
      <w:pPr>
        <w:jc w:val="both"/>
        <w:outlineLvl w:val="0"/>
        <w:rPr>
          <w:lang w:val="es-PE"/>
        </w:rPr>
      </w:pPr>
      <w:r w:rsidRPr="3541BDFD" w:rsidR="00BF09A0">
        <w:rPr>
          <w:lang w:val="es-PE"/>
        </w:rPr>
        <w:t xml:space="preserve">Que, el 5 de septiembre de 2025, MAVAC Corredores de seguros en representación de </w:t>
      </w:r>
      <w:r w:rsidRPr="3541BDFD" w:rsidR="2F0AE81F">
        <w:rPr>
          <w:lang w:val="es-PE"/>
        </w:rPr>
        <w:t>...........................................................................</w:t>
      </w:r>
      <w:r w:rsidRPr="3541BDFD" w:rsidR="00BF09A0">
        <w:rPr>
          <w:lang w:val="es-PE"/>
        </w:rPr>
        <w:t xml:space="preserve"> presentó un escrito señalando lo siguiente: </w:t>
      </w:r>
      <w:r w:rsidRPr="3541BDFD" w:rsidR="00BF09A0">
        <w:rPr>
          <w:b w:val="1"/>
          <w:bCs w:val="1"/>
          <w:i w:val="1"/>
          <w:iCs w:val="1"/>
          <w:lang w:val="es-PE"/>
        </w:rPr>
        <w:t>a)</w:t>
      </w:r>
      <w:r w:rsidRPr="3541BDFD" w:rsidR="00BF09A0">
        <w:rPr>
          <w:lang w:val="es-PE"/>
        </w:rPr>
        <w:t xml:space="preserve"> que, La Ley del contrato de seguro establece que, para la celebración de un contrato de seguro, debe concurrir el principio de interés asegurable; </w:t>
      </w:r>
      <w:r w:rsidRPr="3541BDFD" w:rsidR="00BF09A0">
        <w:rPr>
          <w:b w:val="1"/>
          <w:bCs w:val="1"/>
          <w:i w:val="1"/>
          <w:iCs w:val="1"/>
          <w:lang w:val="es-PE"/>
        </w:rPr>
        <w:t>b)</w:t>
      </w:r>
      <w:r w:rsidRPr="3541BDFD" w:rsidR="00BF09A0">
        <w:rPr>
          <w:lang w:val="es-PE"/>
        </w:rPr>
        <w:t xml:space="preserve"> que, según la definición aceptada por la Asociación Peruana de Empresas de Seguros (APESEG), este el interés asegurable se configura cuando existe un interés económico legítimo, actual o futuro, en la conservación del bien; </w:t>
      </w:r>
      <w:r w:rsidRPr="3541BDFD" w:rsidR="00BF09A0">
        <w:rPr>
          <w:b w:val="1"/>
          <w:bCs w:val="1"/>
          <w:i w:val="1"/>
          <w:iCs w:val="1"/>
          <w:lang w:val="es-PE"/>
        </w:rPr>
        <w:t>c)</w:t>
      </w:r>
      <w:r w:rsidRPr="3541BDFD" w:rsidR="00BF09A0">
        <w:rPr>
          <w:lang w:val="es-PE"/>
        </w:rPr>
        <w:t xml:space="preserve"> que, en consecuencia, la titularidad registral no constituye un requisito único ni excluyente para acreditar la existencia del interés asegurable; </w:t>
      </w:r>
      <w:r w:rsidRPr="3541BDFD" w:rsidR="00BF09A0">
        <w:rPr>
          <w:b w:val="1"/>
          <w:bCs w:val="1"/>
          <w:i w:val="1"/>
          <w:iCs w:val="1"/>
          <w:lang w:val="es-PE"/>
        </w:rPr>
        <w:t>d)</w:t>
      </w:r>
      <w:r w:rsidRPr="3541BDFD" w:rsidR="00BF09A0">
        <w:rPr>
          <w:lang w:val="es-PE"/>
        </w:rPr>
        <w:t xml:space="preserve"> que, la práctica aseguradora nacional reconoce expresamente la validez de pólizas contratadas sobre bienes sujetos a leasing financiero, dado que el arrendatario mantiene un interés económico directo en el uso y conservación del bien, aun cuando la propiedad registral se encuentre a nombre de la entidad financiera; </w:t>
      </w:r>
      <w:r w:rsidRPr="3541BDFD" w:rsidR="00BF09A0">
        <w:rPr>
          <w:b w:val="1"/>
          <w:bCs w:val="1"/>
          <w:i w:val="1"/>
          <w:iCs w:val="1"/>
          <w:lang w:val="es-PE"/>
        </w:rPr>
        <w:t>e)</w:t>
      </w:r>
      <w:r w:rsidRPr="3541BDFD" w:rsidR="00BF09A0">
        <w:rPr>
          <w:lang w:val="es-PE"/>
        </w:rPr>
        <w:t xml:space="preserve"> que, negar el criterio señalado implicaría desconocer la cobertura de la totalidad de operaciones de leasing en el mercado, lo cual es absurdo y contrario a la función social del seguro; </w:t>
      </w:r>
      <w:r w:rsidRPr="3541BDFD" w:rsidR="00BF09A0">
        <w:rPr>
          <w:b w:val="1"/>
          <w:bCs w:val="1"/>
          <w:i w:val="1"/>
          <w:iCs w:val="1"/>
          <w:lang w:val="es-PE"/>
        </w:rPr>
        <w:t>f)</w:t>
      </w:r>
      <w:r w:rsidRPr="3541BDFD" w:rsidR="00BF09A0">
        <w:rPr>
          <w:lang w:val="es-PE"/>
        </w:rPr>
        <w:t xml:space="preserve"> que, en el presente caso, el asegurado mantenía un riesgo patrimonial derivado del uso, custodia y administración del vehículo siniestrado al momento del robo, lo cual acredita un interés asegurable vigente; </w:t>
      </w:r>
      <w:r w:rsidRPr="3541BDFD" w:rsidR="00BF09A0">
        <w:rPr>
          <w:b w:val="1"/>
          <w:bCs w:val="1"/>
          <w:i w:val="1"/>
          <w:iCs w:val="1"/>
          <w:lang w:val="es-PE"/>
        </w:rPr>
        <w:t>g)</w:t>
      </w:r>
      <w:r w:rsidRPr="3541BDFD" w:rsidR="00BF09A0">
        <w:rPr>
          <w:lang w:val="es-PE"/>
        </w:rPr>
        <w:t xml:space="preserve"> que, </w:t>
      </w:r>
      <w:r w:rsidRPr="3541BDFD" w:rsidR="3A6D4590">
        <w:rPr>
          <w:lang w:val="es-PE"/>
        </w:rPr>
        <w:t>....................</w:t>
      </w:r>
      <w:r w:rsidRPr="3541BDFD" w:rsidR="00BF09A0">
        <w:rPr>
          <w:lang w:val="es-PE"/>
        </w:rPr>
        <w:t xml:space="preserve"> alega omisión </w:t>
      </w:r>
      <w:r w:rsidRPr="3541BDFD" w:rsidR="00BF09A0">
        <w:rPr>
          <w:lang w:val="es-PE"/>
        </w:rPr>
        <w:t xml:space="preserve">en la información sobre la titularidad registral del vehículo, al respecto, los artículos 8 y 15 de la Ley del contrato de seguro señalan que la reticencia o declaración inexacta solo genera la nulidad del contrato si el asegurador prueba dolo o culpa grave del contratante y siempre que la circunstancia omitida hubiese influido decisivamente en la aceptación del riesgo; </w:t>
      </w:r>
      <w:r w:rsidRPr="3541BDFD" w:rsidR="00BF09A0">
        <w:rPr>
          <w:b w:val="1"/>
          <w:bCs w:val="1"/>
          <w:i w:val="1"/>
          <w:iCs w:val="1"/>
          <w:lang w:val="es-PE"/>
        </w:rPr>
        <w:t>h)</w:t>
      </w:r>
      <w:r w:rsidRPr="3541BDFD" w:rsidR="00BF09A0">
        <w:rPr>
          <w:lang w:val="es-PE"/>
        </w:rPr>
        <w:t xml:space="preserve"> que, en este caso, la póliza fue emitida con pleno conocimiento de la realidad del vehículo y sin que existiera ocultamiento doloso; </w:t>
      </w:r>
      <w:r w:rsidRPr="3541BDFD" w:rsidR="00BF09A0">
        <w:rPr>
          <w:b w:val="1"/>
          <w:bCs w:val="1"/>
          <w:i w:val="1"/>
          <w:iCs w:val="1"/>
          <w:lang w:val="es-PE"/>
        </w:rPr>
        <w:t>i)</w:t>
      </w:r>
      <w:r w:rsidRPr="3541BDFD" w:rsidR="00BF09A0">
        <w:rPr>
          <w:lang w:val="es-PE"/>
        </w:rPr>
        <w:t xml:space="preserve"> que, por tanto, no procede invocar falta de buena fe como causal de rechazo; </w:t>
      </w:r>
      <w:r w:rsidRPr="3541BDFD" w:rsidR="00BF09A0">
        <w:rPr>
          <w:b w:val="1"/>
          <w:bCs w:val="1"/>
          <w:i w:val="1"/>
          <w:iCs w:val="1"/>
          <w:lang w:val="es-PE"/>
        </w:rPr>
        <w:t>j)</w:t>
      </w:r>
      <w:r w:rsidRPr="3541BDFD" w:rsidR="00BF09A0">
        <w:rPr>
          <w:lang w:val="es-PE"/>
        </w:rPr>
        <w:t xml:space="preserve"> que, el artículo 40 de la Ley del contrato de seguro prohíbe las estipulaciones que priven al asegurado de la protección que razonablemente espera del contrato o que restrinjan de manera abusiva sus derechos; </w:t>
      </w:r>
      <w:r w:rsidRPr="3541BDFD" w:rsidR="00BF09A0">
        <w:rPr>
          <w:b w:val="1"/>
          <w:bCs w:val="1"/>
          <w:i w:val="1"/>
          <w:iCs w:val="1"/>
          <w:lang w:val="es-PE"/>
        </w:rPr>
        <w:t>k)</w:t>
      </w:r>
      <w:r w:rsidRPr="3541BDFD" w:rsidR="00BF09A0">
        <w:rPr>
          <w:lang w:val="es-PE"/>
        </w:rPr>
        <w:t xml:space="preserve"> que, pretender que solo la titularidad registral otorga interés asegurable constituye una cláusula abusiva y prohibida, pues priva al asegurado de cobertura aun cuando existe un vínculo económico real con el bien; </w:t>
      </w:r>
      <w:r w:rsidRPr="3541BDFD" w:rsidR="00BF09A0">
        <w:rPr>
          <w:b w:val="1"/>
          <w:bCs w:val="1"/>
          <w:i w:val="1"/>
          <w:iCs w:val="1"/>
          <w:lang w:val="es-PE"/>
        </w:rPr>
        <w:t>l)</w:t>
      </w:r>
      <w:r w:rsidRPr="3541BDFD" w:rsidR="00BF09A0">
        <w:rPr>
          <w:lang w:val="es-PE"/>
        </w:rPr>
        <w:t xml:space="preserve"> que, la regla tercera del </w:t>
      </w:r>
      <w:r w:rsidRPr="3541BDFD" w:rsidR="00BF09A0">
        <w:rPr>
          <w:lang w:val="es-PE"/>
        </w:rPr>
        <w:t>articulo</w:t>
      </w:r>
      <w:r w:rsidRPr="3541BDFD" w:rsidR="00BF09A0">
        <w:rPr>
          <w:lang w:val="es-PE"/>
        </w:rPr>
        <w:t xml:space="preserve"> IV, de la Ley del contrato de seguro dispone que toda duda sobre la interpretación del contrato de seguro debe resolverse en el sentido más favorable al asegurado; </w:t>
      </w:r>
      <w:r w:rsidRPr="3541BDFD" w:rsidR="00BF09A0">
        <w:rPr>
          <w:b w:val="1"/>
          <w:bCs w:val="1"/>
          <w:i w:val="1"/>
          <w:iCs w:val="1"/>
          <w:lang w:val="es-PE"/>
        </w:rPr>
        <w:t>m)</w:t>
      </w:r>
      <w:r w:rsidRPr="3541BDFD" w:rsidR="00BF09A0">
        <w:rPr>
          <w:lang w:val="es-PE"/>
        </w:rPr>
        <w:t xml:space="preserve"> que, la Ley del contrato de seguro, en su artículo 88 regula la concurrencia de seguros (pluralidad de seguros), señalando que cuando un mismo interés se asegura contra el mismo riesgo por varios aseguradores, el asegurado puede reclamar a cualquiera de ellos dentro de los límites de la respectiva cobertura; </w:t>
      </w:r>
      <w:r w:rsidRPr="3541BDFD" w:rsidR="00BF09A0">
        <w:rPr>
          <w:b w:val="1"/>
          <w:bCs w:val="1"/>
          <w:i w:val="1"/>
          <w:iCs w:val="1"/>
          <w:lang w:val="es-PE"/>
        </w:rPr>
        <w:t>n)</w:t>
      </w:r>
      <w:r w:rsidRPr="3541BDFD" w:rsidR="00BF09A0">
        <w:rPr>
          <w:lang w:val="es-PE"/>
        </w:rPr>
        <w:t xml:space="preserve"> que, el hecho de que el BCP, como propietario registral, haya contratado una póliza distinta no excluye ni anula el interés asegurable que mantiene </w:t>
      </w:r>
      <w:r w:rsidRPr="3541BDFD" w:rsidR="2F0AE81F">
        <w:rPr>
          <w:lang w:val="es-PE"/>
        </w:rPr>
        <w:t>...........................................................................</w:t>
      </w:r>
      <w:r w:rsidRPr="3541BDFD" w:rsidR="00BF09A0">
        <w:rPr>
          <w:lang w:val="es-PE"/>
        </w:rPr>
        <w:t xml:space="preserve"> sobre el mismo bien; </w:t>
      </w:r>
      <w:r w:rsidRPr="3541BDFD" w:rsidR="00BF09A0">
        <w:rPr>
          <w:b w:val="1"/>
          <w:bCs w:val="1"/>
          <w:i w:val="1"/>
          <w:iCs w:val="1"/>
          <w:lang w:val="es-PE"/>
        </w:rPr>
        <w:t>ñ)</w:t>
      </w:r>
      <w:r w:rsidRPr="3541BDFD" w:rsidR="00BF09A0">
        <w:rPr>
          <w:lang w:val="es-PE"/>
        </w:rPr>
        <w:t xml:space="preserve"> que lo que corresponde, en caso de verificarse doble cobertura, es la aplicación de las reglas de concurrencia, distribuyendo proporcionalmente las indemnizaciones entre aseguradoras según sus respectivos límites; </w:t>
      </w:r>
      <w:r w:rsidRPr="3541BDFD" w:rsidR="00BF09A0">
        <w:rPr>
          <w:b w:val="1"/>
          <w:bCs w:val="1"/>
          <w:i w:val="1"/>
          <w:iCs w:val="1"/>
          <w:lang w:val="es-PE"/>
        </w:rPr>
        <w:t>o)</w:t>
      </w:r>
      <w:r w:rsidRPr="3541BDFD" w:rsidR="00BF09A0">
        <w:rPr>
          <w:lang w:val="es-PE"/>
        </w:rPr>
        <w:t xml:space="preserve"> que, pretender utilizar la concurrencia como causal de nulidad o rechazo constituye una interpretación contraria a la ley y a la práctica aseguradora; la concurrencia no extingue el interés del asegurado, sino que asegura una adecuada coordinación entre aseguradores para evitar el enriquecimiento indebido; y, </w:t>
      </w:r>
      <w:r w:rsidRPr="3541BDFD" w:rsidR="00BF09A0">
        <w:rPr>
          <w:b w:val="1"/>
          <w:bCs w:val="1"/>
          <w:i w:val="1"/>
          <w:iCs w:val="1"/>
          <w:lang w:val="es-PE"/>
        </w:rPr>
        <w:t>p)</w:t>
      </w:r>
      <w:r w:rsidRPr="3541BDFD" w:rsidR="00BF09A0">
        <w:rPr>
          <w:lang w:val="es-PE"/>
        </w:rPr>
        <w:t xml:space="preserve"> que, </w:t>
      </w:r>
      <w:r w:rsidRPr="3541BDFD" w:rsidR="2F0AE81F">
        <w:rPr>
          <w:lang w:val="es-PE"/>
        </w:rPr>
        <w:t>...........................................................................</w:t>
      </w:r>
      <w:r w:rsidRPr="3541BDFD" w:rsidR="00BF09A0">
        <w:rPr>
          <w:lang w:val="es-PE"/>
        </w:rPr>
        <w:t xml:space="preserve"> sí ostenta un interés asegurable legítimo sobre el vehículo siniestrado, por lo que corresponde que la empresa aseguradora active la cobertura de la Póliza y proceda con el pago de la indemnización de manera total o parcial.</w:t>
      </w:r>
    </w:p>
    <w:p w:rsidRPr="00BF09A0" w:rsidR="00BF09A0" w:rsidP="00BF09A0" w:rsidRDefault="00BF09A0" w14:paraId="133AD6DD" w14:textId="77777777">
      <w:pPr>
        <w:jc w:val="both"/>
        <w:outlineLvl w:val="0"/>
        <w:rPr>
          <w:lang w:val="es-PE"/>
        </w:rPr>
      </w:pPr>
    </w:p>
    <w:p w:rsidRPr="00BF09A0" w:rsidR="00BF09A0" w:rsidP="00BF09A0" w:rsidRDefault="00BF09A0" w14:paraId="392D5234" w14:textId="492DA66A">
      <w:pPr>
        <w:jc w:val="both"/>
        <w:outlineLvl w:val="0"/>
        <w:rPr>
          <w:lang w:val="es-PE"/>
        </w:rPr>
      </w:pPr>
      <w:r w:rsidRPr="3541BDFD" w:rsidR="00BF09A0">
        <w:rPr>
          <w:lang w:val="es-PE"/>
        </w:rPr>
        <w:t xml:space="preserve">Que, el 8 de septiembre de 2025 se realizó la audiencia de informe oral con la presencia de los representantes de </w:t>
      </w:r>
      <w:r w:rsidRPr="3541BDFD" w:rsidR="2F0AE81F">
        <w:rPr>
          <w:lang w:val="es-PE"/>
        </w:rPr>
        <w:t>...........................................................................</w:t>
      </w:r>
      <w:r w:rsidRPr="3541BDFD" w:rsidR="00BF09A0">
        <w:rPr>
          <w:lang w:val="es-PE"/>
        </w:rPr>
        <w:t xml:space="preserve">, los que tuvieron la oportunidad de exponer sus argumentos y absolver las preguntas formuladas por los miembros de la Defensoría. Luego de la Audiencia se otorgó a </w:t>
      </w:r>
      <w:r w:rsidRPr="3541BDFD" w:rsidR="2F0AE81F">
        <w:rPr>
          <w:lang w:val="es-PE"/>
        </w:rPr>
        <w:t>...........................................................................</w:t>
      </w:r>
      <w:r w:rsidRPr="3541BDFD" w:rsidR="00BF09A0">
        <w:rPr>
          <w:lang w:val="es-PE"/>
        </w:rPr>
        <w:t xml:space="preserve"> un plazo de tres (3) días hábiles para que presente la siguiente información: </w:t>
      </w:r>
      <w:r w:rsidRPr="3541BDFD" w:rsidR="00BF09A0">
        <w:rPr>
          <w:b w:val="1"/>
          <w:bCs w:val="1"/>
          <w:i w:val="1"/>
          <w:iCs w:val="1"/>
          <w:lang w:val="es-PE"/>
        </w:rPr>
        <w:t>(i)</w:t>
      </w:r>
      <w:r w:rsidRPr="3541BDFD" w:rsidR="00BF09A0">
        <w:rPr>
          <w:lang w:val="es-PE"/>
        </w:rPr>
        <w:t xml:space="preserve"> documentos relacionados con el aviso de siniestro a </w:t>
      </w:r>
      <w:r w:rsidRPr="3541BDFD" w:rsidR="7CFD67DA">
        <w:rPr>
          <w:lang w:val="es-PE"/>
        </w:rPr>
        <w:t>.............................................................................</w:t>
      </w:r>
      <w:r w:rsidRPr="3541BDFD" w:rsidR="00BF09A0">
        <w:rPr>
          <w:lang w:val="es-PE"/>
        </w:rPr>
        <w:t xml:space="preserve"> (“</w:t>
      </w:r>
      <w:r w:rsidRPr="3541BDFD" w:rsidR="17514C33">
        <w:rPr>
          <w:lang w:val="es-PE"/>
        </w:rPr>
        <w:t>.................</w:t>
      </w:r>
      <w:r w:rsidRPr="3541BDFD" w:rsidR="00BF09A0">
        <w:rPr>
          <w:lang w:val="es-PE"/>
        </w:rPr>
        <w:t xml:space="preserve">”), incluyendo la Carta de </w:t>
      </w:r>
      <w:r w:rsidRPr="3541BDFD" w:rsidR="00BF09A0">
        <w:rPr>
          <w:lang w:val="es-PE"/>
        </w:rPr>
        <w:t>rechazo</w:t>
      </w:r>
      <w:r w:rsidRPr="3541BDFD" w:rsidR="00BF09A0">
        <w:rPr>
          <w:lang w:val="es-PE"/>
        </w:rPr>
        <w:t xml:space="preserve"> así como cualquier otro documento relacionado con la solicitud de indemnización producto del siniestro respecto de la Póliza contratada por el BCP con </w:t>
      </w:r>
      <w:r w:rsidRPr="3541BDFD" w:rsidR="17514C33">
        <w:rPr>
          <w:lang w:val="es-PE"/>
        </w:rPr>
        <w:t>.................</w:t>
      </w:r>
      <w:r w:rsidRPr="3541BDFD" w:rsidR="00BF09A0">
        <w:rPr>
          <w:lang w:val="es-PE"/>
        </w:rPr>
        <w:t xml:space="preserve"> con relación al vehículo asegurado; y, </w:t>
      </w:r>
      <w:r w:rsidRPr="3541BDFD" w:rsidR="00BF09A0">
        <w:rPr>
          <w:b w:val="1"/>
          <w:bCs w:val="1"/>
          <w:i w:val="1"/>
          <w:iCs w:val="1"/>
          <w:lang w:val="es-PE"/>
        </w:rPr>
        <w:t>(</w:t>
      </w:r>
      <w:r w:rsidRPr="3541BDFD" w:rsidR="00BF09A0">
        <w:rPr>
          <w:b w:val="1"/>
          <w:bCs w:val="1"/>
          <w:i w:val="1"/>
          <w:iCs w:val="1"/>
          <w:lang w:val="es-PE"/>
        </w:rPr>
        <w:t>ii</w:t>
      </w:r>
      <w:r w:rsidRPr="3541BDFD" w:rsidR="00BF09A0">
        <w:rPr>
          <w:b w:val="1"/>
          <w:bCs w:val="1"/>
          <w:i w:val="1"/>
          <w:iCs w:val="1"/>
          <w:lang w:val="es-PE"/>
        </w:rPr>
        <w:t>)</w:t>
      </w:r>
      <w:r w:rsidRPr="3541BDFD" w:rsidR="00BF09A0">
        <w:rPr>
          <w:lang w:val="es-PE"/>
        </w:rPr>
        <w:t xml:space="preserve"> copia de la comunicación de </w:t>
      </w:r>
      <w:r w:rsidRPr="3541BDFD" w:rsidR="2F0AE81F">
        <w:rPr>
          <w:lang w:val="es-PE"/>
        </w:rPr>
        <w:t>...........................................................................</w:t>
      </w:r>
      <w:r w:rsidRPr="3541BDFD" w:rsidR="00BF09A0">
        <w:rPr>
          <w:lang w:val="es-PE"/>
        </w:rPr>
        <w:t xml:space="preserve"> informando a </w:t>
      </w:r>
      <w:r w:rsidRPr="3541BDFD" w:rsidR="308E0966">
        <w:rPr>
          <w:lang w:val="es-PE"/>
        </w:rPr>
        <w:t>....................</w:t>
      </w:r>
      <w:r w:rsidRPr="3541BDFD" w:rsidR="00BF09A0">
        <w:rPr>
          <w:lang w:val="es-PE"/>
        </w:rPr>
        <w:t xml:space="preserve"> y a </w:t>
      </w:r>
      <w:r w:rsidRPr="3541BDFD" w:rsidR="17514C33">
        <w:rPr>
          <w:lang w:val="es-PE"/>
        </w:rPr>
        <w:t>.................</w:t>
      </w:r>
      <w:r w:rsidRPr="3541BDFD" w:rsidR="00BF09A0">
        <w:rPr>
          <w:lang w:val="es-PE"/>
        </w:rPr>
        <w:t xml:space="preserve"> de la existencia de una pluralidad de seguros. </w:t>
      </w:r>
    </w:p>
    <w:p w:rsidRPr="00BF09A0" w:rsidR="00BF09A0" w:rsidP="00BF09A0" w:rsidRDefault="00BF09A0" w14:paraId="797B2F3A" w14:textId="77777777">
      <w:pPr>
        <w:jc w:val="both"/>
        <w:outlineLvl w:val="0"/>
        <w:rPr>
          <w:lang w:val="es-PE"/>
        </w:rPr>
      </w:pPr>
    </w:p>
    <w:p w:rsidRPr="00BF09A0" w:rsidR="00BF09A0" w:rsidP="00BF09A0" w:rsidRDefault="00BF09A0" w14:paraId="1AB767FD" w14:textId="31B4287A">
      <w:pPr>
        <w:jc w:val="both"/>
        <w:outlineLvl w:val="0"/>
        <w:rPr>
          <w:lang w:val="es-PE"/>
        </w:rPr>
      </w:pPr>
      <w:r w:rsidRPr="3541BDFD" w:rsidR="00BF09A0">
        <w:rPr>
          <w:lang w:val="es-PE"/>
        </w:rPr>
        <w:t xml:space="preserve">Que, con fecha 12 de septiembre de 2025, </w:t>
      </w:r>
      <w:r w:rsidRPr="3541BDFD" w:rsidR="2F0AE81F">
        <w:rPr>
          <w:lang w:val="es-PE"/>
        </w:rPr>
        <w:t>...........................................................................</w:t>
      </w:r>
      <w:r w:rsidRPr="3541BDFD" w:rsidR="00BF09A0">
        <w:rPr>
          <w:lang w:val="es-PE"/>
        </w:rPr>
        <w:t xml:space="preserve"> absolvió el requerimiento de información realizado por los miembros de la Defensoría durante la Audiencia de informe oral y señaló lo siguiente con relación al siniestro, la póliza contratada con </w:t>
      </w:r>
      <w:r w:rsidRPr="3541BDFD" w:rsidR="308E0966">
        <w:rPr>
          <w:lang w:val="es-PE"/>
        </w:rPr>
        <w:t>....................</w:t>
      </w:r>
      <w:r w:rsidRPr="3541BDFD" w:rsidR="00BF09A0">
        <w:rPr>
          <w:lang w:val="es-PE"/>
        </w:rPr>
        <w:t xml:space="preserve"> y la póliza contratada con </w:t>
      </w:r>
      <w:r w:rsidRPr="3541BDFD" w:rsidR="17514C33">
        <w:rPr>
          <w:lang w:val="es-PE"/>
        </w:rPr>
        <w:t>.................</w:t>
      </w:r>
      <w:r w:rsidRPr="3541BDFD" w:rsidR="00BF09A0">
        <w:rPr>
          <w:lang w:val="es-PE"/>
        </w:rPr>
        <w:t xml:space="preserve">: </w:t>
      </w:r>
      <w:r w:rsidRPr="3541BDFD" w:rsidR="00BF09A0">
        <w:rPr>
          <w:b w:val="1"/>
          <w:bCs w:val="1"/>
          <w:i w:val="1"/>
          <w:iCs w:val="1"/>
          <w:lang w:val="es-PE"/>
        </w:rPr>
        <w:t>a)</w:t>
      </w:r>
      <w:r w:rsidRPr="3541BDFD" w:rsidR="00BF09A0">
        <w:rPr>
          <w:lang w:val="es-PE"/>
        </w:rPr>
        <w:t xml:space="preserve"> que, el 12 de marzo de 2024, el vehículo asegurado fue víctima de robo total, hecho que fue denunciado ante la Policía Nacional del Perú el mismo día a las 20:16 h; </w:t>
      </w:r>
      <w:r w:rsidRPr="3541BDFD" w:rsidR="00BF09A0">
        <w:rPr>
          <w:b w:val="1"/>
          <w:bCs w:val="1"/>
          <w:i w:val="1"/>
          <w:iCs w:val="1"/>
          <w:lang w:val="es-PE"/>
        </w:rPr>
        <w:t>b)</w:t>
      </w:r>
      <w:r w:rsidRPr="3541BDFD" w:rsidR="00BF09A0">
        <w:rPr>
          <w:lang w:val="es-PE"/>
        </w:rPr>
        <w:t xml:space="preserve"> que, inicialmente, el reclamo de </w:t>
      </w:r>
      <w:r w:rsidRPr="3541BDFD" w:rsidR="00BF09A0">
        <w:rPr>
          <w:lang w:val="es-PE"/>
        </w:rPr>
        <w:t xml:space="preserve">indemnización fue presentado a la compañía </w:t>
      </w:r>
      <w:r w:rsidRPr="3541BDFD" w:rsidR="308E0966">
        <w:rPr>
          <w:lang w:val="es-PE"/>
        </w:rPr>
        <w:t>....................</w:t>
      </w:r>
      <w:r w:rsidRPr="3541BDFD" w:rsidR="00BF09A0">
        <w:rPr>
          <w:lang w:val="es-PE"/>
        </w:rPr>
        <w:t xml:space="preserve">, con la que se tenía una póliza vigente, sin embargo, en el transcurso de este proceso, tomó conocimiento que también existía una póliza de seguro vigente con </w:t>
      </w:r>
      <w:r w:rsidRPr="3541BDFD" w:rsidR="17514C33">
        <w:rPr>
          <w:lang w:val="es-PE"/>
        </w:rPr>
        <w:t>.................</w:t>
      </w:r>
      <w:r w:rsidRPr="3541BDFD" w:rsidR="00BF09A0">
        <w:rPr>
          <w:lang w:val="es-PE"/>
        </w:rPr>
        <w:t xml:space="preserve">; </w:t>
      </w:r>
      <w:r w:rsidRPr="3541BDFD" w:rsidR="00BF09A0">
        <w:rPr>
          <w:b w:val="1"/>
          <w:bCs w:val="1"/>
          <w:i w:val="1"/>
          <w:iCs w:val="1"/>
          <w:lang w:val="es-PE"/>
        </w:rPr>
        <w:t>c)</w:t>
      </w:r>
      <w:r w:rsidRPr="3541BDFD" w:rsidR="00BF09A0">
        <w:rPr>
          <w:lang w:val="es-PE"/>
        </w:rPr>
        <w:t xml:space="preserve">  que, este hecho se debió a que el BCP continuó cobrando al asegurado dicho seguro de manera automática, sin que el asegurado se percatara de tal situación; </w:t>
      </w:r>
      <w:r w:rsidRPr="3541BDFD" w:rsidR="00BF09A0">
        <w:rPr>
          <w:b w:val="1"/>
          <w:bCs w:val="1"/>
          <w:i w:val="1"/>
          <w:iCs w:val="1"/>
          <w:lang w:val="es-PE"/>
        </w:rPr>
        <w:t>d)</w:t>
      </w:r>
      <w:r w:rsidRPr="3541BDFD" w:rsidR="00BF09A0">
        <w:rPr>
          <w:lang w:val="es-PE"/>
        </w:rPr>
        <w:t xml:space="preserve"> que, en su momento se efectuó el pago al BCP por la "Opción de Compra Plus" del vehículo asegurado, lo cual demuestra el interés asegurable por parte de </w:t>
      </w:r>
      <w:r w:rsidRPr="3541BDFD" w:rsidR="2F0AE81F">
        <w:rPr>
          <w:lang w:val="es-PE"/>
        </w:rPr>
        <w:t>...........................................................................</w:t>
      </w:r>
      <w:r w:rsidRPr="3541BDFD" w:rsidR="00BF09A0">
        <w:rPr>
          <w:lang w:val="es-PE"/>
        </w:rPr>
        <w:t xml:space="preserve">; y, </w:t>
      </w:r>
      <w:r w:rsidRPr="3541BDFD" w:rsidR="00BF09A0">
        <w:rPr>
          <w:b w:val="1"/>
          <w:bCs w:val="1"/>
          <w:i w:val="1"/>
          <w:iCs w:val="1"/>
          <w:lang w:val="es-PE"/>
        </w:rPr>
        <w:t>e)</w:t>
      </w:r>
      <w:r w:rsidRPr="3541BDFD" w:rsidR="00BF09A0">
        <w:rPr>
          <w:lang w:val="es-PE"/>
        </w:rPr>
        <w:t xml:space="preserve"> que, desiste de continuar con el reclamo presentado contra </w:t>
      </w:r>
      <w:r w:rsidRPr="3541BDFD" w:rsidR="17514C33">
        <w:rPr>
          <w:lang w:val="es-PE"/>
        </w:rPr>
        <w:t>.................</w:t>
      </w:r>
      <w:r w:rsidRPr="3541BDFD" w:rsidR="00BF09A0">
        <w:rPr>
          <w:lang w:val="es-PE"/>
        </w:rPr>
        <w:t xml:space="preserve">, debido a que al existir una pluralidad de seguros, y al tener una póliza vigente con </w:t>
      </w:r>
      <w:r w:rsidRPr="3541BDFD" w:rsidR="308E0966">
        <w:rPr>
          <w:lang w:val="es-PE"/>
        </w:rPr>
        <w:t>....................</w:t>
      </w:r>
      <w:r w:rsidRPr="3541BDFD" w:rsidR="00BF09A0">
        <w:rPr>
          <w:lang w:val="es-PE"/>
        </w:rPr>
        <w:t xml:space="preserve"> a la fecha del siniestro, es esta última la que tiene la obligación de atender y cubrir la indemnización por el robo total del vehículo.</w:t>
      </w:r>
    </w:p>
    <w:p w:rsidRPr="00BF09A0" w:rsidR="00BF09A0" w:rsidP="00BF09A0" w:rsidRDefault="00BF09A0" w14:paraId="0CF776A2" w14:textId="77777777">
      <w:pPr>
        <w:jc w:val="both"/>
        <w:outlineLvl w:val="0"/>
        <w:rPr>
          <w:lang w:val="es-PE"/>
        </w:rPr>
      </w:pPr>
    </w:p>
    <w:p w:rsidRPr="00BF09A0" w:rsidR="00BF09A0" w:rsidP="00BF09A0" w:rsidRDefault="00BF09A0" w14:paraId="091D1940" w14:textId="628CC9D7">
      <w:pPr>
        <w:jc w:val="both"/>
        <w:outlineLvl w:val="0"/>
        <w:rPr>
          <w:lang w:val="es-PE"/>
        </w:rPr>
      </w:pPr>
      <w:r w:rsidRPr="3541BDFD" w:rsidR="00BF09A0">
        <w:rPr>
          <w:lang w:val="es-PE"/>
        </w:rPr>
        <w:t xml:space="preserve">Que, con el documento mencionado en el párrafo anterior, </w:t>
      </w:r>
      <w:r w:rsidRPr="3541BDFD" w:rsidR="2F0AE81F">
        <w:rPr>
          <w:lang w:val="es-PE"/>
        </w:rPr>
        <w:t>...........................................................................</w:t>
      </w:r>
      <w:r w:rsidRPr="3541BDFD" w:rsidR="00BF09A0">
        <w:rPr>
          <w:lang w:val="es-PE"/>
        </w:rPr>
        <w:t xml:space="preserve"> presentó los siguientes documentos: </w:t>
      </w:r>
      <w:r w:rsidRPr="3541BDFD" w:rsidR="00BF09A0">
        <w:rPr>
          <w:b w:val="1"/>
          <w:bCs w:val="1"/>
          <w:i w:val="1"/>
          <w:iCs w:val="1"/>
          <w:lang w:val="es-PE"/>
        </w:rPr>
        <w:t>(i)</w:t>
      </w:r>
      <w:r w:rsidRPr="3541BDFD" w:rsidR="00BF09A0">
        <w:rPr>
          <w:lang w:val="es-PE"/>
        </w:rPr>
        <w:t xml:space="preserve"> relación de 24 vehículos asegurados, 22 de ellos con </w:t>
      </w:r>
      <w:r w:rsidRPr="3541BDFD" w:rsidR="308E0966">
        <w:rPr>
          <w:lang w:val="es-PE"/>
        </w:rPr>
        <w:t>....................</w:t>
      </w:r>
      <w:r w:rsidRPr="3541BDFD" w:rsidR="00BF09A0">
        <w:rPr>
          <w:lang w:val="es-PE"/>
        </w:rPr>
        <w:t xml:space="preserve">; </w:t>
      </w:r>
      <w:r w:rsidRPr="3541BDFD" w:rsidR="00BF09A0">
        <w:rPr>
          <w:b w:val="1"/>
          <w:bCs w:val="1"/>
          <w:i w:val="1"/>
          <w:iCs w:val="1"/>
          <w:lang w:val="es-PE"/>
        </w:rPr>
        <w:t>(</w:t>
      </w:r>
      <w:r w:rsidRPr="3541BDFD" w:rsidR="00BF09A0">
        <w:rPr>
          <w:b w:val="1"/>
          <w:bCs w:val="1"/>
          <w:i w:val="1"/>
          <w:iCs w:val="1"/>
          <w:lang w:val="es-PE"/>
        </w:rPr>
        <w:t>ii</w:t>
      </w:r>
      <w:r w:rsidRPr="3541BDFD" w:rsidR="00BF09A0">
        <w:rPr>
          <w:b w:val="1"/>
          <w:bCs w:val="1"/>
          <w:i w:val="1"/>
          <w:iCs w:val="1"/>
          <w:lang w:val="es-PE"/>
        </w:rPr>
        <w:t xml:space="preserve">) </w:t>
      </w:r>
      <w:r w:rsidRPr="3541BDFD" w:rsidR="00BF09A0">
        <w:rPr>
          <w:lang w:val="es-PE"/>
        </w:rPr>
        <w:t xml:space="preserve">copia del correo electrónico de fecha 12 de septiembre de 2025, de </w:t>
      </w:r>
      <w:r w:rsidRPr="3541BDFD" w:rsidR="2F0AE81F">
        <w:rPr>
          <w:lang w:val="es-PE"/>
        </w:rPr>
        <w:t>...........................................................................</w:t>
      </w:r>
      <w:r w:rsidRPr="3541BDFD" w:rsidR="00BF09A0">
        <w:rPr>
          <w:lang w:val="es-PE"/>
        </w:rPr>
        <w:t xml:space="preserve"> reenviando la Póliza contratada con </w:t>
      </w:r>
      <w:r w:rsidRPr="3541BDFD" w:rsidR="308E0966">
        <w:rPr>
          <w:lang w:val="es-PE"/>
        </w:rPr>
        <w:t>....................</w:t>
      </w:r>
      <w:r w:rsidRPr="3541BDFD" w:rsidR="00BF09A0">
        <w:rPr>
          <w:lang w:val="es-PE"/>
        </w:rPr>
        <w:t xml:space="preserve"> a MAVAC Corredores de seguros; </w:t>
      </w:r>
      <w:r w:rsidRPr="3541BDFD" w:rsidR="00BF09A0">
        <w:rPr>
          <w:b w:val="1"/>
          <w:bCs w:val="1"/>
          <w:i w:val="1"/>
          <w:iCs w:val="1"/>
          <w:lang w:val="es-PE"/>
        </w:rPr>
        <w:t>(</w:t>
      </w:r>
      <w:r w:rsidRPr="3541BDFD" w:rsidR="00BF09A0">
        <w:rPr>
          <w:b w:val="1"/>
          <w:bCs w:val="1"/>
          <w:i w:val="1"/>
          <w:iCs w:val="1"/>
          <w:lang w:val="es-PE"/>
        </w:rPr>
        <w:t>iii</w:t>
      </w:r>
      <w:r w:rsidRPr="3541BDFD" w:rsidR="00BF09A0">
        <w:rPr>
          <w:b w:val="1"/>
          <w:bCs w:val="1"/>
          <w:i w:val="1"/>
          <w:iCs w:val="1"/>
          <w:lang w:val="es-PE"/>
        </w:rPr>
        <w:t>)</w:t>
      </w:r>
      <w:r w:rsidRPr="3541BDFD" w:rsidR="00BF09A0">
        <w:rPr>
          <w:lang w:val="es-PE"/>
        </w:rPr>
        <w:t xml:space="preserve"> copia de la Póliza; </w:t>
      </w:r>
      <w:r w:rsidRPr="3541BDFD" w:rsidR="00BF09A0">
        <w:rPr>
          <w:b w:val="1"/>
          <w:bCs w:val="1"/>
          <w:i w:val="1"/>
          <w:iCs w:val="1"/>
          <w:lang w:val="es-PE"/>
        </w:rPr>
        <w:t>(</w:t>
      </w:r>
      <w:r w:rsidRPr="3541BDFD" w:rsidR="00BF09A0">
        <w:rPr>
          <w:b w:val="1"/>
          <w:bCs w:val="1"/>
          <w:i w:val="1"/>
          <w:iCs w:val="1"/>
          <w:lang w:val="es-PE"/>
        </w:rPr>
        <w:t>iv</w:t>
      </w:r>
      <w:r w:rsidRPr="3541BDFD" w:rsidR="00BF09A0">
        <w:rPr>
          <w:b w:val="1"/>
          <w:bCs w:val="1"/>
          <w:i w:val="1"/>
          <w:iCs w:val="1"/>
          <w:lang w:val="es-PE"/>
        </w:rPr>
        <w:t>)</w:t>
      </w:r>
      <w:r w:rsidRPr="3541BDFD" w:rsidR="00BF09A0">
        <w:rPr>
          <w:lang w:val="es-PE"/>
        </w:rPr>
        <w:t xml:space="preserve"> copia de la comunicación del BCP dirigida a </w:t>
      </w:r>
      <w:r w:rsidRPr="3541BDFD" w:rsidR="2F0AE81F">
        <w:rPr>
          <w:lang w:val="es-PE"/>
        </w:rPr>
        <w:t>...........................................................................</w:t>
      </w:r>
      <w:r w:rsidRPr="3541BDFD" w:rsidR="00BF09A0">
        <w:rPr>
          <w:lang w:val="es-PE"/>
        </w:rPr>
        <w:t xml:space="preserve">, de fecha 29 de abril de 2024, con la constancia de no adeudo respecto de la operación de leasing n. </w:t>
      </w:r>
      <w:r w:rsidRPr="3541BDFD" w:rsidR="19BC6EB0">
        <w:rPr>
          <w:lang w:val="es-PE"/>
        </w:rPr>
        <w:t>.................</w:t>
      </w:r>
      <w:r w:rsidRPr="3541BDFD" w:rsidR="00BF09A0">
        <w:rPr>
          <w:lang w:val="es-PE"/>
        </w:rPr>
        <w:t xml:space="preserve"> (Carta de no adeudo); </w:t>
      </w:r>
      <w:r w:rsidRPr="3541BDFD" w:rsidR="00BF09A0">
        <w:rPr>
          <w:b w:val="1"/>
          <w:bCs w:val="1"/>
          <w:i w:val="1"/>
          <w:iCs w:val="1"/>
          <w:lang w:val="es-PE"/>
        </w:rPr>
        <w:t>(v)</w:t>
      </w:r>
      <w:r w:rsidRPr="3541BDFD" w:rsidR="00BF09A0">
        <w:rPr>
          <w:lang w:val="es-PE"/>
        </w:rPr>
        <w:t xml:space="preserve"> copia de la factura electrónica </w:t>
      </w:r>
      <w:r w:rsidRPr="3541BDFD" w:rsidR="00BF09A0">
        <w:rPr>
          <w:lang w:val="es-PE"/>
        </w:rPr>
        <w:t>n.°</w:t>
      </w:r>
      <w:r w:rsidRPr="3541BDFD" w:rsidR="00BF09A0">
        <w:rPr>
          <w:lang w:val="es-PE"/>
        </w:rPr>
        <w:t xml:space="preserve"> </w:t>
      </w:r>
      <w:r w:rsidRPr="3541BDFD" w:rsidR="7ABE4FE1">
        <w:rPr>
          <w:lang w:val="es-PE"/>
        </w:rPr>
        <w:t>............................</w:t>
      </w:r>
      <w:r w:rsidRPr="3541BDFD" w:rsidR="00BF09A0">
        <w:rPr>
          <w:lang w:val="es-PE"/>
        </w:rPr>
        <w:t xml:space="preserve">, librada el 5 de octubre de 2021 respecto del número de contrato </w:t>
      </w:r>
      <w:r w:rsidRPr="3541BDFD" w:rsidR="2E5F16D0">
        <w:rPr>
          <w:lang w:val="es-PE"/>
        </w:rPr>
        <w:t>....................</w:t>
      </w:r>
      <w:r w:rsidRPr="3541BDFD" w:rsidR="00BF09A0">
        <w:rPr>
          <w:lang w:val="es-PE"/>
        </w:rPr>
        <w:t xml:space="preserve"> con la descripción “</w:t>
      </w:r>
      <w:r w:rsidRPr="3541BDFD" w:rsidR="00BF09A0">
        <w:rPr>
          <w:i w:val="1"/>
          <w:iCs w:val="1"/>
          <w:lang w:val="es-PE"/>
        </w:rPr>
        <w:t xml:space="preserve">TRANSFERENCIA DE TARJETA DE PROPIEDAD – Ingreso Transferencia de </w:t>
      </w:r>
      <w:r w:rsidRPr="3541BDFD" w:rsidR="00BF09A0">
        <w:rPr>
          <w:i w:val="1"/>
          <w:iCs w:val="1"/>
          <w:lang w:val="es-PE"/>
        </w:rPr>
        <w:t>Prop</w:t>
      </w:r>
      <w:r w:rsidRPr="3541BDFD" w:rsidR="00BF09A0">
        <w:rPr>
          <w:i w:val="1"/>
          <w:iCs w:val="1"/>
          <w:lang w:val="es-PE"/>
        </w:rPr>
        <w:t>. – PAGO PROV: NO</w:t>
      </w:r>
      <w:r w:rsidRPr="3541BDFD" w:rsidR="00BF09A0">
        <w:rPr>
          <w:lang w:val="es-PE"/>
        </w:rPr>
        <w:t xml:space="preserve">” por el precio de venta de USD 106.20 (ciento seis dólares americanos y 20/100) respecto del vehículo Toyota, modelo Hilux, con placa de rodaje </w:t>
      </w:r>
      <w:r w:rsidRPr="3541BDFD" w:rsidR="00BF09A0">
        <w:rPr>
          <w:lang w:val="es-PE"/>
        </w:rPr>
        <w:t>n.°</w:t>
      </w:r>
      <w:r w:rsidRPr="3541BDFD" w:rsidR="00BF09A0">
        <w:rPr>
          <w:lang w:val="es-PE"/>
        </w:rPr>
        <w:t xml:space="preserve"> </w:t>
      </w:r>
      <w:r w:rsidRPr="3541BDFD" w:rsidR="22DC71A9">
        <w:rPr>
          <w:lang w:val="es-PE"/>
        </w:rPr>
        <w:t>...................</w:t>
      </w:r>
      <w:r w:rsidRPr="3541BDFD" w:rsidR="00BF09A0">
        <w:rPr>
          <w:lang w:val="es-PE"/>
        </w:rPr>
        <w:t xml:space="preserve">; </w:t>
      </w:r>
      <w:r w:rsidRPr="3541BDFD" w:rsidR="00BF09A0">
        <w:rPr>
          <w:b w:val="1"/>
          <w:bCs w:val="1"/>
          <w:i w:val="1"/>
          <w:iCs w:val="1"/>
          <w:lang w:val="es-PE"/>
        </w:rPr>
        <w:t>(vi)</w:t>
      </w:r>
      <w:r w:rsidRPr="3541BDFD" w:rsidR="00BF09A0">
        <w:rPr>
          <w:lang w:val="es-PE"/>
        </w:rPr>
        <w:t xml:space="preserve"> copia de la factura electrónica </w:t>
      </w:r>
      <w:r w:rsidRPr="3541BDFD" w:rsidR="00BF09A0">
        <w:rPr>
          <w:lang w:val="es-PE"/>
        </w:rPr>
        <w:t>n.°</w:t>
      </w:r>
      <w:r w:rsidRPr="3541BDFD" w:rsidR="00BF09A0">
        <w:rPr>
          <w:lang w:val="es-PE"/>
        </w:rPr>
        <w:t xml:space="preserve"> </w:t>
      </w:r>
      <w:r w:rsidRPr="3541BDFD" w:rsidR="499A7124">
        <w:rPr>
          <w:lang w:val="es-PE"/>
        </w:rPr>
        <w:t>...............................</w:t>
      </w:r>
      <w:r w:rsidRPr="3541BDFD" w:rsidR="00BF09A0">
        <w:rPr>
          <w:lang w:val="es-PE"/>
        </w:rPr>
        <w:t xml:space="preserve">, librada el 6 de octubre de 2021 respecto del número de contrato </w:t>
      </w:r>
      <w:r w:rsidRPr="3541BDFD" w:rsidR="2E5F16D0">
        <w:rPr>
          <w:lang w:val="es-PE"/>
        </w:rPr>
        <w:t>....................</w:t>
      </w:r>
      <w:r w:rsidRPr="3541BDFD" w:rsidR="00BF09A0">
        <w:rPr>
          <w:lang w:val="es-PE"/>
        </w:rPr>
        <w:t xml:space="preserve"> con la descripción “</w:t>
      </w:r>
      <w:r w:rsidRPr="3541BDFD" w:rsidR="00BF09A0">
        <w:rPr>
          <w:i w:val="1"/>
          <w:iCs w:val="1"/>
          <w:lang w:val="es-PE"/>
        </w:rPr>
        <w:t xml:space="preserve">Opción de Compra Plus – </w:t>
      </w:r>
      <w:r w:rsidRPr="3541BDFD" w:rsidR="00BF09A0">
        <w:rPr>
          <w:i w:val="1"/>
          <w:iCs w:val="1"/>
          <w:lang w:val="es-PE"/>
        </w:rPr>
        <w:t>Nro</w:t>
      </w:r>
      <w:r w:rsidRPr="3541BDFD" w:rsidR="00BF09A0">
        <w:rPr>
          <w:i w:val="1"/>
          <w:iCs w:val="1"/>
          <w:lang w:val="es-PE"/>
        </w:rPr>
        <w:t xml:space="preserve"> Cuota: OC – PAGO PROV: NO</w:t>
      </w:r>
      <w:r w:rsidRPr="3541BDFD" w:rsidR="00BF09A0">
        <w:rPr>
          <w:lang w:val="es-PE"/>
        </w:rPr>
        <w:t xml:space="preserve">” por el precio de venta de USD 489.70 (cuatrocientos ochenta y nueve dólares americanos y 70/100) respecto del vehículo Toyota, modelo Hilux, con placa de rodaje </w:t>
      </w:r>
      <w:r w:rsidRPr="3541BDFD" w:rsidR="00BF09A0">
        <w:rPr>
          <w:lang w:val="es-PE"/>
        </w:rPr>
        <w:t>n.°</w:t>
      </w:r>
      <w:r w:rsidRPr="3541BDFD" w:rsidR="00BF09A0">
        <w:rPr>
          <w:lang w:val="es-PE"/>
        </w:rPr>
        <w:t xml:space="preserve"> </w:t>
      </w:r>
      <w:r w:rsidRPr="3541BDFD" w:rsidR="22DC71A9">
        <w:rPr>
          <w:lang w:val="es-PE"/>
        </w:rPr>
        <w:t>...................</w:t>
      </w:r>
      <w:r w:rsidRPr="3541BDFD" w:rsidR="00BF09A0">
        <w:rPr>
          <w:lang w:val="es-PE"/>
        </w:rPr>
        <w:t xml:space="preserve"> (Opción de compra); </w:t>
      </w:r>
      <w:r w:rsidRPr="3541BDFD" w:rsidR="00BF09A0">
        <w:rPr>
          <w:b w:val="1"/>
          <w:bCs w:val="1"/>
          <w:i w:val="1"/>
          <w:iCs w:val="1"/>
          <w:lang w:val="es-PE"/>
        </w:rPr>
        <w:t>(</w:t>
      </w:r>
      <w:r w:rsidRPr="3541BDFD" w:rsidR="00BF09A0">
        <w:rPr>
          <w:b w:val="1"/>
          <w:bCs w:val="1"/>
          <w:i w:val="1"/>
          <w:iCs w:val="1"/>
          <w:lang w:val="es-PE"/>
        </w:rPr>
        <w:t>vii</w:t>
      </w:r>
      <w:r w:rsidRPr="3541BDFD" w:rsidR="00BF09A0">
        <w:rPr>
          <w:b w:val="1"/>
          <w:bCs w:val="1"/>
          <w:i w:val="1"/>
          <w:iCs w:val="1"/>
          <w:lang w:val="es-PE"/>
        </w:rPr>
        <w:t>)</w:t>
      </w:r>
      <w:r w:rsidRPr="3541BDFD" w:rsidR="00BF09A0">
        <w:rPr>
          <w:lang w:val="es-PE"/>
        </w:rPr>
        <w:t xml:space="preserve"> copia de la Carta de rechazo; y, </w:t>
      </w:r>
      <w:r w:rsidRPr="3541BDFD" w:rsidR="00BF09A0">
        <w:rPr>
          <w:b w:val="1"/>
          <w:bCs w:val="1"/>
          <w:i w:val="1"/>
          <w:iCs w:val="1"/>
          <w:lang w:val="es-PE"/>
        </w:rPr>
        <w:t>(</w:t>
      </w:r>
      <w:r w:rsidRPr="3541BDFD" w:rsidR="00BF09A0">
        <w:rPr>
          <w:b w:val="1"/>
          <w:bCs w:val="1"/>
          <w:i w:val="1"/>
          <w:iCs w:val="1"/>
          <w:lang w:val="es-PE"/>
        </w:rPr>
        <w:t>viii</w:t>
      </w:r>
      <w:r w:rsidRPr="3541BDFD" w:rsidR="00BF09A0">
        <w:rPr>
          <w:b w:val="1"/>
          <w:bCs w:val="1"/>
          <w:i w:val="1"/>
          <w:iCs w:val="1"/>
          <w:lang w:val="es-PE"/>
        </w:rPr>
        <w:t>)</w:t>
      </w:r>
      <w:r w:rsidRPr="3541BDFD" w:rsidR="00BF09A0">
        <w:rPr>
          <w:lang w:val="es-PE"/>
        </w:rPr>
        <w:t xml:space="preserve"> copia de la carta </w:t>
      </w:r>
      <w:r w:rsidRPr="3541BDFD" w:rsidR="00BF09A0">
        <w:rPr>
          <w:lang w:val="es-PE"/>
        </w:rPr>
        <w:t>n.°</w:t>
      </w:r>
      <w:r w:rsidRPr="3541BDFD" w:rsidR="00BF09A0">
        <w:rPr>
          <w:lang w:val="es-PE"/>
        </w:rPr>
        <w:t xml:space="preserve"> </w:t>
      </w:r>
      <w:r w:rsidRPr="3541BDFD" w:rsidR="1C233799">
        <w:rPr>
          <w:lang w:val="es-PE"/>
        </w:rPr>
        <w:t>..........................................</w:t>
      </w:r>
      <w:r w:rsidRPr="3541BDFD" w:rsidR="00BF09A0">
        <w:rPr>
          <w:lang w:val="es-PE"/>
        </w:rPr>
        <w:t xml:space="preserve"> de fecha 20 de mayo de 2024 de </w:t>
      </w:r>
      <w:r w:rsidRPr="3541BDFD" w:rsidR="17514C33">
        <w:rPr>
          <w:lang w:val="es-PE"/>
        </w:rPr>
        <w:t>.................</w:t>
      </w:r>
      <w:r w:rsidRPr="3541BDFD" w:rsidR="00BF09A0">
        <w:rPr>
          <w:lang w:val="es-PE"/>
        </w:rPr>
        <w:t xml:space="preserve"> a </w:t>
      </w:r>
      <w:r w:rsidRPr="3541BDFD" w:rsidR="2F0AE81F">
        <w:rPr>
          <w:lang w:val="es-PE"/>
        </w:rPr>
        <w:t>...........................................................................</w:t>
      </w:r>
      <w:r w:rsidRPr="3541BDFD" w:rsidR="00BF09A0">
        <w:rPr>
          <w:lang w:val="es-PE"/>
        </w:rPr>
        <w:t xml:space="preserve">, rechazando a brindar cobertura al siniestro de fecha 12 de marzo de 2024 respecto del vehículo asegurado por reportar el siniestro a la empresa aseguradora un mes y 25 días de ocurrido. </w:t>
      </w:r>
    </w:p>
    <w:p w:rsidRPr="00BF09A0" w:rsidR="00BF09A0" w:rsidP="00BF09A0" w:rsidRDefault="00BF09A0" w14:paraId="60417259" w14:textId="77777777">
      <w:pPr>
        <w:jc w:val="both"/>
        <w:outlineLvl w:val="0"/>
        <w:rPr>
          <w:lang w:val="es-PE"/>
        </w:rPr>
      </w:pPr>
    </w:p>
    <w:p w:rsidRPr="00BF09A0" w:rsidR="00BF09A0" w:rsidP="00BF09A0" w:rsidRDefault="00BF09A0" w14:paraId="3C5E528A" w14:textId="3B7E60B5">
      <w:pPr>
        <w:jc w:val="both"/>
        <w:outlineLvl w:val="0"/>
        <w:rPr>
          <w:lang w:val="es-PE"/>
        </w:rPr>
      </w:pPr>
      <w:r w:rsidRPr="3541BDFD" w:rsidR="00BF09A0">
        <w:rPr>
          <w:lang w:val="es-PE"/>
        </w:rPr>
        <w:t xml:space="preserve">Que, el 13 de octubre de 2025, la Defensoría requirió a </w:t>
      </w:r>
      <w:r w:rsidRPr="3541BDFD" w:rsidR="2F0AE81F">
        <w:rPr>
          <w:lang w:val="es-PE"/>
        </w:rPr>
        <w:t>...........................................................................</w:t>
      </w:r>
      <w:r w:rsidRPr="3541BDFD" w:rsidR="00BF09A0">
        <w:rPr>
          <w:lang w:val="es-PE"/>
        </w:rPr>
        <w:t xml:space="preserve"> para que presentara copia de la comunicación dirigida a </w:t>
      </w:r>
      <w:r w:rsidRPr="3541BDFD" w:rsidR="17514C33">
        <w:rPr>
          <w:lang w:val="es-PE"/>
        </w:rPr>
        <w:t>.................</w:t>
      </w:r>
      <w:r w:rsidRPr="3541BDFD" w:rsidR="00BF09A0">
        <w:rPr>
          <w:lang w:val="es-PE"/>
        </w:rPr>
        <w:t xml:space="preserve"> desistiéndose de cualquier solicitud o reclamo derivado de la solicitud de indemnización producto del siniestro. </w:t>
      </w:r>
    </w:p>
    <w:p w:rsidRPr="00BF09A0" w:rsidR="00BF09A0" w:rsidP="00BF09A0" w:rsidRDefault="00BF09A0" w14:paraId="4C1A9AF0" w14:textId="77777777">
      <w:pPr>
        <w:jc w:val="both"/>
        <w:outlineLvl w:val="0"/>
        <w:rPr>
          <w:lang w:val="es-PE"/>
        </w:rPr>
      </w:pPr>
    </w:p>
    <w:p w:rsidRPr="00BF09A0" w:rsidR="00BF09A0" w:rsidP="00BF09A0" w:rsidRDefault="00BF09A0" w14:paraId="09914B02" w14:textId="545FD23F">
      <w:pPr>
        <w:jc w:val="both"/>
        <w:outlineLvl w:val="0"/>
        <w:rPr>
          <w:lang w:val="es-PE"/>
        </w:rPr>
      </w:pPr>
      <w:r w:rsidRPr="3541BDFD" w:rsidR="00BF09A0">
        <w:rPr>
          <w:lang w:val="es-PE"/>
        </w:rPr>
        <w:t xml:space="preserve">Que, con fecha 20 de octubre de 2025, </w:t>
      </w:r>
      <w:r w:rsidRPr="3541BDFD" w:rsidR="2F0AE81F">
        <w:rPr>
          <w:lang w:val="es-PE"/>
        </w:rPr>
        <w:t>...........................................................................</w:t>
      </w:r>
      <w:r w:rsidRPr="3541BDFD" w:rsidR="00BF09A0">
        <w:rPr>
          <w:lang w:val="es-PE"/>
        </w:rPr>
        <w:t xml:space="preserve"> presentó copia del correo electrónico dirigido a </w:t>
      </w:r>
      <w:r w:rsidRPr="3541BDFD" w:rsidR="17514C33">
        <w:rPr>
          <w:lang w:val="es-PE"/>
        </w:rPr>
        <w:t>.................</w:t>
      </w:r>
      <w:r w:rsidRPr="3541BDFD" w:rsidR="00BF09A0">
        <w:rPr>
          <w:lang w:val="es-PE"/>
        </w:rPr>
        <w:t xml:space="preserve"> el 16 de octubre de 2025, mediante el cual comunica su desistimiento de continuar con el reclamo presentado respecto de la cobertura del siniestro ocurrido el 12 de marzo de 2024, que afectó al vehículo con placa de rodaje </w:t>
      </w:r>
      <w:r w:rsidRPr="3541BDFD" w:rsidR="00BF09A0">
        <w:rPr>
          <w:lang w:val="es-PE"/>
        </w:rPr>
        <w:t>n.°</w:t>
      </w:r>
      <w:r w:rsidRPr="3541BDFD" w:rsidR="00BF09A0">
        <w:rPr>
          <w:lang w:val="es-PE"/>
        </w:rPr>
        <w:t xml:space="preserve"> </w:t>
      </w:r>
      <w:r w:rsidRPr="3541BDFD" w:rsidR="7646E1E1">
        <w:rPr>
          <w:lang w:val="es-PE"/>
        </w:rPr>
        <w:t>................</w:t>
      </w:r>
      <w:r w:rsidRPr="3541BDFD" w:rsidR="00BF09A0">
        <w:rPr>
          <w:lang w:val="es-PE"/>
        </w:rPr>
        <w:t>.</w:t>
      </w:r>
    </w:p>
    <w:p w:rsidRPr="00BF09A0" w:rsidR="00BF09A0" w:rsidP="00BF09A0" w:rsidRDefault="00BF09A0" w14:paraId="044DE1C3" w14:textId="77777777">
      <w:pPr>
        <w:jc w:val="both"/>
        <w:outlineLvl w:val="0"/>
        <w:rPr>
          <w:lang w:val="es-PE"/>
        </w:rPr>
      </w:pPr>
    </w:p>
    <w:p w:rsidRPr="00BF09A0" w:rsidR="00BF09A0" w:rsidP="00BF09A0" w:rsidRDefault="00BF09A0" w14:paraId="25F73B28" w14:textId="77777777">
      <w:pPr>
        <w:jc w:val="both"/>
        <w:outlineLvl w:val="0"/>
        <w:rPr>
          <w:lang w:val="es-PE"/>
        </w:rPr>
      </w:pPr>
      <w:r w:rsidRPr="00BF09A0">
        <w:rPr>
          <w:lang w:val="es-PE"/>
        </w:rPr>
        <w:t>Al resolver, este Colegiado toma en cuenta las argumentaciones de las partes expresadas a lo largo del procedimiento.</w:t>
      </w:r>
    </w:p>
    <w:p w:rsidRPr="00BF09A0" w:rsidR="00BF09A0" w:rsidP="00BF09A0" w:rsidRDefault="00BF09A0" w14:paraId="73F71F11" w14:textId="77777777">
      <w:pPr>
        <w:jc w:val="both"/>
        <w:outlineLvl w:val="0"/>
        <w:rPr>
          <w:lang w:val="es-PE"/>
        </w:rPr>
      </w:pPr>
    </w:p>
    <w:p w:rsidRPr="00BF09A0" w:rsidR="00BF09A0" w:rsidP="00BF09A0" w:rsidRDefault="00BF09A0" w14:paraId="5BCA4CB5" w14:textId="77777777">
      <w:pPr>
        <w:jc w:val="both"/>
        <w:outlineLvl w:val="0"/>
        <w:rPr>
          <w:lang w:val="es-PE"/>
        </w:rPr>
      </w:pPr>
    </w:p>
    <w:p w:rsidRPr="00BF09A0" w:rsidR="00BF09A0" w:rsidP="00BF09A0" w:rsidRDefault="00BF09A0" w14:paraId="18A5468C" w14:textId="77777777">
      <w:pPr>
        <w:jc w:val="both"/>
        <w:outlineLvl w:val="0"/>
        <w:rPr>
          <w:b/>
          <w:bCs/>
          <w:lang w:val="es-MX"/>
        </w:rPr>
      </w:pPr>
      <w:r w:rsidRPr="00BF09A0">
        <w:rPr>
          <w:b/>
          <w:bCs/>
          <w:lang w:val="es-MX"/>
        </w:rPr>
        <w:t>CONSIDERANDO:</w:t>
      </w:r>
    </w:p>
    <w:p w:rsidRPr="00BF09A0" w:rsidR="00BF09A0" w:rsidP="00BF09A0" w:rsidRDefault="00BF09A0" w14:paraId="0C39A439" w14:textId="77777777">
      <w:pPr>
        <w:jc w:val="both"/>
        <w:outlineLvl w:val="0"/>
        <w:rPr>
          <w:b/>
          <w:bCs/>
          <w:lang w:val="es-MX"/>
        </w:rPr>
      </w:pPr>
    </w:p>
    <w:p w:rsidRPr="00BF09A0" w:rsidR="00BF09A0" w:rsidP="00BF09A0" w:rsidRDefault="00BF09A0" w14:paraId="17903A9C" w14:textId="77777777">
      <w:pPr>
        <w:jc w:val="both"/>
        <w:outlineLvl w:val="0"/>
        <w:rPr>
          <w:lang w:val="es-PE"/>
        </w:rPr>
      </w:pPr>
      <w:r w:rsidRPr="00BF09A0">
        <w:rPr>
          <w:b/>
          <w:bCs/>
          <w:u w:val="single"/>
          <w:lang w:val="es-PE"/>
        </w:rPr>
        <w:t>PRIMERO</w:t>
      </w:r>
      <w:r w:rsidRPr="00BF09A0">
        <w:rPr>
          <w:lang w:val="es-PE"/>
        </w:rPr>
        <w:t>: Conforme al Reglamento de la DEFASEG (el “Reglamento”)</w:t>
      </w:r>
      <w:r w:rsidRPr="00BF09A0">
        <w:rPr>
          <w:vertAlign w:val="superscript"/>
          <w:lang w:val="en-US"/>
        </w:rPr>
        <w:footnoteReference w:id="3"/>
      </w:r>
      <w:r w:rsidRPr="00BF09A0">
        <w:rPr>
          <w:lang w:val="es-PE"/>
        </w:rPr>
        <w:t>, esta Defensoría sólo es competente para resolver aquellos reclamos indemnizatorios de los asegurados, que hubiesen sido sometidos a su conocimiento, sobre la base de la documentación obrante en el expediente y con arreglo a derecho, siempre y cuando los mismos cumplan los requisitos reglamentarios de materia, cuantía y oportunidad, de manera que, todos aquellos reclamos por materias distintas al otorgamiento de la cobertura, como podrían ser aquellas pretensiones indemnizatorias por daños y perjuicios, el reembolso de los gastos incurridos por el asegurado o la idoneidad del servicio brindado por la empresa aseguradora, son ajenas a la competencia funcional de esta Defensoría; y, por lo tanto, deberán discutirse ante las instancias competentes.</w:t>
      </w:r>
    </w:p>
    <w:p w:rsidRPr="00BF09A0" w:rsidR="00BF09A0" w:rsidP="00BF09A0" w:rsidRDefault="00BF09A0" w14:paraId="1EB0CB97" w14:textId="77777777">
      <w:pPr>
        <w:jc w:val="both"/>
        <w:outlineLvl w:val="0"/>
        <w:rPr>
          <w:lang w:val="es-PE"/>
        </w:rPr>
      </w:pPr>
    </w:p>
    <w:p w:rsidRPr="00BF09A0" w:rsidR="00BF09A0" w:rsidP="00BF09A0" w:rsidRDefault="00BF09A0" w14:paraId="13252CAB" w14:textId="77777777">
      <w:pPr>
        <w:jc w:val="both"/>
        <w:outlineLvl w:val="0"/>
        <w:rPr>
          <w:lang w:val="es-PE"/>
        </w:rPr>
      </w:pPr>
      <w:r w:rsidRPr="00BF09A0">
        <w:rPr>
          <w:b/>
          <w:bCs/>
          <w:u w:val="single"/>
          <w:lang w:val="es-PE"/>
        </w:rPr>
        <w:t>SEGUNDO</w:t>
      </w:r>
      <w:r w:rsidRPr="00BF09A0">
        <w:rPr>
          <w:lang w:val="es-PE"/>
        </w:rPr>
        <w:t xml:space="preserve">: De acuerdo con el Reglamento, las resoluciones emitidas por la Sala colegiada de la DEFASEG que queden </w:t>
      </w:r>
      <w:proofErr w:type="gramStart"/>
      <w:r w:rsidRPr="00BF09A0">
        <w:rPr>
          <w:lang w:val="es-PE"/>
        </w:rPr>
        <w:t>firmes,</w:t>
      </w:r>
      <w:proofErr w:type="gramEnd"/>
      <w:r w:rsidRPr="00BF09A0">
        <w:rPr>
          <w:lang w:val="es-PE"/>
        </w:rPr>
        <w:t xml:space="preserve"> son vinculantes para las empresas aseguradoras, cuando son favorables para los asegurados, las cuales deberán proceder conforme a lo ordenado en ellas en un plazo máximo de quince días hábiles de su notificación. </w:t>
      </w:r>
    </w:p>
    <w:p w:rsidRPr="00BF09A0" w:rsidR="00BF09A0" w:rsidP="00BF09A0" w:rsidRDefault="00BF09A0" w14:paraId="4B8DD919" w14:textId="77777777">
      <w:pPr>
        <w:jc w:val="both"/>
        <w:outlineLvl w:val="0"/>
        <w:rPr>
          <w:lang w:val="es-PE"/>
        </w:rPr>
      </w:pPr>
    </w:p>
    <w:p w:rsidRPr="00BF09A0" w:rsidR="00BF09A0" w:rsidP="00BF09A0" w:rsidRDefault="00BF09A0" w14:paraId="73C0330D" w14:textId="0E28C41D">
      <w:pPr>
        <w:jc w:val="both"/>
        <w:outlineLvl w:val="0"/>
        <w:rPr>
          <w:lang w:val="es-PE"/>
        </w:rPr>
      </w:pPr>
      <w:r w:rsidRPr="00BF09A0">
        <w:rPr>
          <w:b/>
          <w:bCs/>
          <w:u w:val="single"/>
          <w:lang w:val="es-PE"/>
        </w:rPr>
        <w:t>TERCERO</w:t>
      </w:r>
      <w:r w:rsidRPr="00BF09A0">
        <w:rPr>
          <w:lang w:val="es-PE"/>
        </w:rPr>
        <w:t>: El artículo 1 de la Ley del contrato de seguro</w:t>
      </w:r>
      <w:r w:rsidRPr="00BF09A0">
        <w:rPr>
          <w:vertAlign w:val="superscript"/>
          <w:lang w:val="es-PE"/>
        </w:rPr>
        <w:footnoteReference w:id="4"/>
      </w:r>
      <w:r w:rsidRPr="00BF09A0">
        <w:rPr>
          <w:lang w:val="es-PE"/>
        </w:rPr>
        <w:t xml:space="preserve"> señala que el contrato de seguro es aquel acuerdo por el que una empresa aseguradora se obliga, por el cobro de una prima, a indemnizar el daño producido al asegurado, a satisfacer un capital, una renta u otras prestaciones convenidas en caso se produzca un evento cuyo riesgo es objeto de cobertura, dentro de los términos pactados en la póliza que la empresa aseguradora deberá entregar al asegurado al momento de la contratación y cuyos requisitos se encuentran regulados en el artículo 26 de la Ley del Contrato de Seguro.</w:t>
      </w:r>
    </w:p>
    <w:p w:rsidRPr="00BF09A0" w:rsidR="00BF09A0" w:rsidP="00BF09A0" w:rsidRDefault="00BF09A0" w14:paraId="68D99A7C" w14:textId="77777777">
      <w:pPr>
        <w:jc w:val="both"/>
        <w:outlineLvl w:val="0"/>
        <w:rPr>
          <w:lang w:val="es-PE"/>
        </w:rPr>
      </w:pPr>
    </w:p>
    <w:p w:rsidRPr="00BF09A0" w:rsidR="00BF09A0" w:rsidP="00BF09A0" w:rsidRDefault="00BF09A0" w14:paraId="79718B32" w14:textId="77777777">
      <w:pPr>
        <w:jc w:val="both"/>
        <w:outlineLvl w:val="0"/>
        <w:rPr>
          <w:lang w:val="es-PE"/>
        </w:rPr>
      </w:pPr>
      <w:r w:rsidRPr="00BF09A0">
        <w:rPr>
          <w:b/>
          <w:bCs/>
          <w:u w:val="single"/>
          <w:lang w:val="es-PE"/>
        </w:rPr>
        <w:t>CUARTO</w:t>
      </w:r>
      <w:r w:rsidRPr="00BF09A0">
        <w:rPr>
          <w:lang w:val="es-PE"/>
        </w:rPr>
        <w:t>: Que, el artículo 1361 del Código Civil</w:t>
      </w:r>
      <w:r w:rsidRPr="00BF09A0">
        <w:rPr>
          <w:vertAlign w:val="superscript"/>
          <w:lang w:val="es-PE"/>
        </w:rPr>
        <w:footnoteReference w:id="5"/>
      </w:r>
      <w:r w:rsidRPr="00BF09A0">
        <w:rPr>
          <w:lang w:val="es-PE"/>
        </w:rPr>
        <w:t xml:space="preserve"> establece que los contratos son obligatorios en cuanto se encuentre expresado en ellos, presumiéndose que lo declarado en ellos corresponde a la voluntad de las partes, de manera que la parte que sostenga lo contrario a lo establecido expresamente en ellos deberá probarlo.</w:t>
      </w:r>
    </w:p>
    <w:p w:rsidRPr="00BF09A0" w:rsidR="00BF09A0" w:rsidP="00BF09A0" w:rsidRDefault="00BF09A0" w14:paraId="056D3199" w14:textId="77777777">
      <w:pPr>
        <w:jc w:val="both"/>
        <w:outlineLvl w:val="0"/>
        <w:rPr>
          <w:lang w:val="es-PE"/>
        </w:rPr>
      </w:pPr>
    </w:p>
    <w:p w:rsidRPr="00BF09A0" w:rsidR="00BF09A0" w:rsidP="00BF09A0" w:rsidRDefault="00BF09A0" w14:paraId="13F5EBFC" w14:textId="77777777">
      <w:pPr>
        <w:jc w:val="both"/>
        <w:outlineLvl w:val="0"/>
        <w:rPr>
          <w:lang w:val="es-PE"/>
        </w:rPr>
      </w:pPr>
      <w:r w:rsidRPr="00BF09A0">
        <w:rPr>
          <w:b/>
          <w:bCs/>
          <w:u w:val="single"/>
          <w:lang w:val="es-PE"/>
        </w:rPr>
        <w:t>QUINTO</w:t>
      </w:r>
      <w:r w:rsidRPr="00BF09A0">
        <w:rPr>
          <w:lang w:val="es-PE"/>
        </w:rPr>
        <w:t>: Que, en materia procesal, corresponde a quien invoque los hechos probar su existencia; carga a la que se refiere el artículo 196 del Código Procesal Civil</w:t>
      </w:r>
      <w:r w:rsidRPr="00BF09A0">
        <w:rPr>
          <w:vertAlign w:val="superscript"/>
          <w:lang w:val="es-PE"/>
        </w:rPr>
        <w:footnoteReference w:id="6"/>
      </w:r>
      <w:r w:rsidRPr="00BF09A0">
        <w:rPr>
          <w:lang w:val="es-PE"/>
        </w:rPr>
        <w:t xml:space="preserve">, salvo que se </w:t>
      </w:r>
      <w:r w:rsidRPr="00BF09A0">
        <w:rPr>
          <w:lang w:val="es-PE"/>
        </w:rPr>
        <w:t>acoja a alguna presunción legal de carácter relativa o absoluta contemplada expresamente en la legislación pertinente.</w:t>
      </w:r>
    </w:p>
    <w:p w:rsidRPr="00BF09A0" w:rsidR="00BF09A0" w:rsidP="00BF09A0" w:rsidRDefault="00BF09A0" w14:paraId="301F8380" w14:textId="77777777">
      <w:pPr>
        <w:jc w:val="both"/>
        <w:outlineLvl w:val="0"/>
        <w:rPr>
          <w:lang w:val="es-PE"/>
        </w:rPr>
      </w:pPr>
    </w:p>
    <w:p w:rsidRPr="00BF09A0" w:rsidR="00BF09A0" w:rsidP="00BF09A0" w:rsidRDefault="00BF09A0" w14:paraId="5C6AEEE6" w14:textId="77777777">
      <w:pPr>
        <w:jc w:val="both"/>
        <w:outlineLvl w:val="0"/>
        <w:rPr>
          <w:lang w:val="es-PE"/>
        </w:rPr>
      </w:pPr>
      <w:r w:rsidRPr="00BF09A0">
        <w:rPr>
          <w:b/>
          <w:bCs/>
          <w:u w:val="single"/>
          <w:lang w:val="es-PE"/>
        </w:rPr>
        <w:t>SEXTO</w:t>
      </w:r>
      <w:r w:rsidRPr="00BF09A0">
        <w:rPr>
          <w:lang w:val="es-PE"/>
        </w:rPr>
        <w:t>: Que este Colegiado al resolver ha tomado en consideración los argumentos presentados por ambas partes. En ese sentido, el detalle de las posiciones de las partes refleja sus principales argumentos, no pretendiendo ser un listado exhaustivo de los mismos.</w:t>
      </w:r>
    </w:p>
    <w:p w:rsidRPr="00BF09A0" w:rsidR="00BF09A0" w:rsidP="00BF09A0" w:rsidRDefault="00BF09A0" w14:paraId="0044DF93" w14:textId="77777777">
      <w:pPr>
        <w:jc w:val="both"/>
        <w:outlineLvl w:val="0"/>
        <w:rPr>
          <w:lang w:val="es-PE"/>
        </w:rPr>
      </w:pPr>
    </w:p>
    <w:p w:rsidRPr="00BF09A0" w:rsidR="00BF09A0" w:rsidP="00BF09A0" w:rsidRDefault="00BF09A0" w14:paraId="0D5BCAEB" w14:textId="77777777">
      <w:pPr>
        <w:jc w:val="both"/>
        <w:outlineLvl w:val="0"/>
        <w:rPr>
          <w:lang w:val="es-PE"/>
        </w:rPr>
      </w:pPr>
      <w:bookmarkStart w:name="_Hlk200061658" w:id="1"/>
      <w:r w:rsidRPr="00BF09A0">
        <w:rPr>
          <w:b/>
          <w:bCs/>
          <w:u w:val="single"/>
          <w:lang w:val="es-PE"/>
        </w:rPr>
        <w:t>SÉPTIMO</w:t>
      </w:r>
      <w:r w:rsidRPr="00BF09A0">
        <w:rPr>
          <w:lang w:val="es-PE"/>
        </w:rPr>
        <w:t xml:space="preserve">: El Reglamento dispone en su artículo 4 que, la Defensoría es competente para resolver aquellas controversias suscitadas entre asegurados y empresas de seguros, siempre que se cumplan con los siguientes requisitos de materia, plazo y cuantía de manera concurrente: </w:t>
      </w:r>
      <w:r w:rsidRPr="00BF09A0">
        <w:rPr>
          <w:b/>
          <w:bCs/>
          <w:i/>
          <w:iCs/>
          <w:lang w:val="es-PE"/>
        </w:rPr>
        <w:t>(i)</w:t>
      </w:r>
      <w:r w:rsidRPr="00BF09A0">
        <w:rPr>
          <w:lang w:val="es-PE"/>
        </w:rPr>
        <w:t xml:space="preserve"> por un rechazo o liquidación de un siniestro por parte de una empresa de seguros; </w:t>
      </w:r>
      <w:r w:rsidRPr="00BF09A0">
        <w:rPr>
          <w:b/>
          <w:bCs/>
          <w:i/>
          <w:iCs/>
          <w:lang w:val="es-PE"/>
        </w:rPr>
        <w:t>(</w:t>
      </w:r>
      <w:proofErr w:type="spellStart"/>
      <w:r w:rsidRPr="00BF09A0">
        <w:rPr>
          <w:b/>
          <w:bCs/>
          <w:i/>
          <w:iCs/>
          <w:lang w:val="es-PE"/>
        </w:rPr>
        <w:t>ii</w:t>
      </w:r>
      <w:proofErr w:type="spellEnd"/>
      <w:r w:rsidRPr="00BF09A0">
        <w:rPr>
          <w:b/>
          <w:bCs/>
          <w:i/>
          <w:iCs/>
          <w:lang w:val="es-PE"/>
        </w:rPr>
        <w:t>)</w:t>
      </w:r>
      <w:r w:rsidRPr="00BF09A0">
        <w:rPr>
          <w:lang w:val="es-PE"/>
        </w:rPr>
        <w:t xml:space="preserve"> el reclamo debe presentarse dentro del plazo de dos años desde el día siguiente de recibida la primera notificación en que es rechazada la pretensión de cobertura por parte de la empresa de seguros; y, </w:t>
      </w:r>
      <w:r w:rsidRPr="00BF09A0">
        <w:rPr>
          <w:b/>
          <w:bCs/>
          <w:i/>
          <w:iCs/>
          <w:lang w:val="es-PE"/>
        </w:rPr>
        <w:t>(</w:t>
      </w:r>
      <w:proofErr w:type="spellStart"/>
      <w:r w:rsidRPr="00BF09A0">
        <w:rPr>
          <w:b/>
          <w:bCs/>
          <w:i/>
          <w:iCs/>
          <w:lang w:val="es-PE"/>
        </w:rPr>
        <w:t>iii</w:t>
      </w:r>
      <w:proofErr w:type="spellEnd"/>
      <w:r w:rsidRPr="00BF09A0">
        <w:rPr>
          <w:b/>
          <w:bCs/>
          <w:i/>
          <w:iCs/>
          <w:lang w:val="es-PE"/>
        </w:rPr>
        <w:t>)</w:t>
      </w:r>
      <w:r w:rsidRPr="00BF09A0">
        <w:rPr>
          <w:lang w:val="es-PE"/>
        </w:rPr>
        <w:t xml:space="preserve"> el total de la indemnización exigida por el asegurado a la empresa de seguros no debe exceder los USD 50 000 (cincuenta mil dólares americanos y 00/100)</w:t>
      </w:r>
      <w:r w:rsidRPr="00BF09A0">
        <w:rPr>
          <w:vertAlign w:val="superscript"/>
          <w:lang w:val="es-PE"/>
        </w:rPr>
        <w:footnoteReference w:id="7"/>
      </w:r>
      <w:r w:rsidRPr="00BF09A0">
        <w:rPr>
          <w:lang w:val="es-PE"/>
        </w:rPr>
        <w:t xml:space="preserve">. </w:t>
      </w:r>
    </w:p>
    <w:p w:rsidRPr="00BF09A0" w:rsidR="00BF09A0" w:rsidP="00BF09A0" w:rsidRDefault="00BF09A0" w14:paraId="0E7A2E47" w14:textId="77777777">
      <w:pPr>
        <w:jc w:val="both"/>
        <w:outlineLvl w:val="0"/>
        <w:rPr>
          <w:lang w:val="es-PE"/>
        </w:rPr>
      </w:pPr>
    </w:p>
    <w:bookmarkEnd w:id="1"/>
    <w:p w:rsidRPr="00BF09A0" w:rsidR="00BF09A0" w:rsidP="00BF09A0" w:rsidRDefault="00BF09A0" w14:paraId="1584594A" w14:textId="22C1C449">
      <w:pPr>
        <w:jc w:val="both"/>
        <w:outlineLvl w:val="0"/>
        <w:rPr>
          <w:lang w:val="es-PE"/>
        </w:rPr>
      </w:pPr>
      <w:r w:rsidRPr="3541BDFD" w:rsidR="00BF09A0">
        <w:rPr>
          <w:b w:val="1"/>
          <w:bCs w:val="1"/>
          <w:u w:val="single"/>
          <w:lang w:val="es-PE"/>
        </w:rPr>
        <w:t>OCTAVO:</w:t>
      </w:r>
      <w:r w:rsidRPr="3541BDFD" w:rsidR="00BF09A0">
        <w:rPr>
          <w:lang w:val="es-PE"/>
        </w:rPr>
        <w:t xml:space="preserve"> De los actuados se desprende que no se encuentra en discusión el hecho que </w:t>
      </w:r>
      <w:r w:rsidRPr="3541BDFD" w:rsidR="2F0AE81F">
        <w:rPr>
          <w:lang w:val="es-PE"/>
        </w:rPr>
        <w:t>...........................................................................</w:t>
      </w:r>
      <w:r w:rsidRPr="3541BDFD" w:rsidR="00BF09A0">
        <w:rPr>
          <w:lang w:val="es-PE"/>
        </w:rPr>
        <w:t xml:space="preserve"> contrató un seguro vehicular con </w:t>
      </w:r>
      <w:r w:rsidRPr="3541BDFD" w:rsidR="308E0966">
        <w:rPr>
          <w:lang w:val="es-PE"/>
        </w:rPr>
        <w:t>....................</w:t>
      </w:r>
      <w:r w:rsidRPr="3541BDFD" w:rsidR="00BF09A0">
        <w:rPr>
          <w:lang w:val="es-PE"/>
        </w:rPr>
        <w:t>.</w:t>
      </w:r>
    </w:p>
    <w:p w:rsidRPr="00BF09A0" w:rsidR="00BF09A0" w:rsidP="00BF09A0" w:rsidRDefault="00BF09A0" w14:paraId="1BC07811" w14:textId="77777777">
      <w:pPr>
        <w:jc w:val="both"/>
        <w:outlineLvl w:val="0"/>
        <w:rPr>
          <w:lang w:val="es-PE"/>
        </w:rPr>
      </w:pPr>
    </w:p>
    <w:p w:rsidRPr="00BF09A0" w:rsidR="00BF09A0" w:rsidP="00BF09A0" w:rsidRDefault="00BF09A0" w14:paraId="11621D0A" w14:textId="458F9B02">
      <w:pPr>
        <w:jc w:val="both"/>
        <w:outlineLvl w:val="0"/>
        <w:rPr>
          <w:lang w:val="es-PE"/>
        </w:rPr>
      </w:pPr>
      <w:r w:rsidRPr="3541BDFD" w:rsidR="00BF09A0">
        <w:rPr>
          <w:b w:val="1"/>
          <w:bCs w:val="1"/>
          <w:u w:val="single"/>
          <w:lang w:val="es-PE"/>
        </w:rPr>
        <w:t>NOVENO</w:t>
      </w:r>
      <w:r w:rsidRPr="3541BDFD" w:rsidR="00BF09A0">
        <w:rPr>
          <w:b w:val="1"/>
          <w:bCs w:val="1"/>
          <w:lang w:val="es-PE"/>
        </w:rPr>
        <w:t>:</w:t>
      </w:r>
      <w:r w:rsidRPr="3541BDFD" w:rsidR="00BF09A0">
        <w:rPr>
          <w:lang w:val="es-PE"/>
        </w:rPr>
        <w:t xml:space="preserve"> Sobre la base de los términos contenidos en el reclamo y a lo tratado en la audiencia de vista, la cuestión controvertida radica en determinar si se encuentra justificado -o no-, el rechazo a brindar cobertura a </w:t>
      </w:r>
      <w:r w:rsidRPr="3541BDFD" w:rsidR="2F0AE81F">
        <w:rPr>
          <w:lang w:val="es-PE"/>
        </w:rPr>
        <w:t>...........................................................................</w:t>
      </w:r>
      <w:r w:rsidRPr="3541BDFD" w:rsidR="00BF09A0">
        <w:rPr>
          <w:lang w:val="es-PE"/>
        </w:rPr>
        <w:t xml:space="preserve"> por el siniestro ocurrido el 12 de marzo de 2024. </w:t>
      </w:r>
    </w:p>
    <w:p w:rsidRPr="00BF09A0" w:rsidR="00BF09A0" w:rsidP="00BF09A0" w:rsidRDefault="00BF09A0" w14:paraId="60FF0C09" w14:textId="77777777">
      <w:pPr>
        <w:jc w:val="both"/>
        <w:outlineLvl w:val="0"/>
        <w:rPr>
          <w:lang w:val="es-PE"/>
        </w:rPr>
      </w:pPr>
    </w:p>
    <w:p w:rsidRPr="00BF09A0" w:rsidR="00BF09A0" w:rsidP="00BF09A0" w:rsidRDefault="00BF09A0" w14:paraId="7C00C219" w14:textId="77777777">
      <w:pPr>
        <w:jc w:val="both"/>
        <w:outlineLvl w:val="0"/>
        <w:rPr>
          <w:lang w:val="es-PE"/>
        </w:rPr>
      </w:pPr>
      <w:r w:rsidRPr="00BF09A0">
        <w:rPr>
          <w:lang w:val="es-PE"/>
        </w:rPr>
        <w:t>En la medida que se reclama el rechazo a brindar la cobertura del siniestro por parte de la empresa aseguradora, este Colegiado considera que la controversia cumple con el requisito de materia establecido en el Reglamento.</w:t>
      </w:r>
    </w:p>
    <w:p w:rsidRPr="00BF09A0" w:rsidR="00BF09A0" w:rsidP="00BF09A0" w:rsidRDefault="00BF09A0" w14:paraId="743567D7" w14:textId="77777777">
      <w:pPr>
        <w:jc w:val="both"/>
        <w:outlineLvl w:val="0"/>
        <w:rPr>
          <w:lang w:val="es-PE"/>
        </w:rPr>
      </w:pPr>
    </w:p>
    <w:p w:rsidRPr="00BF09A0" w:rsidR="00BF09A0" w:rsidP="00BF09A0" w:rsidRDefault="00BF09A0" w14:paraId="4423457F" w14:textId="184AB43A">
      <w:pPr>
        <w:jc w:val="both"/>
        <w:outlineLvl w:val="0"/>
        <w:rPr>
          <w:lang w:val="es-PE"/>
        </w:rPr>
      </w:pPr>
      <w:r w:rsidRPr="3541BDFD" w:rsidR="00BF09A0">
        <w:rPr>
          <w:b w:val="1"/>
          <w:bCs w:val="1"/>
          <w:u w:val="single"/>
          <w:lang w:val="es-PE"/>
        </w:rPr>
        <w:t>DÉCIMO:</w:t>
      </w:r>
      <w:r w:rsidRPr="3541BDFD" w:rsidR="00BF09A0">
        <w:rPr>
          <w:lang w:val="es-PE"/>
        </w:rPr>
        <w:t xml:space="preserve"> El reclamo fue presentado por </w:t>
      </w:r>
      <w:r w:rsidRPr="3541BDFD" w:rsidR="2F0AE81F">
        <w:rPr>
          <w:lang w:val="es-PE"/>
        </w:rPr>
        <w:t>...........................................................................</w:t>
      </w:r>
      <w:r w:rsidRPr="3541BDFD" w:rsidR="00BF09A0">
        <w:rPr>
          <w:lang w:val="es-PE"/>
        </w:rPr>
        <w:t xml:space="preserve"> el 14 de mayo de 2025, por lo tanto, nos encontramos dentro del plazo perentorio para su presentación contemplado en el Reglamento.</w:t>
      </w:r>
    </w:p>
    <w:p w:rsidRPr="00BF09A0" w:rsidR="00BF09A0" w:rsidP="00BF09A0" w:rsidRDefault="00BF09A0" w14:paraId="32173EBE" w14:textId="77777777">
      <w:pPr>
        <w:jc w:val="both"/>
        <w:outlineLvl w:val="0"/>
        <w:rPr>
          <w:lang w:val="es-PE"/>
        </w:rPr>
      </w:pPr>
    </w:p>
    <w:p w:rsidRPr="00BF09A0" w:rsidR="00BF09A0" w:rsidP="00BF09A0" w:rsidRDefault="00BF09A0" w14:paraId="182E0244" w14:textId="77777777">
      <w:pPr>
        <w:jc w:val="both"/>
        <w:outlineLvl w:val="0"/>
        <w:rPr>
          <w:lang w:val="es-PE"/>
        </w:rPr>
      </w:pPr>
      <w:r w:rsidRPr="00BF09A0">
        <w:rPr>
          <w:b/>
          <w:bCs/>
          <w:u w:val="single"/>
          <w:lang w:val="es-PE"/>
        </w:rPr>
        <w:t>UNDÉCIMO:</w:t>
      </w:r>
      <w:r w:rsidRPr="00BF09A0">
        <w:rPr>
          <w:lang w:val="es-PE"/>
        </w:rPr>
        <w:t xml:space="preserve"> El Certificado </w:t>
      </w:r>
      <w:proofErr w:type="spellStart"/>
      <w:r w:rsidRPr="00BF09A0">
        <w:rPr>
          <w:lang w:val="es-PE"/>
        </w:rPr>
        <w:t>n.°</w:t>
      </w:r>
      <w:proofErr w:type="spellEnd"/>
      <w:r w:rsidRPr="00BF09A0">
        <w:rPr>
          <w:lang w:val="es-PE"/>
        </w:rPr>
        <w:t xml:space="preserve"> 16 de la Póliza señala que la suma asegurada por robo total asciende a la suma de USD 27,500 (veintisiete mil quinientos dólares americanos y 00/100), por lo tanto, la controversia se encuentra dentro de los límites de la competencia por cuantía de este Colegiado establecido en el Reglamento. </w:t>
      </w:r>
    </w:p>
    <w:p w:rsidRPr="00BF09A0" w:rsidR="00BF09A0" w:rsidP="00BF09A0" w:rsidRDefault="00BF09A0" w14:paraId="5B56BCF7" w14:textId="77777777">
      <w:pPr>
        <w:jc w:val="both"/>
        <w:outlineLvl w:val="0"/>
        <w:rPr>
          <w:lang w:val="es-PE"/>
        </w:rPr>
      </w:pPr>
    </w:p>
    <w:p w:rsidRPr="00BF09A0" w:rsidR="00BF09A0" w:rsidP="00BF09A0" w:rsidRDefault="00BF09A0" w14:paraId="3819981C" w14:textId="2614335D">
      <w:pPr>
        <w:jc w:val="both"/>
        <w:outlineLvl w:val="0"/>
        <w:rPr>
          <w:lang w:val="es-PE"/>
        </w:rPr>
      </w:pPr>
      <w:r w:rsidRPr="3541BDFD" w:rsidR="00BF09A0">
        <w:rPr>
          <w:b w:val="1"/>
          <w:bCs w:val="1"/>
          <w:u w:val="single"/>
          <w:lang w:val="es-PE"/>
        </w:rPr>
        <w:t>DUODÉCIMO:</w:t>
      </w:r>
      <w:r w:rsidRPr="3541BDFD" w:rsidR="00BF09A0">
        <w:rPr>
          <w:lang w:val="es-PE"/>
        </w:rPr>
        <w:t xml:space="preserve"> Siendo que el reclamo presentado por </w:t>
      </w:r>
      <w:r w:rsidRPr="3541BDFD" w:rsidR="2F0AE81F">
        <w:rPr>
          <w:lang w:val="es-PE"/>
        </w:rPr>
        <w:t>...........................................................................</w:t>
      </w:r>
      <w:r w:rsidRPr="3541BDFD" w:rsidR="00BF09A0">
        <w:rPr>
          <w:lang w:val="es-PE"/>
        </w:rPr>
        <w:t xml:space="preserve"> cumple con los requisitos reglamentarios de materia, plazo y cuantía, esta Defensoría es competente para pronunciarse sobre el fondo de la presente controversia. </w:t>
      </w:r>
    </w:p>
    <w:p w:rsidRPr="00BF09A0" w:rsidR="00BF09A0" w:rsidP="00BF09A0" w:rsidRDefault="00BF09A0" w14:paraId="6621C126" w14:textId="77777777">
      <w:pPr>
        <w:jc w:val="both"/>
        <w:outlineLvl w:val="0"/>
        <w:rPr>
          <w:lang w:val="es-PE"/>
        </w:rPr>
      </w:pPr>
    </w:p>
    <w:p w:rsidRPr="00BF09A0" w:rsidR="00BF09A0" w:rsidP="00BF09A0" w:rsidRDefault="00BF09A0" w14:paraId="48ED46DC" w14:textId="55F81B3A">
      <w:pPr>
        <w:jc w:val="both"/>
        <w:outlineLvl w:val="0"/>
        <w:rPr>
          <w:lang w:val="es-PE"/>
        </w:rPr>
      </w:pPr>
      <w:r w:rsidRPr="3541BDFD" w:rsidR="00BF09A0">
        <w:rPr>
          <w:b w:val="1"/>
          <w:bCs w:val="1"/>
          <w:u w:val="single"/>
          <w:lang w:val="es-PE"/>
        </w:rPr>
        <w:t>DÉCIMO TERCERO</w:t>
      </w:r>
      <w:r w:rsidRPr="3541BDFD" w:rsidR="00BF09A0">
        <w:rPr>
          <w:b w:val="1"/>
          <w:bCs w:val="1"/>
          <w:lang w:val="es-PE"/>
        </w:rPr>
        <w:t>:</w:t>
      </w:r>
      <w:r w:rsidRPr="3541BDFD" w:rsidR="00BF09A0">
        <w:rPr>
          <w:lang w:val="es-PE"/>
        </w:rPr>
        <w:t xml:space="preserve"> Respecto de la materia controvertida, la empresa aseguradora rechaza a brindar cobertura por el siniestro, en la medida que la póliza vehicular contratada exigiría como condición la existencia de un interés asegurable, como la relación económica entre la asegurada y el vehículo asegurado, lo que se traduce en un interés legítimo de que el siniestro no ocurra para evitar un perjuicio en su patrimonio, sin embargo, a la fecha de contratación de la Póliza y al momento de la ocurrencia del siniestro -siempre según </w:t>
      </w:r>
      <w:r w:rsidRPr="3541BDFD" w:rsidR="308E0966">
        <w:rPr>
          <w:lang w:val="es-PE"/>
        </w:rPr>
        <w:t>....................</w:t>
      </w:r>
      <w:r w:rsidRPr="3541BDFD" w:rsidR="00BF09A0">
        <w:rPr>
          <w:lang w:val="es-PE"/>
        </w:rPr>
        <w:t xml:space="preserve">-, la propiedad del vehículo asegurado corresponde al BCP desde el año 2018, sin que exista constancia registral de la transferencia del vehículo asegurado a favor de la asegurada. </w:t>
      </w:r>
    </w:p>
    <w:p w:rsidRPr="00BF09A0" w:rsidR="00BF09A0" w:rsidP="00BF09A0" w:rsidRDefault="00BF09A0" w14:paraId="51473CA6" w14:textId="77777777">
      <w:pPr>
        <w:jc w:val="both"/>
        <w:outlineLvl w:val="0"/>
        <w:rPr>
          <w:lang w:val="es-PE"/>
        </w:rPr>
      </w:pPr>
    </w:p>
    <w:p w:rsidRPr="00BF09A0" w:rsidR="00BF09A0" w:rsidP="00BF09A0" w:rsidRDefault="00BF09A0" w14:paraId="51C433D9" w14:textId="77777777">
      <w:pPr>
        <w:jc w:val="both"/>
        <w:outlineLvl w:val="0"/>
        <w:rPr>
          <w:lang w:val="es-PE"/>
        </w:rPr>
      </w:pPr>
      <w:r w:rsidRPr="00BF09A0">
        <w:rPr>
          <w:lang w:val="es-PE"/>
        </w:rPr>
        <w:t>Asimismo, la empresa aseguradora refiere que la existencia de un eventual contrato de leasing no es relevante para el análisis del presente caso, en la medida que dicho contrato se canceló en octubre de 2021, no encontrándose vigente al momento del siniestro. Por lo tanto, no puede sostenerse que exista un interés asegurable válido en cabeza de la asegurada, siendo el BCP el verdadero propietario y titular de los derechos económicos sobre el bien siniestrado. Por otro lado, se apunta en la Carta de rechazo, como un argumento adicional, que la Póliza fue contratada por la asegurada como titular del vehículo, no habiendo designado al real propietario como asegurado o beneficiario de la misma.</w:t>
      </w:r>
    </w:p>
    <w:p w:rsidRPr="00BF09A0" w:rsidR="00BF09A0" w:rsidP="00BF09A0" w:rsidRDefault="00BF09A0" w14:paraId="3F889500" w14:textId="77777777">
      <w:pPr>
        <w:jc w:val="both"/>
        <w:outlineLvl w:val="0"/>
        <w:rPr>
          <w:lang w:val="es-PE"/>
        </w:rPr>
      </w:pPr>
    </w:p>
    <w:p w:rsidRPr="00BF09A0" w:rsidR="00BF09A0" w:rsidP="00BF09A0" w:rsidRDefault="00BF09A0" w14:paraId="6F05E212" w14:textId="47F9193C">
      <w:pPr>
        <w:jc w:val="both"/>
        <w:outlineLvl w:val="0"/>
        <w:rPr>
          <w:lang w:val="es-PE"/>
        </w:rPr>
      </w:pPr>
      <w:r w:rsidRPr="00BF09A0" w:rsidR="00BF09A0">
        <w:rPr>
          <w:lang w:val="es-PE"/>
        </w:rPr>
        <w:t xml:space="preserve">Con relación a este punto, tanto la asegurada como la empresa aseguradora han presentado una copia de la Póliza, de su Condicionado general y de las Cláusulas adicionales para vehículos pesados; no obstante, en dichos instrumentos no se aprecia de la existencia de un artículo 7 en los términos reproducidos por </w:t>
      </w:r>
      <w:r w:rsidRPr="3541BDFD" w:rsidR="308E0966">
        <w:rPr>
          <w:lang w:val="es-PE"/>
        </w:rPr>
        <w:t>....................</w:t>
      </w:r>
      <w:r w:rsidRPr="3541BDFD" w:rsidR="00BF09A0">
        <w:rPr>
          <w:lang w:val="es-PE"/>
        </w:rPr>
        <w:t xml:space="preserve"> tanto en su Carta de rechazo como en la absolución del reclamo de la asegurada, la cual correspondería a las Cláusulas generales de contratación aplicables a riesgos generales, instrumento que no ha sido presentado por la empresa aseguradora en el marco del presente procedimiento.</w:t>
      </w:r>
      <w:r w:rsidRPr="3541BDFD" w:rsidR="00BF09A0">
        <w:rPr>
          <w:lang w:val="es-PE"/>
        </w:rPr>
        <w:t xml:space="preserve"> No obstante, este Colegiado ha tomado conocimiento de dicho documento directamente de la página web de la empresa aseguradora</w:t>
      </w:r>
      <w:r w:rsidRPr="3541BDFD">
        <w:rPr>
          <w:vertAlign w:val="superscript"/>
          <w:lang w:val="es-PE"/>
        </w:rPr>
        <w:footnoteReference w:id="26000"/>
      </w:r>
      <w:r w:rsidRPr="3541BDFD" w:rsidR="00BF09A0">
        <w:rPr>
          <w:lang w:val="es-PE"/>
        </w:rPr>
        <w:t xml:space="preserve">. Efectivamente, el artículo 7 señalado indica lo siguiente: </w:t>
      </w:r>
    </w:p>
    <w:p w:rsidRPr="00BF09A0" w:rsidR="00BF09A0" w:rsidP="00BF09A0" w:rsidRDefault="00BF09A0" w14:paraId="381B54FF" w14:textId="77777777">
      <w:pPr>
        <w:jc w:val="both"/>
        <w:outlineLvl w:val="0"/>
        <w:rPr>
          <w:lang w:val="es-PE"/>
        </w:rPr>
      </w:pPr>
    </w:p>
    <w:p w:rsidRPr="00BF09A0" w:rsidR="00BF09A0" w:rsidP="00BF09A0" w:rsidRDefault="00BF09A0" w14:paraId="4FBECF5D" w14:textId="77777777">
      <w:pPr>
        <w:jc w:val="both"/>
        <w:outlineLvl w:val="0"/>
        <w:rPr>
          <w:b/>
          <w:bCs/>
          <w:i/>
          <w:iCs/>
          <w:lang w:val="es-PE"/>
        </w:rPr>
      </w:pPr>
      <w:r w:rsidRPr="00BF09A0">
        <w:rPr>
          <w:b/>
          <w:bCs/>
          <w:i/>
          <w:iCs/>
          <w:lang w:val="es-PE"/>
        </w:rPr>
        <w:t xml:space="preserve">«ARTÍCULO </w:t>
      </w:r>
      <w:proofErr w:type="spellStart"/>
      <w:r w:rsidRPr="00BF09A0">
        <w:rPr>
          <w:b/>
          <w:bCs/>
          <w:i/>
          <w:iCs/>
          <w:lang w:val="es-PE"/>
        </w:rPr>
        <w:t>Nº</w:t>
      </w:r>
      <w:proofErr w:type="spellEnd"/>
      <w:r w:rsidRPr="00BF09A0">
        <w:rPr>
          <w:b/>
          <w:bCs/>
          <w:i/>
          <w:iCs/>
          <w:lang w:val="es-PE"/>
        </w:rPr>
        <w:t xml:space="preserve"> 7: NULIDAD DEL CONTRATO DE SEGURO </w:t>
      </w:r>
    </w:p>
    <w:p w:rsidRPr="00BF09A0" w:rsidR="00BF09A0" w:rsidP="00BF09A0" w:rsidRDefault="00BF09A0" w14:paraId="7728E221" w14:textId="77777777">
      <w:pPr>
        <w:jc w:val="both"/>
        <w:outlineLvl w:val="0"/>
        <w:rPr>
          <w:b/>
          <w:bCs/>
          <w:i/>
          <w:iCs/>
          <w:lang w:val="es-PE"/>
        </w:rPr>
      </w:pPr>
    </w:p>
    <w:p w:rsidRPr="00BF09A0" w:rsidR="00BF09A0" w:rsidP="00BF09A0" w:rsidRDefault="00BF09A0" w14:paraId="66260251" w14:textId="77777777">
      <w:pPr>
        <w:jc w:val="both"/>
        <w:outlineLvl w:val="0"/>
        <w:rPr>
          <w:i/>
          <w:iCs/>
          <w:lang w:val="es-PE"/>
        </w:rPr>
      </w:pPr>
      <w:r w:rsidRPr="00BF09A0">
        <w:rPr>
          <w:i/>
          <w:iCs/>
          <w:lang w:val="es-PE"/>
        </w:rPr>
        <w:t xml:space="preserve">La nulidad deja sin efecto el Contrato de Seguro por cualquier causal existente al momento de su celebración; es decir, desde el inicio, por lo cual se considera que nunca existió dicho Contrato y, por lo tanto, pierde sus efectos legales. </w:t>
      </w:r>
    </w:p>
    <w:p w:rsidRPr="00BF09A0" w:rsidR="00BF09A0" w:rsidP="00BF09A0" w:rsidRDefault="00BF09A0" w14:paraId="732B6B91" w14:textId="77777777">
      <w:pPr>
        <w:jc w:val="both"/>
        <w:outlineLvl w:val="0"/>
        <w:rPr>
          <w:i/>
          <w:iCs/>
          <w:lang w:val="es-PE"/>
        </w:rPr>
      </w:pPr>
    </w:p>
    <w:p w:rsidRPr="00BF09A0" w:rsidR="00BF09A0" w:rsidP="00BF09A0" w:rsidRDefault="00BF09A0" w14:paraId="5B33CDF7" w14:textId="77777777">
      <w:pPr>
        <w:jc w:val="both"/>
        <w:outlineLvl w:val="0"/>
        <w:rPr>
          <w:i/>
          <w:iCs/>
          <w:lang w:val="es-PE"/>
        </w:rPr>
      </w:pPr>
      <w:r w:rsidRPr="00BF09A0">
        <w:rPr>
          <w:i/>
          <w:iCs/>
          <w:lang w:val="es-PE"/>
        </w:rPr>
        <w:t xml:space="preserve">El Contrato de Seguro será nulo si el CONTRATANTE y/o ASEGURADO: </w:t>
      </w:r>
    </w:p>
    <w:p w:rsidRPr="00BF09A0" w:rsidR="00BF09A0" w:rsidP="00BF09A0" w:rsidRDefault="00BF09A0" w14:paraId="6D717630" w14:textId="77777777">
      <w:pPr>
        <w:jc w:val="both"/>
        <w:outlineLvl w:val="0"/>
        <w:rPr>
          <w:i/>
          <w:iCs/>
          <w:lang w:val="es-PE"/>
        </w:rPr>
      </w:pPr>
      <w:r w:rsidRPr="00BF09A0">
        <w:rPr>
          <w:i/>
          <w:iCs/>
          <w:lang w:val="es-PE"/>
        </w:rPr>
        <w:t xml:space="preserve">a. </w:t>
      </w:r>
      <w:r w:rsidRPr="00BF09A0">
        <w:rPr>
          <w:i/>
          <w:iCs/>
          <w:lang w:val="es-PE"/>
        </w:rPr>
        <w:tab/>
      </w:r>
      <w:r w:rsidRPr="00BF09A0">
        <w:rPr>
          <w:b/>
          <w:bCs/>
          <w:i/>
          <w:iCs/>
          <w:u w:val="single"/>
          <w:lang w:val="es-PE"/>
        </w:rPr>
        <w:t>Hubiera tomado este seguro sin contar con interés asegurable</w:t>
      </w:r>
      <w:r w:rsidRPr="00BF09A0">
        <w:rPr>
          <w:i/>
          <w:iCs/>
          <w:lang w:val="es-PE"/>
        </w:rPr>
        <w:t xml:space="preserve">.  </w:t>
      </w:r>
    </w:p>
    <w:p w:rsidRPr="00BF09A0" w:rsidR="00BF09A0" w:rsidP="00BF09A0" w:rsidRDefault="00BF09A0" w14:paraId="34CFFA23" w14:textId="77777777">
      <w:pPr>
        <w:jc w:val="both"/>
        <w:outlineLvl w:val="0"/>
        <w:rPr>
          <w:lang w:val="es-PE"/>
        </w:rPr>
      </w:pPr>
      <w:r w:rsidRPr="00BF09A0">
        <w:rPr>
          <w:i/>
          <w:iCs/>
          <w:lang w:val="es-PE"/>
        </w:rPr>
        <w:t>b.</w:t>
      </w:r>
      <w:r w:rsidRPr="00BF09A0">
        <w:rPr>
          <w:i/>
          <w:iCs/>
          <w:lang w:val="es-PE"/>
        </w:rPr>
        <w:tab/>
      </w:r>
      <w:r w:rsidRPr="00BF09A0">
        <w:rPr>
          <w:i/>
          <w:iCs/>
          <w:lang w:val="es-PE"/>
        </w:rPr>
        <w:t xml:space="preserve">Por reticencia y/o declaración inexacta –si media dolo o culpa inexcusable del CONTRATANTE y/o ASEGURADO– de circunstancias por ellos conocidas que hubiesen impedido este Contrato de Seguro, o modificado sus condiciones si la COMPAÑIA hubiese sido informada del verdadero estado del riesgo. </w:t>
      </w:r>
      <w:proofErr w:type="gramStart"/>
      <w:r w:rsidRPr="00BF09A0">
        <w:rPr>
          <w:i/>
          <w:iCs/>
          <w:lang w:val="es-PE"/>
        </w:rPr>
        <w:t>En caso que</w:t>
      </w:r>
      <w:proofErr w:type="gramEnd"/>
      <w:r w:rsidRPr="00BF09A0">
        <w:rPr>
          <w:i/>
          <w:iCs/>
          <w:lang w:val="es-PE"/>
        </w:rPr>
        <w:t xml:space="preserve"> no medie dolo o culpa inexcusable del CONTRATANTE y/o ASEGURADO, el Contrato de Seguro seguirá vigente.» </w:t>
      </w:r>
      <w:r w:rsidRPr="00BF09A0">
        <w:rPr>
          <w:lang w:val="es-PE"/>
        </w:rPr>
        <w:t>(el énfasis es agregado)</w:t>
      </w:r>
    </w:p>
    <w:p w:rsidRPr="00BF09A0" w:rsidR="00BF09A0" w:rsidP="00BF09A0" w:rsidRDefault="00BF09A0" w14:paraId="042E1F8A" w14:textId="77777777">
      <w:pPr>
        <w:jc w:val="both"/>
        <w:outlineLvl w:val="0"/>
        <w:rPr>
          <w:i/>
          <w:iCs/>
          <w:lang w:val="es-PE"/>
        </w:rPr>
      </w:pPr>
    </w:p>
    <w:p w:rsidRPr="00BF09A0" w:rsidR="00BF09A0" w:rsidP="00BF09A0" w:rsidRDefault="00BF09A0" w14:paraId="29BBDD5E" w14:textId="77777777">
      <w:pPr>
        <w:jc w:val="both"/>
        <w:outlineLvl w:val="0"/>
        <w:rPr>
          <w:lang w:val="es-PE"/>
        </w:rPr>
      </w:pPr>
      <w:r w:rsidRPr="00BF09A0">
        <w:rPr>
          <w:lang w:val="es-PE"/>
        </w:rPr>
        <w:t xml:space="preserve">Por otro lado, el artículo 2 de la </w:t>
      </w:r>
      <w:bookmarkStart w:name="_Hlk213373436" w:id="2"/>
      <w:r w:rsidRPr="00BF09A0">
        <w:rPr>
          <w:lang w:val="es-PE"/>
        </w:rPr>
        <w:t xml:space="preserve">Ley </w:t>
      </w:r>
      <w:proofErr w:type="spellStart"/>
      <w:r w:rsidRPr="00BF09A0">
        <w:rPr>
          <w:lang w:val="es-PE"/>
        </w:rPr>
        <w:t>n.°</w:t>
      </w:r>
      <w:proofErr w:type="spellEnd"/>
      <w:r w:rsidRPr="00BF09A0">
        <w:rPr>
          <w:lang w:val="es-PE"/>
        </w:rPr>
        <w:t xml:space="preserve"> 29946 </w:t>
      </w:r>
      <w:bookmarkEnd w:id="2"/>
      <w:r w:rsidRPr="00BF09A0">
        <w:rPr>
          <w:lang w:val="es-PE"/>
        </w:rPr>
        <w:t>(Ley del contrato de seguro) señala que el contrato de seguro cubre cualquier riesgo siempre que exista un interés asegurable actual o contingente</w:t>
      </w:r>
      <w:r w:rsidRPr="00BF09A0">
        <w:rPr>
          <w:vertAlign w:val="superscript"/>
          <w:lang w:val="es-PE"/>
        </w:rPr>
        <w:footnoteReference w:id="9"/>
      </w:r>
      <w:r w:rsidRPr="00BF09A0">
        <w:rPr>
          <w:lang w:val="es-PE"/>
        </w:rPr>
        <w:t>; asimismo, la norma mencionada, advierte en su artículo 101 que el contrato es nulo, en caso no exista interés asegurable al tiempo del perfeccionamiento del contrato o al inicio de sus efectos.</w:t>
      </w:r>
      <w:r w:rsidRPr="00BF09A0">
        <w:rPr>
          <w:vertAlign w:val="superscript"/>
          <w:lang w:val="es-PE"/>
        </w:rPr>
        <w:footnoteReference w:id="10"/>
      </w:r>
    </w:p>
    <w:p w:rsidRPr="00BF09A0" w:rsidR="00BF09A0" w:rsidP="00BF09A0" w:rsidRDefault="00BF09A0" w14:paraId="60032F02" w14:textId="77777777">
      <w:pPr>
        <w:jc w:val="both"/>
        <w:outlineLvl w:val="0"/>
        <w:rPr>
          <w:lang w:val="es-PE"/>
        </w:rPr>
      </w:pPr>
    </w:p>
    <w:p w:rsidRPr="00BF09A0" w:rsidR="00BF09A0" w:rsidP="00BF09A0" w:rsidRDefault="00BF09A0" w14:paraId="27283205" w14:textId="77777777">
      <w:pPr>
        <w:jc w:val="both"/>
        <w:outlineLvl w:val="0"/>
        <w:rPr>
          <w:lang w:val="es-PE"/>
        </w:rPr>
      </w:pPr>
      <w:r w:rsidRPr="00BF09A0">
        <w:rPr>
          <w:lang w:val="es-PE"/>
        </w:rPr>
        <w:t>Sobre el particular, debido a que el argumento principal de la empresa aseguradora para privar de cobertura a la asegurada es la inexistencia de un interés asegurable, resulta indispensable desarrollar dicho concepto. Como se observa, en la medida que la noción del concepto de interés asegurable no se encuentra definido en la Ley del contrato de seguro, no cabe duda que constituye lo que ha venido a determinarse un concepto jurídicamente indeterminado, ya que el legislador ha prescindido de darle un contenido preciso del término</w:t>
      </w:r>
      <w:r w:rsidRPr="00BF09A0">
        <w:rPr>
          <w:i/>
          <w:iCs/>
          <w:vertAlign w:val="superscript"/>
          <w:lang w:val="es-PE"/>
        </w:rPr>
        <w:footnoteReference w:id="11"/>
      </w:r>
      <w:r w:rsidRPr="00BF09A0">
        <w:rPr>
          <w:lang w:val="es-PE"/>
        </w:rPr>
        <w:t xml:space="preserve"> realizando una formulación abstracta que solamente puede comprenderse a partir de su aplicación práctica</w:t>
      </w:r>
      <w:r w:rsidRPr="00BF09A0">
        <w:rPr>
          <w:vertAlign w:val="superscript"/>
          <w:lang w:val="es-PE"/>
        </w:rPr>
        <w:footnoteReference w:id="12"/>
      </w:r>
      <w:r w:rsidRPr="00BF09A0">
        <w:rPr>
          <w:lang w:val="es-PE"/>
        </w:rPr>
        <w:t>; y, por tanto,</w:t>
      </w:r>
      <w:r w:rsidRPr="00BF09A0">
        <w:rPr>
          <w:i/>
          <w:iCs/>
          <w:lang w:val="es-PE"/>
        </w:rPr>
        <w:t xml:space="preserve"> </w:t>
      </w:r>
      <w:r w:rsidRPr="00BF09A0">
        <w:rPr>
          <w:lang w:val="es-PE"/>
        </w:rPr>
        <w:t>comporta para este Colegiado una exigencia de mayor de análisis</w:t>
      </w:r>
      <w:r w:rsidRPr="00BF09A0">
        <w:rPr>
          <w:vertAlign w:val="superscript"/>
          <w:lang w:val="es-PE"/>
        </w:rPr>
        <w:footnoteReference w:id="13"/>
      </w:r>
      <w:r w:rsidRPr="00BF09A0">
        <w:rPr>
          <w:lang w:val="es-PE"/>
        </w:rPr>
        <w:t>.</w:t>
      </w:r>
    </w:p>
    <w:p w:rsidRPr="00BF09A0" w:rsidR="00BF09A0" w:rsidP="00BF09A0" w:rsidRDefault="00BF09A0" w14:paraId="4C13BF9C" w14:textId="77777777">
      <w:pPr>
        <w:jc w:val="both"/>
        <w:outlineLvl w:val="0"/>
        <w:rPr>
          <w:lang w:val="es-PE"/>
        </w:rPr>
      </w:pPr>
      <w:r w:rsidRPr="00BF09A0">
        <w:rPr>
          <w:lang w:val="es-PE"/>
        </w:rPr>
        <w:t>Cabe destacar sobre el particular, que el concepto de interés asegurable, si bien está contemplado en la regulación de la actividad -como hemos visto-, no es un concepto sencillo de definir</w:t>
      </w:r>
      <w:r w:rsidRPr="00BF09A0">
        <w:rPr>
          <w:vertAlign w:val="superscript"/>
          <w:lang w:val="es-PE"/>
        </w:rPr>
        <w:footnoteReference w:id="14"/>
      </w:r>
      <w:r w:rsidRPr="00BF09A0">
        <w:rPr>
          <w:lang w:val="es-PE"/>
        </w:rPr>
        <w:t>. La institución, tal como la conocemos aparece en el siglo XVIII, aunque existen antecedentes desde el siglo XV</w:t>
      </w:r>
      <w:r w:rsidRPr="00BF09A0">
        <w:rPr>
          <w:vertAlign w:val="superscript"/>
          <w:lang w:val="es-PE"/>
        </w:rPr>
        <w:footnoteReference w:id="15"/>
      </w:r>
      <w:r w:rsidRPr="00BF09A0">
        <w:rPr>
          <w:lang w:val="es-PE"/>
        </w:rPr>
        <w:t xml:space="preserve">, para proscribir la práctica común de apostar por el </w:t>
      </w:r>
      <w:r w:rsidRPr="00BF09A0">
        <w:rPr>
          <w:lang w:val="es-PE"/>
        </w:rPr>
        <w:t>patrimonio e incluso la vida de una tercera persona, de forma que se limitó cualquier posible acuerdo de seguro como una mera apuesta o especulación como un asunto moralmente cuestionable.</w:t>
      </w:r>
      <w:r w:rsidRPr="00BF09A0">
        <w:rPr>
          <w:vertAlign w:val="superscript"/>
          <w:lang w:val="es-PE"/>
        </w:rPr>
        <w:footnoteReference w:id="16"/>
      </w:r>
      <w:r w:rsidRPr="00BF09A0">
        <w:rPr>
          <w:lang w:val="es-PE"/>
        </w:rPr>
        <w:t xml:space="preserve"> La lógica que subyace en esta regulación se puede resumir a partir del principio que sin un real interés asegurable, no hay pérdida y, por lo tanto, el contrato se convierte en una mera especulación o apuesta.</w:t>
      </w:r>
      <w:r w:rsidRPr="00BF09A0">
        <w:rPr>
          <w:vertAlign w:val="superscript"/>
          <w:lang w:val="es-PE"/>
        </w:rPr>
        <w:footnoteReference w:id="17"/>
      </w:r>
    </w:p>
    <w:p w:rsidRPr="00BF09A0" w:rsidR="00BF09A0" w:rsidP="00BF09A0" w:rsidRDefault="00BF09A0" w14:paraId="30D434EF" w14:textId="77777777">
      <w:pPr>
        <w:jc w:val="both"/>
        <w:outlineLvl w:val="0"/>
        <w:rPr>
          <w:lang w:val="es-PE"/>
        </w:rPr>
      </w:pPr>
    </w:p>
    <w:p w:rsidRPr="00BF09A0" w:rsidR="00BF09A0" w:rsidP="00BF09A0" w:rsidRDefault="00BF09A0" w14:paraId="2CAA9CB0" w14:textId="77777777">
      <w:pPr>
        <w:jc w:val="both"/>
        <w:outlineLvl w:val="0"/>
        <w:rPr>
          <w:lang w:val="es-PE"/>
        </w:rPr>
      </w:pPr>
      <w:r w:rsidRPr="00BF09A0">
        <w:rPr>
          <w:lang w:val="es-PE"/>
        </w:rPr>
        <w:t>Según el Diccionario de seguros de la Fundación MAPFRE</w:t>
      </w:r>
      <w:r w:rsidRPr="00BF09A0">
        <w:rPr>
          <w:vertAlign w:val="superscript"/>
          <w:lang w:val="es-PE"/>
        </w:rPr>
        <w:footnoteReference w:id="18"/>
      </w:r>
      <w:r w:rsidRPr="00BF09A0">
        <w:rPr>
          <w:lang w:val="es-PE"/>
        </w:rPr>
        <w:t xml:space="preserve">, el interés asegurable constituye aquel requisito que debe concurrir en quien desee cobertura por determinado riesgo, reflejado en su deseo sincero de que el siniestro no se produzca, ya que en caso ello ocurra se originaría un perjuicio para su patrimonio. Es en virtud de este interés, que se asegura el bien, de modo </w:t>
      </w:r>
      <w:proofErr w:type="gramStart"/>
      <w:r w:rsidRPr="00BF09A0">
        <w:rPr>
          <w:lang w:val="es-PE"/>
        </w:rPr>
        <w:t>que</w:t>
      </w:r>
      <w:proofErr w:type="gramEnd"/>
      <w:r w:rsidRPr="00BF09A0">
        <w:rPr>
          <w:lang w:val="es-PE"/>
        </w:rPr>
        <w:t xml:space="preserve"> si se produce un daño no deseado, la empresa aseguradora pueda cubrirlo dentro de los límites establecidos en la póliza. Si no existiera interés asegurable, cualquier persona podría contratar un contrato de seguro sobre bienes de propiedad de terceros, aun cuando los daños que este patrimonio sufra, no vaya a generarle ningún perjuicio económico, </w:t>
      </w:r>
      <w:proofErr w:type="gramStart"/>
      <w:r w:rsidRPr="00BF09A0">
        <w:rPr>
          <w:lang w:val="es-PE"/>
        </w:rPr>
        <w:t>enriqueciéndose</w:t>
      </w:r>
      <w:proofErr w:type="gramEnd"/>
      <w:r w:rsidRPr="00BF09A0">
        <w:rPr>
          <w:lang w:val="es-PE"/>
        </w:rPr>
        <w:t xml:space="preserve"> por tanto, en caso de siniestro, de forma indebida. Es por ello </w:t>
      </w:r>
      <w:proofErr w:type="gramStart"/>
      <w:r w:rsidRPr="00BF09A0">
        <w:rPr>
          <w:lang w:val="es-PE"/>
        </w:rPr>
        <w:t>que</w:t>
      </w:r>
      <w:proofErr w:type="gramEnd"/>
      <w:r w:rsidRPr="00BF09A0">
        <w:rPr>
          <w:lang w:val="es-PE"/>
        </w:rPr>
        <w:t xml:space="preserve"> el interés asegurable se establece como un principio y un elemento esencial de todo contrato de seguro.</w:t>
      </w:r>
      <w:r w:rsidRPr="00BF09A0">
        <w:rPr>
          <w:vertAlign w:val="superscript"/>
          <w:lang w:val="es-PE"/>
        </w:rPr>
        <w:footnoteReference w:id="19"/>
      </w:r>
    </w:p>
    <w:p w:rsidRPr="00BF09A0" w:rsidR="00BF09A0" w:rsidP="00BF09A0" w:rsidRDefault="00BF09A0" w14:paraId="003976A5" w14:textId="77777777">
      <w:pPr>
        <w:jc w:val="both"/>
        <w:outlineLvl w:val="0"/>
        <w:rPr>
          <w:lang w:val="es-PE"/>
        </w:rPr>
      </w:pPr>
    </w:p>
    <w:p w:rsidRPr="00BF09A0" w:rsidR="00BF09A0" w:rsidP="00BF09A0" w:rsidRDefault="00BF09A0" w14:paraId="2849DDB0" w14:textId="488F8D97">
      <w:pPr>
        <w:jc w:val="both"/>
        <w:outlineLvl w:val="0"/>
        <w:rPr>
          <w:lang w:val="es-PE"/>
        </w:rPr>
      </w:pPr>
      <w:r w:rsidRPr="3541BDFD" w:rsidR="308E0966">
        <w:rPr>
          <w:lang w:val="es-PE"/>
        </w:rPr>
        <w:t>....................</w:t>
      </w:r>
      <w:r w:rsidRPr="3541BDFD" w:rsidR="00BF09A0">
        <w:rPr>
          <w:lang w:val="es-PE"/>
        </w:rPr>
        <w:t xml:space="preserve"> sostiene, que la asegurada carece de interés asegurable sobre la base de que, tanto a la fecha de contratación de la Póliza, como al momento del siniestro, la propiedad registral del vehículo asegurado correspondió siempre al BCP, sin que exista constancia registral de su transferencia a favor de </w:t>
      </w:r>
      <w:r w:rsidRPr="3541BDFD" w:rsidR="2F0AE81F">
        <w:rPr>
          <w:lang w:val="es-PE"/>
        </w:rPr>
        <w:t>...........................................................................</w:t>
      </w:r>
      <w:r w:rsidRPr="3541BDFD" w:rsidR="00BF09A0">
        <w:rPr>
          <w:lang w:val="es-PE"/>
        </w:rPr>
        <w:t>.</w:t>
      </w:r>
    </w:p>
    <w:p w:rsidRPr="00BF09A0" w:rsidR="00BF09A0" w:rsidP="00BF09A0" w:rsidRDefault="00BF09A0" w14:paraId="26DA73AC" w14:textId="77777777">
      <w:pPr>
        <w:jc w:val="both"/>
        <w:outlineLvl w:val="0"/>
        <w:rPr>
          <w:lang w:val="es-PE"/>
        </w:rPr>
      </w:pPr>
    </w:p>
    <w:p w:rsidRPr="00BF09A0" w:rsidR="00BF09A0" w:rsidP="00BF09A0" w:rsidRDefault="00BF09A0" w14:paraId="34CA62EF" w14:textId="093EAE1E">
      <w:pPr>
        <w:jc w:val="both"/>
        <w:outlineLvl w:val="0"/>
        <w:rPr>
          <w:lang w:val="es-PE"/>
        </w:rPr>
      </w:pPr>
      <w:r w:rsidRPr="3541BDFD" w:rsidR="00BF09A0">
        <w:rPr>
          <w:lang w:val="es-PE"/>
        </w:rPr>
        <w:t xml:space="preserve">De acuerdo con lo señalado, pareciera que </w:t>
      </w:r>
      <w:r w:rsidRPr="3541BDFD" w:rsidR="308E0966">
        <w:rPr>
          <w:lang w:val="es-PE"/>
        </w:rPr>
        <w:t>....................</w:t>
      </w:r>
      <w:r w:rsidRPr="3541BDFD" w:rsidR="00BF09A0">
        <w:rPr>
          <w:lang w:val="es-PE"/>
        </w:rPr>
        <w:t xml:space="preserve"> entiende que sólo existe interés asegurable cuando quien invoca el derecho indemnizatorio ostenta la calidad de propietario del bien asegurado (en este caso un vehículo automotor), derecho que por otro lado, sólo se materializaría con su inscripción en el registro respectivo, en este caso, en el Registro de la propiedad vehicular como parte del Registro de bienes muebles administrado por la Superintendencia Nacional de los Registros Públicos (SUNARP). </w:t>
      </w:r>
    </w:p>
    <w:p w:rsidRPr="00BF09A0" w:rsidR="00BF09A0" w:rsidP="00BF09A0" w:rsidRDefault="00BF09A0" w14:paraId="43E8EAE7" w14:textId="77777777">
      <w:pPr>
        <w:jc w:val="both"/>
        <w:outlineLvl w:val="0"/>
        <w:rPr>
          <w:lang w:val="es-PE"/>
        </w:rPr>
      </w:pPr>
    </w:p>
    <w:p w:rsidRPr="00BF09A0" w:rsidR="00BF09A0" w:rsidP="00BF09A0" w:rsidRDefault="00BF09A0" w14:paraId="534234ED" w14:textId="77777777">
      <w:pPr>
        <w:jc w:val="both"/>
        <w:outlineLvl w:val="0"/>
        <w:rPr>
          <w:lang w:val="es-PE"/>
        </w:rPr>
      </w:pPr>
      <w:r w:rsidRPr="00BF09A0">
        <w:rPr>
          <w:lang w:val="es-PE"/>
        </w:rPr>
        <w:t>Teniendo en cuenta la naturaleza del bien asegurado, en este caso una unidad vehicular, debemos considerar que de acuerdo con el artículo 947 del Código Civil, la transferencia de la propiedad de un bien mueble determinado se efectúa con la tradición</w:t>
      </w:r>
      <w:r w:rsidRPr="00BF09A0">
        <w:rPr>
          <w:vertAlign w:val="superscript"/>
          <w:lang w:val="es-PE"/>
        </w:rPr>
        <w:footnoteReference w:id="20"/>
      </w:r>
      <w:r w:rsidRPr="00BF09A0">
        <w:rPr>
          <w:lang w:val="es-PE"/>
        </w:rPr>
        <w:t xml:space="preserve">. De esta forma, la transmisión de la propiedad de bienes muebles en el Perú se adscribe a la lógica de un título (acuerdo a partir del cual una parte se obliga a transferir a su acreedor la propiedad de un </w:t>
      </w:r>
      <w:r w:rsidRPr="00BF09A0">
        <w:rPr>
          <w:lang w:val="es-PE"/>
        </w:rPr>
        <w:t>bien mueble) y un modo (la tradición), los cuales deben interrelacionarse para que se realice la transferencia</w:t>
      </w:r>
      <w:r w:rsidRPr="00BF09A0">
        <w:rPr>
          <w:vertAlign w:val="superscript"/>
          <w:lang w:val="es-PE"/>
        </w:rPr>
        <w:footnoteReference w:id="21"/>
      </w:r>
      <w:r w:rsidRPr="00BF09A0">
        <w:rPr>
          <w:lang w:val="es-PE"/>
        </w:rPr>
        <w:t>.</w:t>
      </w:r>
    </w:p>
    <w:p w:rsidRPr="00BF09A0" w:rsidR="00BF09A0" w:rsidP="00BF09A0" w:rsidRDefault="00BF09A0" w14:paraId="611EB6E4" w14:textId="77777777">
      <w:pPr>
        <w:jc w:val="both"/>
        <w:outlineLvl w:val="0"/>
        <w:rPr>
          <w:lang w:val="es-PE"/>
        </w:rPr>
      </w:pPr>
    </w:p>
    <w:p w:rsidRPr="00BF09A0" w:rsidR="00BF09A0" w:rsidP="3541BDFD" w:rsidRDefault="00BF09A0" w14:paraId="2DF55A97" w14:textId="77777777">
      <w:pPr>
        <w:jc w:val="both"/>
        <w:outlineLvl w:val="0"/>
        <w:rPr>
          <w:lang w:val="es-ES"/>
        </w:rPr>
      </w:pPr>
      <w:r w:rsidRPr="3541BDFD" w:rsidR="00BF09A0">
        <w:rPr>
          <w:lang w:val="es-ES"/>
        </w:rPr>
        <w:t>Respecto del modo, el artículo 901 del Código Civil dispone que la tradición se realiza mediante la entrega del bien a quien debe recibirlo</w:t>
      </w:r>
      <w:r w:rsidRPr="3541BDFD">
        <w:rPr>
          <w:vertAlign w:val="superscript"/>
          <w:lang w:val="es-ES"/>
        </w:rPr>
        <w:footnoteReference w:id="28235"/>
      </w:r>
      <w:r w:rsidRPr="3541BDFD" w:rsidR="00BF09A0">
        <w:rPr>
          <w:lang w:val="es-ES"/>
        </w:rPr>
        <w:t xml:space="preserve">. Es en esta línea que se ha pronunciado el Poder Judicial, por </w:t>
      </w:r>
      <w:r w:rsidRPr="3541BDFD" w:rsidR="00BF09A0">
        <w:rPr>
          <w:lang w:val="es-ES"/>
        </w:rPr>
        <w:t>ejemplo</w:t>
      </w:r>
      <w:r w:rsidRPr="3541BDFD" w:rsidR="00BF09A0">
        <w:rPr>
          <w:lang w:val="es-ES"/>
        </w:rPr>
        <w:t xml:space="preserve"> en el Pleno jurisdiccional nacional civil respecto del debate sobre el momento en el que opera la transferencia vehicular, arribando a la Conclusión plenaria que la transferencia de una unidad vehicular se perfecciona mediante la tradición como señala el artículo 947 del Código Civil</w:t>
      </w:r>
      <w:r w:rsidRPr="3541BDFD">
        <w:rPr>
          <w:vertAlign w:val="superscript"/>
          <w:lang w:val="es-ES"/>
        </w:rPr>
        <w:footnoteReference w:id="9110"/>
      </w:r>
      <w:r w:rsidRPr="3541BDFD" w:rsidR="00BF09A0">
        <w:rPr>
          <w:lang w:val="es-ES"/>
        </w:rPr>
        <w:t>. Más claro aún es el Tribunal Registral, cuando advierte que «</w:t>
      </w:r>
      <w:r w:rsidRPr="3541BDFD" w:rsidR="00BF09A0">
        <w:rPr>
          <w:i w:val="1"/>
          <w:iCs w:val="1"/>
          <w:lang w:val="es-ES"/>
        </w:rPr>
        <w:t xml:space="preserve">la transferencia de propiedad de bien mueble se efectúa con la tradición a su acreedor, salvo disposición legal diferente, según se señala en el artículo 947 del código civil (sic); por tanto, dicha transferencia se produce </w:t>
      </w:r>
      <w:r w:rsidRPr="3541BDFD" w:rsidR="00BF09A0">
        <w:rPr>
          <w:i w:val="1"/>
          <w:iCs w:val="1"/>
          <w:lang w:val="es-ES"/>
        </w:rPr>
        <w:t>extrarregistralmente</w:t>
      </w:r>
      <w:r w:rsidRPr="3541BDFD" w:rsidR="00BF09A0">
        <w:rPr>
          <w:lang w:val="es-ES"/>
        </w:rPr>
        <w:t>».</w:t>
      </w:r>
      <w:r w:rsidRPr="3541BDFD">
        <w:rPr>
          <w:vertAlign w:val="superscript"/>
          <w:lang w:val="es-ES"/>
        </w:rPr>
        <w:footnoteReference w:id="11571"/>
      </w:r>
    </w:p>
    <w:p w:rsidRPr="00BF09A0" w:rsidR="00BF09A0" w:rsidP="00BF09A0" w:rsidRDefault="00BF09A0" w14:paraId="314D1DC1" w14:textId="77777777">
      <w:pPr>
        <w:jc w:val="both"/>
        <w:outlineLvl w:val="0"/>
        <w:rPr>
          <w:lang w:val="es-PE"/>
        </w:rPr>
      </w:pPr>
    </w:p>
    <w:p w:rsidRPr="00BF09A0" w:rsidR="00BF09A0" w:rsidP="00BF09A0" w:rsidRDefault="00BF09A0" w14:paraId="38A11B50" w14:textId="77777777">
      <w:pPr>
        <w:jc w:val="both"/>
        <w:outlineLvl w:val="0"/>
        <w:rPr>
          <w:lang w:val="es-PE"/>
        </w:rPr>
      </w:pPr>
      <w:r w:rsidRPr="00BF09A0">
        <w:rPr>
          <w:lang w:val="es-PE"/>
        </w:rPr>
        <w:t>Asimismo, la tradición a la que se refiere el artículo 947, incluye tanto la tradición real contemplada en el artículo 901 ya citado, como la ficta, regulada en los artículos 902</w:t>
      </w:r>
      <w:r w:rsidRPr="00BF09A0">
        <w:rPr>
          <w:vertAlign w:val="superscript"/>
          <w:lang w:val="es-PE"/>
        </w:rPr>
        <w:footnoteReference w:id="25"/>
      </w:r>
      <w:r w:rsidRPr="00BF09A0">
        <w:rPr>
          <w:lang w:val="es-PE"/>
        </w:rPr>
        <w:t xml:space="preserve"> y 903</w:t>
      </w:r>
      <w:r w:rsidRPr="00BF09A0">
        <w:rPr>
          <w:vertAlign w:val="superscript"/>
          <w:lang w:val="es-PE"/>
        </w:rPr>
        <w:footnoteReference w:id="26"/>
      </w:r>
      <w:r w:rsidRPr="00BF09A0">
        <w:rPr>
          <w:lang w:val="es-PE"/>
        </w:rPr>
        <w:t xml:space="preserve"> del Código Civil, es decir, incluye las figuras de la </w:t>
      </w:r>
      <w:proofErr w:type="spellStart"/>
      <w:r w:rsidRPr="00BF09A0">
        <w:rPr>
          <w:i/>
          <w:iCs/>
          <w:lang w:val="es-PE"/>
        </w:rPr>
        <w:t>traditio</w:t>
      </w:r>
      <w:proofErr w:type="spellEnd"/>
      <w:r w:rsidRPr="00BF09A0">
        <w:rPr>
          <w:i/>
          <w:iCs/>
          <w:lang w:val="es-PE"/>
        </w:rPr>
        <w:t xml:space="preserve"> </w:t>
      </w:r>
      <w:proofErr w:type="spellStart"/>
      <w:r w:rsidRPr="00BF09A0">
        <w:rPr>
          <w:i/>
          <w:iCs/>
          <w:lang w:val="es-PE"/>
        </w:rPr>
        <w:t>brevi</w:t>
      </w:r>
      <w:proofErr w:type="spellEnd"/>
      <w:r w:rsidRPr="00BF09A0">
        <w:rPr>
          <w:i/>
          <w:iCs/>
          <w:lang w:val="es-PE"/>
        </w:rPr>
        <w:t xml:space="preserve"> manu</w:t>
      </w:r>
      <w:r w:rsidRPr="00BF09A0">
        <w:rPr>
          <w:lang w:val="es-PE"/>
        </w:rPr>
        <w:t xml:space="preserve">, el </w:t>
      </w:r>
      <w:proofErr w:type="spellStart"/>
      <w:r w:rsidRPr="00BF09A0">
        <w:rPr>
          <w:i/>
          <w:iCs/>
          <w:lang w:val="es-PE"/>
        </w:rPr>
        <w:t>constitutum</w:t>
      </w:r>
      <w:proofErr w:type="spellEnd"/>
      <w:r w:rsidRPr="00BF09A0">
        <w:rPr>
          <w:i/>
          <w:iCs/>
          <w:lang w:val="es-PE"/>
        </w:rPr>
        <w:t xml:space="preserve"> </w:t>
      </w:r>
      <w:proofErr w:type="spellStart"/>
      <w:r w:rsidRPr="00BF09A0">
        <w:rPr>
          <w:i/>
          <w:iCs/>
          <w:lang w:val="es-PE"/>
        </w:rPr>
        <w:t>possessorium</w:t>
      </w:r>
      <w:proofErr w:type="spellEnd"/>
      <w:r w:rsidRPr="00BF09A0">
        <w:rPr>
          <w:lang w:val="es-PE"/>
        </w:rPr>
        <w:t>, la cesión de la acción restitutoria y la tradición documental.</w:t>
      </w:r>
      <w:r w:rsidRPr="00BF09A0">
        <w:rPr>
          <w:vertAlign w:val="superscript"/>
          <w:lang w:val="es-PE"/>
        </w:rPr>
        <w:footnoteReference w:id="27"/>
      </w:r>
    </w:p>
    <w:p w:rsidRPr="00BF09A0" w:rsidR="00BF09A0" w:rsidP="00BF09A0" w:rsidRDefault="00BF09A0" w14:paraId="7220C8DD" w14:textId="77777777">
      <w:pPr>
        <w:jc w:val="both"/>
        <w:outlineLvl w:val="0"/>
        <w:rPr>
          <w:lang w:val="es-PE"/>
        </w:rPr>
      </w:pPr>
    </w:p>
    <w:p w:rsidRPr="00BF09A0" w:rsidR="00BF09A0" w:rsidP="00BF09A0" w:rsidRDefault="00BF09A0" w14:paraId="17A19858" w14:textId="77777777">
      <w:pPr>
        <w:jc w:val="both"/>
        <w:outlineLvl w:val="0"/>
        <w:rPr>
          <w:lang w:val="es-PE"/>
        </w:rPr>
      </w:pPr>
      <w:r w:rsidRPr="00BF09A0">
        <w:rPr>
          <w:lang w:val="es-PE"/>
        </w:rPr>
        <w:t>Toca analizar dentro del marco de transferencia de la propiedad que hemos desarrollado, al contrato de arrendamiento financiero, mecanismo que habría empleado la asegurada para asegurar el financiamiento del vehículo asegurado. Podemos definir al arrendamiento financiero (</w:t>
      </w:r>
      <w:r w:rsidRPr="00BF09A0">
        <w:rPr>
          <w:i/>
          <w:iCs/>
          <w:lang w:val="es-PE"/>
        </w:rPr>
        <w:t>leasing</w:t>
      </w:r>
      <w:r w:rsidRPr="00BF09A0">
        <w:rPr>
          <w:lang w:val="es-PE"/>
        </w:rPr>
        <w:t xml:space="preserve">), como aquel contrato mediante el cual un arrendador </w:t>
      </w:r>
      <w:r w:rsidRPr="00BF09A0">
        <w:rPr>
          <w:lang w:val="es-PE"/>
        </w:rPr>
        <w:t>financiero</w:t>
      </w:r>
      <w:r w:rsidRPr="00BF09A0">
        <w:rPr>
          <w:vertAlign w:val="superscript"/>
          <w:lang w:val="es-PE"/>
        </w:rPr>
        <w:footnoteReference w:id="28"/>
      </w:r>
      <w:r w:rsidRPr="00BF09A0">
        <w:rPr>
          <w:lang w:val="es-PE"/>
        </w:rPr>
        <w:t>, adquiere un bien para entregarlo en uso a un arrendatario financiero, quien, a cambio, se compromete a pagar cuotas periódicas durante un plazo determinado, con opción de adquirir la propiedad del bien cancelando un valor residual previamente pactado.</w:t>
      </w:r>
      <w:r w:rsidRPr="00BF09A0">
        <w:rPr>
          <w:vertAlign w:val="superscript"/>
          <w:lang w:val="es-PE"/>
        </w:rPr>
        <w:footnoteReference w:id="29"/>
      </w:r>
    </w:p>
    <w:p w:rsidRPr="00BF09A0" w:rsidR="00BF09A0" w:rsidP="00BF09A0" w:rsidRDefault="00BF09A0" w14:paraId="593E0C3A" w14:textId="77777777">
      <w:pPr>
        <w:jc w:val="both"/>
        <w:outlineLvl w:val="0"/>
        <w:rPr>
          <w:lang w:val="es-PE"/>
        </w:rPr>
      </w:pPr>
    </w:p>
    <w:p w:rsidRPr="00BF09A0" w:rsidR="00BF09A0" w:rsidP="00BF09A0" w:rsidRDefault="00BF09A0" w14:paraId="2D5E1800" w14:textId="7D3E4B44">
      <w:pPr>
        <w:jc w:val="both"/>
        <w:outlineLvl w:val="0"/>
        <w:rPr>
          <w:lang w:val="es-PE"/>
        </w:rPr>
      </w:pPr>
      <w:r w:rsidRPr="3541BDFD" w:rsidR="00BF09A0">
        <w:rPr>
          <w:lang w:val="es-PE"/>
        </w:rPr>
        <w:t xml:space="preserve">Es en este extremo que este Colegiado discrepa </w:t>
      </w:r>
      <w:r w:rsidRPr="3541BDFD" w:rsidR="00BF09A0">
        <w:rPr>
          <w:lang w:val="es-PE"/>
        </w:rPr>
        <w:t>con</w:t>
      </w:r>
      <w:r w:rsidRPr="3541BDFD" w:rsidR="00BF09A0">
        <w:rPr>
          <w:lang w:val="es-PE"/>
        </w:rPr>
        <w:t xml:space="preserve"> lo señalado por </w:t>
      </w:r>
      <w:r w:rsidRPr="3541BDFD" w:rsidR="308E0966">
        <w:rPr>
          <w:lang w:val="es-PE"/>
        </w:rPr>
        <w:t>....................</w:t>
      </w:r>
      <w:r w:rsidRPr="3541BDFD" w:rsidR="00BF09A0">
        <w:rPr>
          <w:lang w:val="es-PE"/>
        </w:rPr>
        <w:t xml:space="preserve"> en su escrito de absolución de reclamo, cuando indica que la existencia de un contrato de arrendamiento financiero carece de relevancia, en la medida que dicho acuerdo se canceló en el mes de octubre de 2021 y, por tanto, no se encontraba vigente al momento de la ocurrencia del siniestro el 12 de marzo de 2024.</w:t>
      </w:r>
    </w:p>
    <w:p w:rsidRPr="00BF09A0" w:rsidR="00BF09A0" w:rsidP="00BF09A0" w:rsidRDefault="00BF09A0" w14:paraId="7B17B309" w14:textId="77777777">
      <w:pPr>
        <w:jc w:val="both"/>
        <w:outlineLvl w:val="0"/>
        <w:rPr>
          <w:lang w:val="es-PE"/>
        </w:rPr>
      </w:pPr>
    </w:p>
    <w:p w:rsidRPr="00BF09A0" w:rsidR="00BF09A0" w:rsidP="00BF09A0" w:rsidRDefault="00BF09A0" w14:paraId="0DCB7C0A" w14:textId="77777777">
      <w:pPr>
        <w:jc w:val="both"/>
        <w:outlineLvl w:val="0"/>
        <w:rPr>
          <w:lang w:val="es-PE"/>
        </w:rPr>
      </w:pPr>
      <w:r w:rsidRPr="00BF09A0">
        <w:rPr>
          <w:lang w:val="es-PE"/>
        </w:rPr>
        <w:t xml:space="preserve">Como es ampliamente aceptado, uno de los elementos </w:t>
      </w:r>
      <w:proofErr w:type="spellStart"/>
      <w:r w:rsidRPr="00BF09A0">
        <w:rPr>
          <w:lang w:val="es-PE"/>
        </w:rPr>
        <w:t>tipificantes</w:t>
      </w:r>
      <w:proofErr w:type="spellEnd"/>
      <w:r w:rsidRPr="00BF09A0">
        <w:rPr>
          <w:lang w:val="es-PE"/>
        </w:rPr>
        <w:t xml:space="preserve"> del arrendamiento financiero es la existencia de una cláusula de opción de compra otorgada por el arrendador financiero a favor del arrendatario. El ejercicio de esta opción implica el pago de un precio por la adquisición del bien por parte del arrendatario, pago que se denomina valor residual y constituye un monto adicional e independiente del canon periódico. Queda claro entonces que el arrendatario financiero puede decidir entre adquirir -o no- el bien dado en arrendamiento.</w:t>
      </w:r>
      <w:r w:rsidRPr="00BF09A0">
        <w:rPr>
          <w:vertAlign w:val="superscript"/>
          <w:lang w:val="es-PE"/>
        </w:rPr>
        <w:footnoteReference w:id="30"/>
      </w:r>
    </w:p>
    <w:p w:rsidRPr="00BF09A0" w:rsidR="00BF09A0" w:rsidP="00BF09A0" w:rsidRDefault="00BF09A0" w14:paraId="0B400ABE" w14:textId="77777777">
      <w:pPr>
        <w:jc w:val="both"/>
        <w:outlineLvl w:val="0"/>
        <w:rPr>
          <w:lang w:val="es-PE"/>
        </w:rPr>
      </w:pPr>
    </w:p>
    <w:p w:rsidRPr="00BF09A0" w:rsidR="00BF09A0" w:rsidP="00BF09A0" w:rsidRDefault="00BF09A0" w14:paraId="52623C69" w14:textId="0E4C271B">
      <w:pPr>
        <w:jc w:val="both"/>
        <w:outlineLvl w:val="0"/>
        <w:rPr>
          <w:lang w:val="es-PE"/>
        </w:rPr>
      </w:pPr>
      <w:r w:rsidRPr="00BF09A0" w:rsidR="00BF09A0">
        <w:rPr>
          <w:lang w:val="es-PE"/>
        </w:rPr>
        <w:t xml:space="preserve">Si en el presente caso, </w:t>
      </w:r>
      <w:r w:rsidRPr="3541BDFD" w:rsidR="2F0AE81F">
        <w:rPr>
          <w:lang w:val="es-PE"/>
        </w:rPr>
        <w:t>...........................................................................</w:t>
      </w:r>
      <w:r w:rsidRPr="3541BDFD" w:rsidR="00BF09A0">
        <w:rPr>
          <w:lang w:val="es-PE"/>
        </w:rPr>
        <w:t xml:space="preserve"> ejercitó la opción de compra cancelando el valor residual del vehículo asegurado, se habría producido la transferencia del vehículo en su favor, al concurrir, título, en este caso el pacto de opción de compra como parte del contrato de arrendamiento financiero, y modo, a partir de la tradición ficta, dado que el asegurado ya se encontraba en posesión del bien al momento en el que se produjo la transferencia. Sin que sea exigible adicionalmente la inscripción de dicha operación en el registro correspondiente, como parece exigir </w:t>
      </w:r>
      <w:r w:rsidRPr="3541BDFD" w:rsidR="308E0966">
        <w:rPr>
          <w:lang w:val="es-PE"/>
        </w:rPr>
        <w:t>....................</w:t>
      </w:r>
      <w:r w:rsidRPr="3541BDFD">
        <w:rPr>
          <w:vertAlign w:val="superscript"/>
          <w:lang w:val="es-PE"/>
        </w:rPr>
        <w:footnoteReference w:id="5005"/>
      </w:r>
      <w:r w:rsidRPr="3541BDFD" w:rsidR="00BF09A0">
        <w:rPr>
          <w:lang w:val="es-PE"/>
        </w:rPr>
        <w:t>.</w:t>
      </w:r>
    </w:p>
    <w:p w:rsidRPr="00BF09A0" w:rsidR="00BF09A0" w:rsidP="00BF09A0" w:rsidRDefault="00BF09A0" w14:paraId="2849B60B" w14:textId="77777777">
      <w:pPr>
        <w:jc w:val="both"/>
        <w:outlineLvl w:val="0"/>
        <w:rPr>
          <w:lang w:val="es-PE"/>
        </w:rPr>
      </w:pPr>
    </w:p>
    <w:p w:rsidRPr="00BF09A0" w:rsidR="00BF09A0" w:rsidP="00BF09A0" w:rsidRDefault="00BF09A0" w14:paraId="1DB46B80" w14:textId="1DBF48B7">
      <w:pPr>
        <w:jc w:val="both"/>
        <w:outlineLvl w:val="0"/>
        <w:rPr>
          <w:lang w:val="es-PE"/>
        </w:rPr>
      </w:pPr>
      <w:r w:rsidRPr="3541BDFD" w:rsidR="00BF09A0">
        <w:rPr>
          <w:lang w:val="es-PE"/>
        </w:rPr>
        <w:t xml:space="preserve">Por otro lado, la empresa aseguradora, señala </w:t>
      </w:r>
      <w:r w:rsidRPr="3541BDFD" w:rsidR="00BF09A0">
        <w:rPr>
          <w:lang w:val="es-PE"/>
        </w:rPr>
        <w:t>que</w:t>
      </w:r>
      <w:r w:rsidRPr="3541BDFD" w:rsidR="00BF09A0">
        <w:rPr>
          <w:lang w:val="es-PE"/>
        </w:rPr>
        <w:t xml:space="preserve"> al emitir la Póliza, confió en la exactitud de la información proporcionada por la asegurada, sin que se le haya comunicado la condición de propiedad registral del </w:t>
      </w:r>
      <w:r w:rsidRPr="3541BDFD" w:rsidR="00BF09A0">
        <w:rPr>
          <w:lang w:val="es-PE"/>
        </w:rPr>
        <w:t>vehículo</w:t>
      </w:r>
      <w:r w:rsidRPr="3541BDFD" w:rsidR="00BF09A0">
        <w:rPr>
          <w:lang w:val="es-PE"/>
        </w:rPr>
        <w:t xml:space="preserve"> así como tampoco la falta de un interés asegurable directo, omisión -que según </w:t>
      </w:r>
      <w:r w:rsidRPr="3541BDFD" w:rsidR="308E0966">
        <w:rPr>
          <w:lang w:val="es-PE"/>
        </w:rPr>
        <w:t>....................</w:t>
      </w:r>
      <w:r w:rsidRPr="3541BDFD" w:rsidR="00BF09A0">
        <w:rPr>
          <w:lang w:val="es-PE"/>
        </w:rPr>
        <w:t xml:space="preserve">- compromete la confianza recíproca que debe regir la relación contractual y afecta la procedencia de cualquier cobertura. </w:t>
      </w:r>
    </w:p>
    <w:p w:rsidRPr="00BF09A0" w:rsidR="00BF09A0" w:rsidP="00BF09A0" w:rsidRDefault="00BF09A0" w14:paraId="6CD9944D" w14:textId="77777777">
      <w:pPr>
        <w:jc w:val="both"/>
        <w:outlineLvl w:val="0"/>
        <w:rPr>
          <w:lang w:val="es-PE"/>
        </w:rPr>
      </w:pPr>
    </w:p>
    <w:p w:rsidRPr="00BF09A0" w:rsidR="00BF09A0" w:rsidP="00BF09A0" w:rsidRDefault="00BF09A0" w14:paraId="2D8CE1CC" w14:textId="2A73683B">
      <w:pPr>
        <w:jc w:val="both"/>
        <w:outlineLvl w:val="0"/>
        <w:rPr>
          <w:lang w:val="es-PE"/>
        </w:rPr>
      </w:pPr>
      <w:r w:rsidRPr="00BF09A0" w:rsidR="00BF09A0">
        <w:rPr>
          <w:lang w:val="es-PE"/>
        </w:rPr>
        <w:t xml:space="preserve">Este Colegiado no puede estar de acuerdo con lo señalado por </w:t>
      </w:r>
      <w:r w:rsidRPr="3541BDFD" w:rsidR="308E0966">
        <w:rPr>
          <w:lang w:val="es-PE"/>
        </w:rPr>
        <w:t>....................</w:t>
      </w:r>
      <w:r w:rsidRPr="3541BDFD" w:rsidR="00BF09A0">
        <w:rPr>
          <w:lang w:val="es-PE"/>
        </w:rPr>
        <w:t xml:space="preserve"> en este extremo, pues el artículo 2 de la Ley del contrato de seguro si bien exige que al momento de celebración del contrato exista un interés asegurable, es claro que este puede ser actual o contingente. Ello quiere decir, a diferencia de lo que ocurre en otras legislaciones, que el interés asegurable puede ser futuro. Efectivamente, al hacer referencia la Ley del contrato de seguro a la existencia de un interés asegurable contingente, es claro que se refiere a un </w:t>
      </w:r>
      <w:r w:rsidRPr="3541BDFD" w:rsidR="00BF09A0">
        <w:rPr>
          <w:lang w:val="es-PE"/>
        </w:rPr>
        <w:t>hecho que pueda suceder -o no-</w:t>
      </w:r>
      <w:r w:rsidRPr="3541BDFD">
        <w:rPr>
          <w:vertAlign w:val="superscript"/>
          <w:lang w:val="es-PE"/>
        </w:rPr>
        <w:footnoteReference w:id="29941"/>
      </w:r>
      <w:r w:rsidRPr="3541BDFD" w:rsidR="00BF09A0">
        <w:rPr>
          <w:lang w:val="es-PE"/>
        </w:rPr>
        <w:t xml:space="preserve"> en el futuro, como una situación incidiría en la situación patrimonial del bien asegurado, lo que ocurre precisamente en el caso de aquellos bienes sujetos a arrendamiento financiero, desde que el arrendador (en este caso </w:t>
      </w:r>
      <w:r w:rsidRPr="3541BDFD" w:rsidR="2F0AE81F">
        <w:rPr>
          <w:lang w:val="es-PE"/>
        </w:rPr>
        <w:t>...........................................................................</w:t>
      </w:r>
      <w:r w:rsidRPr="3541BDFD" w:rsidR="00BF09A0">
        <w:rPr>
          <w:lang w:val="es-PE"/>
        </w:rPr>
        <w:t>) puede optar, luego de cancelar todas las cuotas del canon periódico, por hacer efectiva la opción de compra establecida en este tipo de acuerdos y, de esta forma, obtener la propiedad del bien arrendado, tal como se desprende de los artículos 4</w:t>
      </w:r>
      <w:r w:rsidRPr="3541BDFD">
        <w:rPr>
          <w:vertAlign w:val="superscript"/>
          <w:lang w:val="es-PE"/>
        </w:rPr>
        <w:footnoteReference w:id="17232"/>
      </w:r>
      <w:r w:rsidRPr="3541BDFD" w:rsidR="00BF09A0">
        <w:rPr>
          <w:lang w:val="es-PE"/>
        </w:rPr>
        <w:t xml:space="preserve"> y 7</w:t>
      </w:r>
      <w:r w:rsidRPr="3541BDFD">
        <w:rPr>
          <w:vertAlign w:val="superscript"/>
          <w:lang w:val="es-PE"/>
        </w:rPr>
        <w:footnoteReference w:id="14038"/>
      </w:r>
      <w:r w:rsidRPr="3541BDFD" w:rsidR="00BF09A0">
        <w:rPr>
          <w:lang w:val="es-PE"/>
        </w:rPr>
        <w:t xml:space="preserve"> de la Ley de arrendamiento financiero. </w:t>
      </w:r>
    </w:p>
    <w:p w:rsidRPr="00BF09A0" w:rsidR="00BF09A0" w:rsidP="00BF09A0" w:rsidRDefault="00BF09A0" w14:paraId="10BF0FDA" w14:textId="7FE27D73">
      <w:pPr>
        <w:jc w:val="both"/>
        <w:outlineLvl w:val="0"/>
        <w:rPr>
          <w:lang w:val="es-PE"/>
        </w:rPr>
      </w:pPr>
      <w:r w:rsidRPr="3541BDFD" w:rsidR="00BF09A0">
        <w:rPr>
          <w:lang w:val="es-PE"/>
        </w:rPr>
        <w:t xml:space="preserve">Llama la atención lo señalado por </w:t>
      </w:r>
      <w:r w:rsidRPr="3541BDFD" w:rsidR="308E0966">
        <w:rPr>
          <w:lang w:val="es-PE"/>
        </w:rPr>
        <w:t>....................</w:t>
      </w:r>
      <w:r w:rsidRPr="3541BDFD" w:rsidR="00BF09A0">
        <w:rPr>
          <w:lang w:val="es-PE"/>
        </w:rPr>
        <w:t xml:space="preserve"> sobre este extremo, cuando la propia Póliza señala que, «</w:t>
      </w:r>
      <w:r w:rsidRPr="3541BDFD" w:rsidR="00BF09A0">
        <w:rPr>
          <w:i w:val="1"/>
          <w:iCs w:val="1"/>
          <w:lang w:val="es-PE"/>
        </w:rPr>
        <w:t>[b]ajo la póliza contratada se podrán (sic) incluir vehículos de propiedad de terceros, cuando los mismos se encuentren bajo responsabilidad del asegurado y/o al servicio del asegurado.</w:t>
      </w:r>
      <w:r w:rsidRPr="3541BDFD" w:rsidR="00BF09A0">
        <w:rPr>
          <w:lang w:val="es-PE"/>
        </w:rPr>
        <w:t xml:space="preserve">» Es decir, la propia Póliza admite que el contratante incluya vehículos que no son de su propiedad, pero que se encuentran bajo su responsabilidad o a su servicio, lo que incluye claramente aquellos bienes adquiridos a través de un contrato de arrendamiento financiero.  </w:t>
      </w:r>
    </w:p>
    <w:p w:rsidRPr="00BF09A0" w:rsidR="00BF09A0" w:rsidP="00BF09A0" w:rsidRDefault="00BF09A0" w14:paraId="19EF646A" w14:textId="77777777">
      <w:pPr>
        <w:jc w:val="both"/>
        <w:outlineLvl w:val="0"/>
        <w:rPr>
          <w:lang w:val="es-PE"/>
        </w:rPr>
      </w:pPr>
    </w:p>
    <w:p w:rsidRPr="00BF09A0" w:rsidR="00BF09A0" w:rsidP="00BF09A0" w:rsidRDefault="00BF09A0" w14:paraId="0CCFCF47" w14:textId="77777777">
      <w:pPr>
        <w:jc w:val="both"/>
        <w:outlineLvl w:val="0"/>
        <w:rPr>
          <w:lang w:val="es-PE"/>
        </w:rPr>
      </w:pPr>
      <w:r w:rsidRPr="00BF09A0">
        <w:rPr>
          <w:lang w:val="es-PE"/>
        </w:rPr>
        <w:t>Asimismo, e independientemente de la propiedad registral, el artículo 13 de la Ley de arrendamiento financiero vigente señala que, el arrendatario goza para todos los efectos, de los derechos y obligaciones como si tuviera la condición de propietario de los bienes materia del contrato</w:t>
      </w:r>
      <w:r w:rsidRPr="00BF09A0">
        <w:rPr>
          <w:vertAlign w:val="superscript"/>
          <w:lang w:val="es-PE"/>
        </w:rPr>
        <w:footnoteReference w:id="35"/>
      </w:r>
      <w:r w:rsidRPr="00BF09A0">
        <w:rPr>
          <w:lang w:val="es-PE"/>
        </w:rPr>
        <w:t xml:space="preserve">, lo cual guarda plena sintonía con lo señalado en la Póliza, como hemos podido ver en el párrafo anterior. Por lo tanto, no se puede sostener la tesis que al momento de la suscripción de la Póliza materia de análisis en el presente caso, la asegurada carecía de interés asegurable en los términos fijados en la Ley del contrato de seguro, máxime, si </w:t>
      </w:r>
      <w:r w:rsidRPr="00BF09A0">
        <w:rPr>
          <w:lang w:val="es-PE"/>
        </w:rPr>
        <w:t>tenemos en cuenta la posibilidad de incluir vehículos de propiedad de terceros y del endoso de cesión de los derechos indemnizatorios a favor del BCP.</w:t>
      </w:r>
      <w:r w:rsidRPr="00BF09A0">
        <w:rPr>
          <w:vertAlign w:val="superscript"/>
          <w:lang w:val="es-PE"/>
        </w:rPr>
        <w:footnoteReference w:id="36"/>
      </w:r>
    </w:p>
    <w:p w:rsidRPr="00BF09A0" w:rsidR="00BF09A0" w:rsidP="00BF09A0" w:rsidRDefault="00BF09A0" w14:paraId="69D52AB3" w14:textId="77777777">
      <w:pPr>
        <w:jc w:val="both"/>
        <w:outlineLvl w:val="0"/>
        <w:rPr>
          <w:lang w:val="es-PE"/>
        </w:rPr>
      </w:pPr>
    </w:p>
    <w:p w:rsidRPr="00BF09A0" w:rsidR="00BF09A0" w:rsidP="00BF09A0" w:rsidRDefault="00BF09A0" w14:paraId="1B4F894C" w14:textId="70BFA55C">
      <w:pPr>
        <w:jc w:val="both"/>
        <w:outlineLvl w:val="0"/>
        <w:rPr>
          <w:lang w:val="es-PE"/>
        </w:rPr>
      </w:pPr>
      <w:r w:rsidRPr="00BF09A0" w:rsidR="00BF09A0">
        <w:rPr>
          <w:lang w:val="es-PE"/>
        </w:rPr>
        <w:t xml:space="preserve">Por otro lado, e independientemente de lo señalado en los párrafos precedentes respecto de la idoneidad de los argumentos de la empresa aseguradora, la alegación realizada por </w:t>
      </w:r>
      <w:r w:rsidRPr="3541BDFD" w:rsidR="308E0966">
        <w:rPr>
          <w:lang w:val="es-PE"/>
        </w:rPr>
        <w:t>....................</w:t>
      </w:r>
      <w:r w:rsidRPr="3541BDFD" w:rsidR="00BF09A0">
        <w:rPr>
          <w:lang w:val="es-PE"/>
        </w:rPr>
        <w:t xml:space="preserve"> respecto de la confianza depositada en las declaraciones de la asegurada al momento de la contratación de la Póliza, constituye una invocación a su propia falta de diligencia, argumento que no puede tener amparo legal en virtud de la máxima “</w:t>
      </w:r>
      <w:r w:rsidRPr="3541BDFD" w:rsidR="00BF09A0">
        <w:rPr>
          <w:i w:val="1"/>
          <w:iCs w:val="1"/>
          <w:lang w:val="es-PE"/>
        </w:rPr>
        <w:t>nemo</w:t>
      </w:r>
      <w:r w:rsidRPr="3541BDFD" w:rsidR="00BF09A0">
        <w:rPr>
          <w:i w:val="1"/>
          <w:iCs w:val="1"/>
          <w:lang w:val="es-PE"/>
        </w:rPr>
        <w:t xml:space="preserve"> </w:t>
      </w:r>
      <w:r w:rsidRPr="3541BDFD" w:rsidR="00BF09A0">
        <w:rPr>
          <w:i w:val="1"/>
          <w:iCs w:val="1"/>
          <w:lang w:val="es-PE"/>
        </w:rPr>
        <w:t>auditur</w:t>
      </w:r>
      <w:r w:rsidRPr="3541BDFD" w:rsidR="00BF09A0">
        <w:rPr>
          <w:i w:val="1"/>
          <w:iCs w:val="1"/>
          <w:lang w:val="es-PE"/>
        </w:rPr>
        <w:t xml:space="preserve"> </w:t>
      </w:r>
      <w:r w:rsidRPr="3541BDFD" w:rsidR="00BF09A0">
        <w:rPr>
          <w:i w:val="1"/>
          <w:iCs w:val="1"/>
          <w:lang w:val="es-PE"/>
        </w:rPr>
        <w:t>propriam</w:t>
      </w:r>
      <w:r w:rsidRPr="3541BDFD" w:rsidR="00BF09A0">
        <w:rPr>
          <w:i w:val="1"/>
          <w:iCs w:val="1"/>
          <w:lang w:val="es-PE"/>
        </w:rPr>
        <w:t xml:space="preserve"> </w:t>
      </w:r>
      <w:r w:rsidRPr="3541BDFD" w:rsidR="00BF09A0">
        <w:rPr>
          <w:i w:val="1"/>
          <w:iCs w:val="1"/>
          <w:lang w:val="es-PE"/>
        </w:rPr>
        <w:t>turpitudinem</w:t>
      </w:r>
      <w:r w:rsidRPr="3541BDFD" w:rsidR="00BF09A0">
        <w:rPr>
          <w:i w:val="1"/>
          <w:iCs w:val="1"/>
          <w:lang w:val="es-PE"/>
        </w:rPr>
        <w:t xml:space="preserve"> </w:t>
      </w:r>
      <w:r w:rsidRPr="3541BDFD" w:rsidR="00BF09A0">
        <w:rPr>
          <w:i w:val="1"/>
          <w:iCs w:val="1"/>
          <w:lang w:val="es-PE"/>
        </w:rPr>
        <w:t>allegans</w:t>
      </w:r>
      <w:r w:rsidRPr="3541BDFD" w:rsidR="00BF09A0">
        <w:rPr>
          <w:lang w:val="es-PE"/>
        </w:rPr>
        <w:t>”</w:t>
      </w:r>
      <w:r w:rsidRPr="3541BDFD">
        <w:rPr>
          <w:vertAlign w:val="superscript"/>
          <w:lang w:val="es-PE"/>
        </w:rPr>
        <w:footnoteReference w:id="9224"/>
      </w:r>
      <w:r w:rsidRPr="3541BDFD" w:rsidR="00BF09A0">
        <w:rPr>
          <w:lang w:val="es-PE"/>
        </w:rPr>
        <w:t xml:space="preserve"> reconocida como un principio general del derecho aplicable plenamente al presente caso. Efectivamente, el Código Civil dispone en su artículo 2012, que se presume que toda persona tiene conocimiento del contenido de las inscripciones.</w:t>
      </w:r>
      <w:r w:rsidRPr="3541BDFD">
        <w:rPr>
          <w:vertAlign w:val="superscript"/>
          <w:lang w:val="es-PE"/>
        </w:rPr>
        <w:footnoteReference w:id="27869"/>
      </w:r>
      <w:r w:rsidRPr="3541BDFD" w:rsidR="00BF09A0">
        <w:rPr>
          <w:lang w:val="es-PE"/>
        </w:rPr>
        <w:t xml:space="preserve"> Consecuentemente, en virtud de dicha presunción, que no admite prueba en contrario, no resulta admisible que </w:t>
      </w:r>
      <w:r w:rsidRPr="3541BDFD" w:rsidR="308E0966">
        <w:rPr>
          <w:lang w:val="es-PE"/>
        </w:rPr>
        <w:t>....................</w:t>
      </w:r>
      <w:r w:rsidRPr="3541BDFD" w:rsidR="00BF09A0">
        <w:rPr>
          <w:lang w:val="es-PE"/>
        </w:rPr>
        <w:t xml:space="preserve"> invoque desconocer la titularidad registral del vehículo asegurado al momento de la suscripción de la Póliza.</w:t>
      </w:r>
      <w:r w:rsidRPr="3541BDFD">
        <w:rPr>
          <w:vertAlign w:val="superscript"/>
          <w:lang w:val="es-PE"/>
        </w:rPr>
        <w:footnoteReference w:id="24458"/>
      </w:r>
    </w:p>
    <w:p w:rsidRPr="00BF09A0" w:rsidR="00BF09A0" w:rsidP="00BF09A0" w:rsidRDefault="00BF09A0" w14:paraId="2B0F45DB" w14:textId="77777777">
      <w:pPr>
        <w:jc w:val="both"/>
        <w:outlineLvl w:val="0"/>
        <w:rPr>
          <w:lang w:val="es-PE"/>
        </w:rPr>
      </w:pPr>
    </w:p>
    <w:p w:rsidRPr="00BF09A0" w:rsidR="00BF09A0" w:rsidP="00BF09A0" w:rsidRDefault="00BF09A0" w14:paraId="5552EC6B" w14:textId="34C63C65">
      <w:pPr>
        <w:jc w:val="both"/>
        <w:outlineLvl w:val="0"/>
        <w:rPr>
          <w:lang w:val="es-PE"/>
        </w:rPr>
      </w:pPr>
      <w:r w:rsidRPr="3541BDFD" w:rsidR="00BF09A0">
        <w:rPr>
          <w:lang w:val="es-PE"/>
        </w:rPr>
        <w:t xml:space="preserve">Por lo expuesto, es claro para este Colegiado que </w:t>
      </w:r>
      <w:r w:rsidRPr="3541BDFD" w:rsidR="2F0AE81F">
        <w:rPr>
          <w:lang w:val="es-PE"/>
        </w:rPr>
        <w:t>...........................................................................</w:t>
      </w:r>
      <w:r w:rsidRPr="3541BDFD" w:rsidR="00BF09A0">
        <w:rPr>
          <w:lang w:val="es-PE"/>
        </w:rPr>
        <w:t xml:space="preserve"> tenía un interés asegurable al momento de la suscripción de la Póliza, que </w:t>
      </w:r>
      <w:r w:rsidRPr="3541BDFD" w:rsidR="308E0966">
        <w:rPr>
          <w:lang w:val="es-PE"/>
        </w:rPr>
        <w:t>....................</w:t>
      </w:r>
      <w:r w:rsidRPr="3541BDFD" w:rsidR="00BF09A0">
        <w:rPr>
          <w:lang w:val="es-PE"/>
        </w:rPr>
        <w:t xml:space="preserve"> debió conocer que el vehículo se encontraba registralmente a nombre del BCP al momento de suscribir la Póliza y que se pactó expresamente en la misma que se podía incluir vehículos de propiedad de terceros. Asimismo, obra en el expediente, la factura electrónica </w:t>
      </w:r>
      <w:r w:rsidRPr="3541BDFD" w:rsidR="00BF09A0">
        <w:rPr>
          <w:lang w:val="es-PE"/>
        </w:rPr>
        <w:t>n.°</w:t>
      </w:r>
      <w:r w:rsidRPr="3541BDFD" w:rsidR="00BF09A0">
        <w:rPr>
          <w:lang w:val="es-PE"/>
        </w:rPr>
        <w:t xml:space="preserve"> </w:t>
      </w:r>
      <w:r w:rsidRPr="3541BDFD" w:rsidR="499A7124">
        <w:rPr>
          <w:lang w:val="es-PE"/>
        </w:rPr>
        <w:t>...............................</w:t>
      </w:r>
      <w:r w:rsidRPr="3541BDFD" w:rsidR="00BF09A0">
        <w:rPr>
          <w:lang w:val="es-PE"/>
        </w:rPr>
        <w:t xml:space="preserve"> de fecha 6 de octubre de 2021 librada a nombre de </w:t>
      </w:r>
      <w:r w:rsidRPr="3541BDFD" w:rsidR="2F0AE81F">
        <w:rPr>
          <w:lang w:val="es-PE"/>
        </w:rPr>
        <w:t>...........................................................................</w:t>
      </w:r>
      <w:r w:rsidRPr="3541BDFD" w:rsidR="00BF09A0">
        <w:rPr>
          <w:lang w:val="es-PE"/>
        </w:rPr>
        <w:t xml:space="preserve"> por la opción de compra del vehículo asegurado por un valor de USD 415 (cuatrocientos quince dólares americanos), respecto del contrato </w:t>
      </w:r>
      <w:r w:rsidRPr="3541BDFD" w:rsidR="00BF09A0">
        <w:rPr>
          <w:lang w:val="es-PE"/>
        </w:rPr>
        <w:t>n.°</w:t>
      </w:r>
      <w:r w:rsidRPr="3541BDFD" w:rsidR="00BF09A0">
        <w:rPr>
          <w:lang w:val="es-PE"/>
        </w:rPr>
        <w:t xml:space="preserve"> </w:t>
      </w:r>
      <w:r w:rsidRPr="3541BDFD" w:rsidR="2E5F16D0">
        <w:rPr>
          <w:lang w:val="es-PE"/>
        </w:rPr>
        <w:t>....................</w:t>
      </w:r>
      <w:r w:rsidRPr="3541BDFD" w:rsidR="00BF09A0">
        <w:rPr>
          <w:lang w:val="es-PE"/>
        </w:rPr>
        <w:t xml:space="preserve">; asimismo, la asegurada presentó la Carta de no adeudo de fecha 29 de abril de 2024, respecto del contrato </w:t>
      </w:r>
      <w:r w:rsidRPr="3541BDFD" w:rsidR="00BF09A0">
        <w:rPr>
          <w:lang w:val="es-PE"/>
        </w:rPr>
        <w:t>n.°</w:t>
      </w:r>
      <w:r w:rsidRPr="3541BDFD" w:rsidR="00BF09A0">
        <w:rPr>
          <w:lang w:val="es-PE"/>
        </w:rPr>
        <w:t xml:space="preserve"> </w:t>
      </w:r>
      <w:r w:rsidRPr="3541BDFD" w:rsidR="2E5F16D0">
        <w:rPr>
          <w:lang w:val="es-PE"/>
        </w:rPr>
        <w:t>....................</w:t>
      </w:r>
      <w:r w:rsidRPr="3541BDFD" w:rsidR="00BF09A0">
        <w:rPr>
          <w:lang w:val="es-PE"/>
        </w:rPr>
        <w:t xml:space="preserve">. Por lo tanto, habiéndose cancelado la totalidad del canon periódico y ejercitado la opción de compra, ha operado la transferencia de la propiedad del vehículo asegurado de acuerdo con lo establecido en los artículos 4 y 7 de la Ley de arrendamiento financiero. Es decir, </w:t>
      </w:r>
      <w:r w:rsidRPr="3541BDFD" w:rsidR="2F0AE81F">
        <w:rPr>
          <w:lang w:val="es-PE"/>
        </w:rPr>
        <w:t>...........................................................................</w:t>
      </w:r>
      <w:r w:rsidRPr="3541BDFD" w:rsidR="00BF09A0">
        <w:rPr>
          <w:lang w:val="es-PE"/>
        </w:rPr>
        <w:t xml:space="preserve"> ya ostentaba la propiedad del vehículo incluso al momento de la suscripción de la Póliza.  </w:t>
      </w:r>
    </w:p>
    <w:p w:rsidRPr="00BF09A0" w:rsidR="00BF09A0" w:rsidP="00BF09A0" w:rsidRDefault="00BF09A0" w14:paraId="4FD00013" w14:textId="77777777">
      <w:pPr>
        <w:jc w:val="both"/>
        <w:outlineLvl w:val="0"/>
        <w:rPr>
          <w:lang w:val="es-PE"/>
        </w:rPr>
      </w:pPr>
    </w:p>
    <w:p w:rsidRPr="00BF09A0" w:rsidR="00BF09A0" w:rsidP="00BF09A0" w:rsidRDefault="00BF09A0" w14:paraId="6944AD78" w14:textId="1CD3D595">
      <w:pPr>
        <w:jc w:val="both"/>
        <w:outlineLvl w:val="0"/>
        <w:rPr>
          <w:lang w:val="es-PE"/>
        </w:rPr>
      </w:pPr>
      <w:r w:rsidRPr="3541BDFD" w:rsidR="00BF09A0">
        <w:rPr>
          <w:lang w:val="es-PE"/>
        </w:rPr>
        <w:t xml:space="preserve">En conclusión, atendiendo a lo indicado, este Colegiado es de la opinión de que sí existe un interés asegurable de </w:t>
      </w:r>
      <w:r w:rsidRPr="3541BDFD" w:rsidR="2F0AE81F">
        <w:rPr>
          <w:lang w:val="es-PE"/>
        </w:rPr>
        <w:t>...........................................................................</w:t>
      </w:r>
      <w:r w:rsidRPr="3541BDFD" w:rsidR="00BF09A0">
        <w:rPr>
          <w:lang w:val="es-PE"/>
        </w:rPr>
        <w:t xml:space="preserve"> con relación al vehículo asegurado. Por ello, lo argumentado por la empresa aseguradora con ocasión de su Carta de rechazo (y ratificado posteriormente al presentar su absolución del reclamo) no resulta ajustado a derecho.</w:t>
      </w:r>
    </w:p>
    <w:p w:rsidRPr="00BF09A0" w:rsidR="00BF09A0" w:rsidP="00BF09A0" w:rsidRDefault="00BF09A0" w14:paraId="7ED831D9" w14:textId="77777777">
      <w:pPr>
        <w:jc w:val="both"/>
        <w:outlineLvl w:val="0"/>
        <w:rPr>
          <w:lang w:val="es-PE"/>
        </w:rPr>
      </w:pPr>
    </w:p>
    <w:p w:rsidRPr="00BF09A0" w:rsidR="00BF09A0" w:rsidP="00BF09A0" w:rsidRDefault="00BF09A0" w14:paraId="0ABFC451" w14:textId="61A86671">
      <w:pPr>
        <w:jc w:val="both"/>
        <w:outlineLvl w:val="0"/>
        <w:rPr>
          <w:lang w:val="es-PE"/>
        </w:rPr>
      </w:pPr>
      <w:r w:rsidRPr="3541BDFD" w:rsidR="00BF09A0">
        <w:rPr>
          <w:lang w:val="es-PE"/>
        </w:rPr>
        <w:t>Por otro lado, es un hecho probado que respecto del vehículo asegurado se contrató dos seguros vehiculares con distintas aseguradoras (</w:t>
      </w:r>
      <w:r w:rsidRPr="3541BDFD" w:rsidR="308E0966">
        <w:rPr>
          <w:lang w:val="es-PE"/>
        </w:rPr>
        <w:t>....................</w:t>
      </w:r>
      <w:r w:rsidRPr="3541BDFD" w:rsidR="00BF09A0">
        <w:rPr>
          <w:lang w:val="es-PE"/>
        </w:rPr>
        <w:t xml:space="preserve"> y </w:t>
      </w:r>
      <w:r w:rsidRPr="3541BDFD" w:rsidR="17514C33">
        <w:rPr>
          <w:lang w:val="es-PE"/>
        </w:rPr>
        <w:t>.................</w:t>
      </w:r>
      <w:r w:rsidRPr="3541BDFD" w:rsidR="00BF09A0">
        <w:rPr>
          <w:lang w:val="es-PE"/>
        </w:rPr>
        <w:t xml:space="preserve">). Igualmente, no está en discusión </w:t>
      </w:r>
      <w:r w:rsidRPr="3541BDFD" w:rsidR="00BF09A0">
        <w:rPr>
          <w:lang w:val="es-PE"/>
        </w:rPr>
        <w:t>que</w:t>
      </w:r>
      <w:r w:rsidRPr="3541BDFD" w:rsidR="00BF09A0">
        <w:rPr>
          <w:lang w:val="es-PE"/>
        </w:rPr>
        <w:t xml:space="preserve"> hasta la fecha, ninguna de las aseguradoras ha cubierto la pérdida por el robo del vehículo asegurado.</w:t>
      </w:r>
    </w:p>
    <w:p w:rsidRPr="00BF09A0" w:rsidR="00BF09A0" w:rsidP="00BF09A0" w:rsidRDefault="00BF09A0" w14:paraId="7D190DD8" w14:textId="77777777">
      <w:pPr>
        <w:jc w:val="both"/>
        <w:outlineLvl w:val="0"/>
        <w:rPr>
          <w:lang w:val="es-PE"/>
        </w:rPr>
      </w:pPr>
    </w:p>
    <w:p w:rsidRPr="00BF09A0" w:rsidR="00BF09A0" w:rsidP="00BF09A0" w:rsidRDefault="00BF09A0" w14:paraId="79DB043B" w14:textId="24459CAE">
      <w:pPr>
        <w:jc w:val="both"/>
        <w:outlineLvl w:val="0"/>
        <w:rPr>
          <w:lang w:val="es-PE"/>
        </w:rPr>
      </w:pPr>
      <w:r w:rsidRPr="3541BDFD" w:rsidR="00BF09A0">
        <w:rPr>
          <w:lang w:val="es-PE"/>
        </w:rPr>
        <w:t xml:space="preserve">Sobre el particular, </w:t>
      </w:r>
      <w:r w:rsidRPr="3541BDFD" w:rsidR="308E0966">
        <w:rPr>
          <w:lang w:val="es-PE"/>
        </w:rPr>
        <w:t>....................</w:t>
      </w:r>
      <w:r w:rsidRPr="3541BDFD" w:rsidR="00BF09A0">
        <w:rPr>
          <w:lang w:val="es-PE"/>
        </w:rPr>
        <w:t xml:space="preserve"> menciona en su Carta de rechazo </w:t>
      </w:r>
      <w:r w:rsidRPr="3541BDFD" w:rsidR="00BF09A0">
        <w:rPr>
          <w:lang w:val="es-PE"/>
        </w:rPr>
        <w:t>que</w:t>
      </w:r>
      <w:r w:rsidRPr="3541BDFD" w:rsidR="00BF09A0">
        <w:rPr>
          <w:lang w:val="es-PE"/>
        </w:rPr>
        <w:t xml:space="preserve"> al encontrarse frente a un siniestro no cubierto por falta de interés asegurable, no nos encontraríamos ante una situación de pluralidad de seguros. Sin embargo, en la medida que este Colegiado ha concluido razonadamente que el asegurado sí ostenta un interés asegurable, nos avocaremos al análisis de este extremo contenido en la Carta de rechazo y en los descargos de </w:t>
      </w:r>
      <w:r w:rsidRPr="3541BDFD" w:rsidR="308E0966">
        <w:rPr>
          <w:lang w:val="es-PE"/>
        </w:rPr>
        <w:t>....................</w:t>
      </w:r>
      <w:r w:rsidRPr="3541BDFD" w:rsidR="00BF09A0">
        <w:rPr>
          <w:lang w:val="es-PE"/>
        </w:rPr>
        <w:t xml:space="preserve"> al reclamo de la asegurada.</w:t>
      </w:r>
    </w:p>
    <w:p w:rsidRPr="00BF09A0" w:rsidR="00BF09A0" w:rsidP="00BF09A0" w:rsidRDefault="00BF09A0" w14:paraId="1FAC20E3" w14:textId="77777777">
      <w:pPr>
        <w:jc w:val="both"/>
        <w:outlineLvl w:val="0"/>
        <w:rPr>
          <w:lang w:val="es-PE"/>
        </w:rPr>
      </w:pPr>
    </w:p>
    <w:p w:rsidRPr="00BF09A0" w:rsidR="00BF09A0" w:rsidP="00BF09A0" w:rsidRDefault="00BF09A0" w14:paraId="623E3D19" w14:textId="77777777">
      <w:pPr>
        <w:jc w:val="both"/>
        <w:outlineLvl w:val="0"/>
        <w:rPr>
          <w:lang w:val="es-PE"/>
        </w:rPr>
      </w:pPr>
      <w:r w:rsidRPr="00BF09A0">
        <w:rPr>
          <w:lang w:val="es-PE"/>
        </w:rPr>
        <w:t>El artículo 5 del Condicionado general y las Cláusulas adicionales para vehículos pesados señala al respecto lo siguiente:</w:t>
      </w:r>
    </w:p>
    <w:p w:rsidRPr="00BF09A0" w:rsidR="00BF09A0" w:rsidP="00BF09A0" w:rsidRDefault="00BF09A0" w14:paraId="3FB90073" w14:textId="77777777">
      <w:pPr>
        <w:jc w:val="both"/>
        <w:outlineLvl w:val="0"/>
        <w:rPr>
          <w:lang w:val="es-PE"/>
        </w:rPr>
      </w:pPr>
    </w:p>
    <w:p w:rsidRPr="00BF09A0" w:rsidR="00BF09A0" w:rsidP="00BF09A0" w:rsidRDefault="00BF09A0" w14:paraId="08BAD70E" w14:textId="77777777">
      <w:pPr>
        <w:jc w:val="both"/>
        <w:outlineLvl w:val="0"/>
        <w:rPr>
          <w:b/>
          <w:bCs/>
          <w:i/>
          <w:iCs/>
          <w:lang w:val="es-PE"/>
        </w:rPr>
      </w:pPr>
      <w:r w:rsidRPr="00BF09A0">
        <w:rPr>
          <w:b/>
          <w:bCs/>
          <w:i/>
          <w:iCs/>
          <w:lang w:val="es-PE"/>
        </w:rPr>
        <w:t xml:space="preserve">«ARTÍCULO </w:t>
      </w:r>
      <w:proofErr w:type="spellStart"/>
      <w:r w:rsidRPr="00BF09A0">
        <w:rPr>
          <w:b/>
          <w:bCs/>
          <w:i/>
          <w:iCs/>
          <w:lang w:val="es-PE"/>
        </w:rPr>
        <w:t>Nº</w:t>
      </w:r>
      <w:proofErr w:type="spellEnd"/>
      <w:r w:rsidRPr="00BF09A0">
        <w:rPr>
          <w:b/>
          <w:bCs/>
          <w:i/>
          <w:iCs/>
          <w:lang w:val="es-PE"/>
        </w:rPr>
        <w:t xml:space="preserve"> 5: CARGAS Y OBLIGACIONES</w:t>
      </w:r>
    </w:p>
    <w:p w:rsidRPr="00BF09A0" w:rsidR="00BF09A0" w:rsidP="00BF09A0" w:rsidRDefault="00BF09A0" w14:paraId="02D8E7F1" w14:textId="77777777">
      <w:pPr>
        <w:jc w:val="both"/>
        <w:outlineLvl w:val="0"/>
        <w:rPr>
          <w:i/>
          <w:iCs/>
          <w:lang w:val="es-PE"/>
        </w:rPr>
      </w:pPr>
      <w:r w:rsidRPr="00BF09A0">
        <w:rPr>
          <w:i/>
          <w:iCs/>
          <w:lang w:val="es-PE"/>
        </w:rPr>
        <w:t xml:space="preserve">En adición a las señaladas en el Artículo 9° Inciso A de las Cláusulas Generales de Contratación, el ASEGURADO y/o el conductor o persona a cargo del vehículo asegurado, deberá proceder </w:t>
      </w:r>
      <w:proofErr w:type="gramStart"/>
      <w:r w:rsidRPr="00BF09A0">
        <w:rPr>
          <w:i/>
          <w:iCs/>
          <w:lang w:val="es-PE"/>
        </w:rPr>
        <w:t>de acuerdo a</w:t>
      </w:r>
      <w:proofErr w:type="gramEnd"/>
      <w:r w:rsidRPr="00BF09A0">
        <w:rPr>
          <w:i/>
          <w:iCs/>
          <w:lang w:val="es-PE"/>
        </w:rPr>
        <w:t xml:space="preserve"> lo siguiente:</w:t>
      </w:r>
    </w:p>
    <w:p w:rsidRPr="00BF09A0" w:rsidR="00BF09A0" w:rsidP="00BF09A0" w:rsidRDefault="00BF09A0" w14:paraId="5646B056" w14:textId="77777777">
      <w:pPr>
        <w:jc w:val="both"/>
        <w:outlineLvl w:val="0"/>
        <w:rPr>
          <w:i/>
          <w:iCs/>
          <w:lang w:val="es-PE"/>
        </w:rPr>
      </w:pPr>
      <w:r w:rsidRPr="00BF09A0">
        <w:rPr>
          <w:i/>
          <w:iCs/>
          <w:lang w:val="es-PE"/>
        </w:rPr>
        <w:t>(…)</w:t>
      </w:r>
    </w:p>
    <w:p w:rsidRPr="00BF09A0" w:rsidR="00BF09A0" w:rsidP="00BF09A0" w:rsidRDefault="00BF09A0" w14:paraId="70E7BE64" w14:textId="77777777">
      <w:pPr>
        <w:jc w:val="both"/>
        <w:outlineLvl w:val="0"/>
        <w:rPr>
          <w:lang w:val="es-PE"/>
        </w:rPr>
      </w:pPr>
      <w:r w:rsidRPr="00BF09A0">
        <w:rPr>
          <w:b/>
          <w:bCs/>
          <w:i/>
          <w:iCs/>
          <w:u w:val="single"/>
          <w:lang w:val="es-PE"/>
        </w:rPr>
        <w:t>Presentar a LA COMPAÑÍA dentro de los diez (10) días calendario siguientes de ocurrido el daño o pérdida, una declaración detallada de todos los demás seguros vigentes sobre los mismos bienes o responsabilidades materia de la reclamación.</w:t>
      </w:r>
      <w:r w:rsidRPr="00BF09A0">
        <w:rPr>
          <w:i/>
          <w:iCs/>
          <w:lang w:val="es-PE"/>
        </w:rPr>
        <w:t xml:space="preserve"> El </w:t>
      </w:r>
      <w:r w:rsidRPr="00BF09A0">
        <w:rPr>
          <w:b/>
          <w:bCs/>
          <w:i/>
          <w:iCs/>
          <w:u w:val="single"/>
          <w:lang w:val="es-PE"/>
        </w:rPr>
        <w:t>deliberado ocultamiento</w:t>
      </w:r>
      <w:r w:rsidRPr="00BF09A0">
        <w:rPr>
          <w:i/>
          <w:iCs/>
          <w:lang w:val="es-PE"/>
        </w:rPr>
        <w:t xml:space="preserve"> de la existencia de los otros seguros o pólizas constituirá Reclamación Fraudulenta y, por tanto, se perderá todo derecho de indemnización conforme con lo estipulado por el Artículo 16° de las Cláusulas Generales de Contratación.» </w:t>
      </w:r>
      <w:r w:rsidRPr="00BF09A0">
        <w:rPr>
          <w:lang w:val="es-PE"/>
        </w:rPr>
        <w:t>(el énfasis es agregado)</w:t>
      </w:r>
    </w:p>
    <w:p w:rsidRPr="00BF09A0" w:rsidR="00BF09A0" w:rsidP="00BF09A0" w:rsidRDefault="00BF09A0" w14:paraId="0B1D6CCE" w14:textId="77777777">
      <w:pPr>
        <w:jc w:val="both"/>
        <w:outlineLvl w:val="0"/>
        <w:rPr>
          <w:i/>
          <w:iCs/>
          <w:lang w:val="es-PE"/>
        </w:rPr>
      </w:pPr>
    </w:p>
    <w:p w:rsidRPr="00BF09A0" w:rsidR="00BF09A0" w:rsidP="00BF09A0" w:rsidRDefault="00BF09A0" w14:paraId="057FE96F" w14:textId="77777777">
      <w:pPr>
        <w:jc w:val="both"/>
        <w:outlineLvl w:val="0"/>
        <w:rPr>
          <w:lang w:val="es-PE"/>
        </w:rPr>
      </w:pPr>
      <w:r w:rsidRPr="00BF09A0">
        <w:rPr>
          <w:lang w:val="es-PE"/>
        </w:rPr>
        <w:t xml:space="preserve">Asimismo, el artículo 16 de las Cláusulas generales de contratación de la Póliza señala lo siguiente: </w:t>
      </w:r>
    </w:p>
    <w:p w:rsidRPr="00BF09A0" w:rsidR="00BF09A0" w:rsidP="00BF09A0" w:rsidRDefault="00BF09A0" w14:paraId="7854C5E5" w14:textId="77777777">
      <w:pPr>
        <w:jc w:val="both"/>
        <w:outlineLvl w:val="0"/>
        <w:rPr>
          <w:lang w:val="es-PE"/>
        </w:rPr>
      </w:pPr>
    </w:p>
    <w:p w:rsidRPr="00BF09A0" w:rsidR="00BF09A0" w:rsidP="00BF09A0" w:rsidRDefault="00BF09A0" w14:paraId="172AF868" w14:textId="77777777">
      <w:pPr>
        <w:jc w:val="both"/>
        <w:outlineLvl w:val="0"/>
        <w:rPr>
          <w:i/>
          <w:iCs/>
          <w:lang w:val="es-PE"/>
        </w:rPr>
      </w:pPr>
      <w:r w:rsidRPr="00BF09A0">
        <w:rPr>
          <w:i/>
          <w:iCs/>
          <w:lang w:val="es-PE"/>
        </w:rPr>
        <w:t xml:space="preserve">«ARTÍCULO </w:t>
      </w:r>
      <w:proofErr w:type="spellStart"/>
      <w:r w:rsidRPr="00BF09A0">
        <w:rPr>
          <w:i/>
          <w:iCs/>
          <w:lang w:val="es-PE"/>
        </w:rPr>
        <w:t>Nº</w:t>
      </w:r>
      <w:proofErr w:type="spellEnd"/>
      <w:r w:rsidRPr="00BF09A0">
        <w:rPr>
          <w:i/>
          <w:iCs/>
          <w:lang w:val="es-PE"/>
        </w:rPr>
        <w:t xml:space="preserve"> 16: RECLAMACIÓN FRAUDULENTA </w:t>
      </w:r>
    </w:p>
    <w:p w:rsidRPr="00BF09A0" w:rsidR="00BF09A0" w:rsidP="00BF09A0" w:rsidRDefault="00BF09A0" w14:paraId="66886048" w14:textId="77777777">
      <w:pPr>
        <w:jc w:val="both"/>
        <w:outlineLvl w:val="0"/>
        <w:rPr>
          <w:i/>
          <w:iCs/>
          <w:lang w:val="es-PE"/>
        </w:rPr>
      </w:pPr>
      <w:r w:rsidRPr="00BF09A0">
        <w:rPr>
          <w:i/>
          <w:iCs/>
          <w:lang w:val="es-PE"/>
        </w:rPr>
        <w:t xml:space="preserve">LA COMPAÑÍA queda relevada de toda responsabilidad y se pierde todo derecho de indemnización prevista en esta Póliza: </w:t>
      </w:r>
    </w:p>
    <w:p w:rsidRPr="00BF09A0" w:rsidR="00BF09A0" w:rsidP="00BF09A0" w:rsidRDefault="00BF09A0" w14:paraId="18E29455" w14:textId="77777777">
      <w:pPr>
        <w:jc w:val="both"/>
        <w:outlineLvl w:val="0"/>
        <w:rPr>
          <w:i/>
          <w:iCs/>
          <w:lang w:val="es-PE"/>
        </w:rPr>
      </w:pPr>
      <w:r w:rsidRPr="00BF09A0">
        <w:rPr>
          <w:i/>
          <w:iCs/>
          <w:lang w:val="es-PE"/>
        </w:rPr>
        <w:t>a.</w:t>
      </w:r>
      <w:r w:rsidRPr="00BF09A0">
        <w:rPr>
          <w:i/>
          <w:iCs/>
          <w:lang w:val="es-PE"/>
        </w:rPr>
        <w:tab/>
      </w:r>
      <w:r w:rsidRPr="00BF09A0">
        <w:rPr>
          <w:i/>
          <w:iCs/>
          <w:lang w:val="es-PE"/>
        </w:rPr>
        <w:t xml:space="preserve">Si el ASEGURADO o BENEFICIARIO presenta una reclamación fraudulenta o engañosa o apoyada en declaraciones falsas. </w:t>
      </w:r>
    </w:p>
    <w:p w:rsidRPr="00BF09A0" w:rsidR="00BF09A0" w:rsidP="00BF09A0" w:rsidRDefault="00BF09A0" w14:paraId="4761431E" w14:textId="77777777">
      <w:pPr>
        <w:jc w:val="both"/>
        <w:outlineLvl w:val="0"/>
        <w:rPr>
          <w:i/>
          <w:iCs/>
          <w:lang w:val="es-PE"/>
        </w:rPr>
      </w:pPr>
      <w:r w:rsidRPr="00BF09A0">
        <w:rPr>
          <w:i/>
          <w:iCs/>
          <w:lang w:val="es-PE"/>
        </w:rPr>
        <w:t>b.</w:t>
      </w:r>
      <w:r w:rsidRPr="00BF09A0">
        <w:rPr>
          <w:i/>
          <w:iCs/>
          <w:lang w:val="es-PE"/>
        </w:rPr>
        <w:tab/>
      </w:r>
      <w:r w:rsidRPr="00BF09A0">
        <w:rPr>
          <w:i/>
          <w:iCs/>
          <w:lang w:val="es-PE"/>
        </w:rPr>
        <w:t xml:space="preserve">Si, en cualquier tiempo, el ASEGURADO o BENEFICIARIO y/o terceras personas que obren por cuenta de estos o con su conocimiento, emplean medios engañosos o documentos falsos para sustentar una reclamación o para derivar, a su favor, beneficios en exceso de aquellos que le correspondían de acuerdo con la presente Póliza. </w:t>
      </w:r>
    </w:p>
    <w:p w:rsidRPr="00BF09A0" w:rsidR="00BF09A0" w:rsidP="00BF09A0" w:rsidRDefault="00BF09A0" w14:paraId="79589F40" w14:textId="77777777">
      <w:pPr>
        <w:jc w:val="both"/>
        <w:outlineLvl w:val="0"/>
        <w:rPr>
          <w:i/>
          <w:iCs/>
          <w:lang w:val="es-PE"/>
        </w:rPr>
      </w:pPr>
      <w:r w:rsidRPr="00BF09A0">
        <w:rPr>
          <w:i/>
          <w:iCs/>
          <w:lang w:val="es-PE"/>
        </w:rPr>
        <w:t>c.</w:t>
      </w:r>
      <w:r w:rsidRPr="00BF09A0">
        <w:rPr>
          <w:i/>
          <w:iCs/>
          <w:lang w:val="es-PE"/>
        </w:rPr>
        <w:tab/>
      </w:r>
      <w:r w:rsidRPr="00BF09A0">
        <w:rPr>
          <w:i/>
          <w:iCs/>
          <w:lang w:val="es-PE"/>
        </w:rPr>
        <w:t xml:space="preserve">Si la pérdida o daño ha sido causado voluntariamente por el ASEGURADO o CONTRATANTE o BENEFICIARIO de los derechos de indemnización, con su complicidad o con su consentimiento.» </w:t>
      </w:r>
    </w:p>
    <w:p w:rsidRPr="00BF09A0" w:rsidR="00BF09A0" w:rsidP="00BF09A0" w:rsidRDefault="00BF09A0" w14:paraId="0C10086B" w14:textId="77777777">
      <w:pPr>
        <w:jc w:val="both"/>
        <w:outlineLvl w:val="0"/>
        <w:rPr>
          <w:i/>
          <w:iCs/>
          <w:lang w:val="es-PE"/>
        </w:rPr>
      </w:pPr>
    </w:p>
    <w:p w:rsidRPr="00BF09A0" w:rsidR="00BF09A0" w:rsidP="00BF09A0" w:rsidRDefault="00BF09A0" w14:paraId="57E253C8" w14:textId="21660859">
      <w:pPr>
        <w:jc w:val="both"/>
        <w:outlineLvl w:val="0"/>
        <w:rPr>
          <w:lang w:val="es-PE"/>
        </w:rPr>
      </w:pPr>
      <w:r w:rsidRPr="3541BDFD" w:rsidR="00BF09A0">
        <w:rPr>
          <w:lang w:val="es-PE"/>
        </w:rPr>
        <w:t xml:space="preserve">Para </w:t>
      </w:r>
      <w:r w:rsidRPr="3541BDFD" w:rsidR="308E0966">
        <w:rPr>
          <w:lang w:val="es-PE"/>
        </w:rPr>
        <w:t>....................</w:t>
      </w:r>
      <w:r w:rsidRPr="3541BDFD" w:rsidR="00BF09A0">
        <w:rPr>
          <w:lang w:val="es-PE"/>
        </w:rPr>
        <w:t xml:space="preserve">, el incumplimiento de la obligación de informar sobre el seguro contratado con </w:t>
      </w:r>
      <w:r w:rsidRPr="3541BDFD" w:rsidR="17514C33">
        <w:rPr>
          <w:lang w:val="es-PE"/>
        </w:rPr>
        <w:t>.................</w:t>
      </w:r>
      <w:r w:rsidRPr="3541BDFD" w:rsidR="00BF09A0">
        <w:rPr>
          <w:lang w:val="es-PE"/>
        </w:rPr>
        <w:t xml:space="preserve"> por el BCP dentro de los 10 días calendario de producido el siniestro, constituiría un deliberado incumplimiento </w:t>
      </w:r>
      <w:r w:rsidRPr="3541BDFD" w:rsidR="00BF09A0">
        <w:rPr>
          <w:lang w:val="es-PE"/>
        </w:rPr>
        <w:t>del mismo</w:t>
      </w:r>
      <w:r w:rsidRPr="3541BDFD" w:rsidR="00BF09A0">
        <w:rPr>
          <w:lang w:val="es-PE"/>
        </w:rPr>
        <w:t>, lo que origina la pérdida de todo derecho indemnizatorio.</w:t>
      </w:r>
    </w:p>
    <w:p w:rsidRPr="00BF09A0" w:rsidR="00BF09A0" w:rsidP="00BF09A0" w:rsidRDefault="00BF09A0" w14:paraId="0143C13D" w14:textId="77777777">
      <w:pPr>
        <w:jc w:val="both"/>
        <w:outlineLvl w:val="0"/>
        <w:rPr>
          <w:lang w:val="es-PE"/>
        </w:rPr>
      </w:pPr>
    </w:p>
    <w:p w:rsidRPr="00BF09A0" w:rsidR="00BF09A0" w:rsidP="00BF09A0" w:rsidRDefault="00BF09A0" w14:paraId="20B51179" w14:textId="77777777">
      <w:pPr>
        <w:jc w:val="both"/>
        <w:outlineLvl w:val="0"/>
        <w:rPr>
          <w:lang w:val="es-PE"/>
        </w:rPr>
      </w:pPr>
      <w:r w:rsidRPr="00BF09A0">
        <w:rPr>
          <w:lang w:val="es-PE"/>
        </w:rPr>
        <w:t>Sobre el particular, la Ley del contrato de seguro dispone en su artículo 88, respecto de la pluralidad de seguros, que en caso de siniestro y cuando no existan estipulaciones especiales en el contrato o entre las empresas aseguradoras, cada aseguradora debe contribuir proporcionalmente al monto de su contrato, hasta la concurrencia de la indemnización, asimismo, el contratante que asegura el mismo interés y el mismo riesgo con más de una empresa aseguradora, debe notificar sin demora a cada una de ellas respecto de los demás contratos celebrados.</w:t>
      </w:r>
      <w:r w:rsidRPr="00BF09A0">
        <w:rPr>
          <w:vertAlign w:val="superscript"/>
          <w:lang w:val="es-PE"/>
        </w:rPr>
        <w:footnoteReference w:id="40"/>
      </w:r>
      <w:r w:rsidRPr="00BF09A0">
        <w:rPr>
          <w:lang w:val="es-PE"/>
        </w:rPr>
        <w:t xml:space="preserve"> </w:t>
      </w:r>
    </w:p>
    <w:p w:rsidRPr="00BF09A0" w:rsidR="00BF09A0" w:rsidP="00BF09A0" w:rsidRDefault="00BF09A0" w14:paraId="5D6C256C" w14:textId="77777777">
      <w:pPr>
        <w:jc w:val="both"/>
        <w:outlineLvl w:val="0"/>
        <w:rPr>
          <w:lang w:val="es-PE"/>
        </w:rPr>
      </w:pPr>
      <w:r w:rsidRPr="00BF09A0">
        <w:rPr>
          <w:lang w:val="es-PE"/>
        </w:rPr>
        <w:t xml:space="preserve">Nótese que </w:t>
      </w:r>
      <w:proofErr w:type="gramStart"/>
      <w:r w:rsidRPr="00BF09A0">
        <w:rPr>
          <w:lang w:val="es-PE"/>
        </w:rPr>
        <w:t>de acuerdo al</w:t>
      </w:r>
      <w:proofErr w:type="gramEnd"/>
      <w:r w:rsidRPr="00BF09A0">
        <w:rPr>
          <w:lang w:val="es-PE"/>
        </w:rPr>
        <w:t xml:space="preserve"> artículo 88 de la Ley del contrato de seguro mencionado, sólo ante silencio de la Póliza respecto de la pluralidad de contratos de seguro, es de aplicación lo establecido en dicho dispositivo, en caso contrario, es decir, cuando existan estipulaciones especiales en el contrato son estas las reglas aplicables. </w:t>
      </w:r>
    </w:p>
    <w:p w:rsidRPr="00BF09A0" w:rsidR="00BF09A0" w:rsidP="00BF09A0" w:rsidRDefault="00BF09A0" w14:paraId="3140D350" w14:textId="77777777">
      <w:pPr>
        <w:jc w:val="both"/>
        <w:outlineLvl w:val="0"/>
        <w:rPr>
          <w:lang w:val="es-PE"/>
        </w:rPr>
      </w:pPr>
    </w:p>
    <w:p w:rsidRPr="00BF09A0" w:rsidR="00BF09A0" w:rsidP="00BF09A0" w:rsidRDefault="00BF09A0" w14:paraId="18E4919B" w14:textId="77777777">
      <w:pPr>
        <w:jc w:val="both"/>
        <w:outlineLvl w:val="0"/>
        <w:rPr>
          <w:lang w:val="es-PE"/>
        </w:rPr>
      </w:pPr>
      <w:r w:rsidRPr="00BF09A0">
        <w:rPr>
          <w:lang w:val="es-PE"/>
        </w:rPr>
        <w:t xml:space="preserve">En este caso, de acuerdo con el artículo 5 mencionado, se considerará que nos encontramos ante una declaración fraudulenta -y por lo tanto que genera la pérdida de todo derecho indemnizatorio- si se produce un deliberado ocultamiento por parte del asegurado de las otras pólizas sobre el </w:t>
      </w:r>
      <w:proofErr w:type="gramStart"/>
      <w:r w:rsidRPr="00BF09A0">
        <w:rPr>
          <w:lang w:val="es-PE"/>
        </w:rPr>
        <w:t>mismo bien materia</w:t>
      </w:r>
      <w:proofErr w:type="gramEnd"/>
      <w:r w:rsidRPr="00BF09A0">
        <w:rPr>
          <w:lang w:val="es-PE"/>
        </w:rPr>
        <w:t xml:space="preserve"> de reclamo indemnizatorio. Es decir, no basta con el ocultamiento de la situación de pluralidad de </w:t>
      </w:r>
      <w:proofErr w:type="gramStart"/>
      <w:r w:rsidRPr="00BF09A0">
        <w:rPr>
          <w:lang w:val="es-PE"/>
        </w:rPr>
        <w:t>siniestros</w:t>
      </w:r>
      <w:proofErr w:type="gramEnd"/>
      <w:r w:rsidRPr="00BF09A0">
        <w:rPr>
          <w:lang w:val="es-PE"/>
        </w:rPr>
        <w:t xml:space="preserve"> sino que este debe ser deliberado. Se entiende por deliberado, aquella acción voluntaria intencionada o realizada a propósito.</w:t>
      </w:r>
      <w:r w:rsidRPr="00BF09A0">
        <w:rPr>
          <w:vertAlign w:val="superscript"/>
          <w:lang w:val="es-PE"/>
        </w:rPr>
        <w:footnoteReference w:id="41"/>
      </w:r>
      <w:r w:rsidRPr="00BF09A0">
        <w:rPr>
          <w:lang w:val="es-PE"/>
        </w:rPr>
        <w:t xml:space="preserve"> Por lo tanto, para efectos de este caso si la omisión de informar la pluralidad de siniestros puede calificarse como una ocultación dolosa. De esta forma, para este Colegiado nos encontramos ante una ocultación dolosa cuando el </w:t>
      </w:r>
      <w:proofErr w:type="gramStart"/>
      <w:r w:rsidRPr="00BF09A0">
        <w:rPr>
          <w:lang w:val="es-PE"/>
        </w:rPr>
        <w:t>asegurado</w:t>
      </w:r>
      <w:proofErr w:type="gramEnd"/>
      <w:r w:rsidRPr="00BF09A0">
        <w:rPr>
          <w:lang w:val="es-PE"/>
        </w:rPr>
        <w:t xml:space="preserve"> por un lado, oculta una información deliberadamente, incumpliendo una obligación contractualmente contraída, y, por otro lado, esta omisión provoca un agravamiento del riesgo en perjuicio de la empresa aseguradora.</w:t>
      </w:r>
    </w:p>
    <w:p w:rsidRPr="00BF09A0" w:rsidR="00BF09A0" w:rsidP="00BF09A0" w:rsidRDefault="00BF09A0" w14:paraId="173FCD2F" w14:textId="77777777">
      <w:pPr>
        <w:jc w:val="both"/>
        <w:outlineLvl w:val="0"/>
        <w:rPr>
          <w:lang w:val="es-PE"/>
        </w:rPr>
      </w:pPr>
    </w:p>
    <w:p w:rsidRPr="00BF09A0" w:rsidR="00BF09A0" w:rsidP="00BF09A0" w:rsidRDefault="00BF09A0" w14:paraId="13B293F8" w14:textId="77777777">
      <w:pPr>
        <w:jc w:val="both"/>
        <w:outlineLvl w:val="0"/>
        <w:rPr>
          <w:lang w:val="es-PE"/>
        </w:rPr>
      </w:pPr>
      <w:r w:rsidRPr="00BF09A0">
        <w:rPr>
          <w:lang w:val="es-PE"/>
        </w:rPr>
        <w:t>Efectivamente, la Ley del contrato de seguro diferencia entre las cargas a ser observadas antes y después del siniestro. La carga a la que se refiere la Carta de rechazo, respecto de la pluralidad de seguros, corresponde a una carga post siniestro</w:t>
      </w:r>
      <w:r w:rsidRPr="00BF09A0">
        <w:rPr>
          <w:vertAlign w:val="superscript"/>
          <w:lang w:val="es-PE"/>
        </w:rPr>
        <w:footnoteReference w:id="42"/>
      </w:r>
      <w:r w:rsidRPr="00BF09A0">
        <w:rPr>
          <w:lang w:val="es-PE"/>
        </w:rPr>
        <w:t xml:space="preserve">. Tratándose de cargas </w:t>
      </w:r>
      <w:r w:rsidRPr="00BF09A0">
        <w:rPr>
          <w:lang w:val="es-PE"/>
        </w:rPr>
        <w:t>convencionales a ser observadas luego de la ocurrencia del siniestro, la caducidad de los derechos indemnizatorios del asegurado, y, por consiguiente, la liberación de responsabilidad indemnizatoria por parte de la empresa aseguradora sólo ocurre si la inobservancia por dolo o por culpa inexcusable influye en la extensión de la obligación asumida por la aseguradora. En otras palabras, la sola inobservancia de la carga convencional, inclusive en el supuesto que se explicase por dolo, no genera la pérdida de los derechos indemnizatorios del asegurado y la liberación de la aseguradora, sino que resulta indispensable que se invoque y, desde luego, que se demuestre, el perjuicio que ello significa para la aseguradora, de manera que se hubiese afectado la extensión de su obligación de pago.</w:t>
      </w:r>
      <w:r w:rsidRPr="00BF09A0">
        <w:rPr>
          <w:vertAlign w:val="superscript"/>
          <w:lang w:val="es-PE"/>
        </w:rPr>
        <w:footnoteReference w:id="43"/>
      </w:r>
    </w:p>
    <w:p w:rsidRPr="00BF09A0" w:rsidR="00BF09A0" w:rsidP="00BF09A0" w:rsidRDefault="00BF09A0" w14:paraId="2FAF09EA" w14:textId="77777777">
      <w:pPr>
        <w:jc w:val="both"/>
        <w:outlineLvl w:val="0"/>
        <w:rPr>
          <w:lang w:val="es-PE"/>
        </w:rPr>
      </w:pPr>
    </w:p>
    <w:p w:rsidRPr="00BF09A0" w:rsidR="00BF09A0" w:rsidP="00BF09A0" w:rsidRDefault="00BF09A0" w14:paraId="44E34E76" w14:textId="5B201B78">
      <w:pPr>
        <w:jc w:val="both"/>
        <w:outlineLvl w:val="0"/>
        <w:rPr>
          <w:lang w:val="es-PE"/>
        </w:rPr>
      </w:pPr>
      <w:r w:rsidRPr="3541BDFD" w:rsidR="00BF09A0">
        <w:rPr>
          <w:lang w:val="es-PE"/>
        </w:rPr>
        <w:t xml:space="preserve">Para este Colegiado, y en sintonía con lo señalado en párrafos precedentes, es claro que la transferencia de propiedad del vehículo asegurado operó desde que la asegurada ejercitó la opción de compra de acuerdo con el acuerdo de arrendamiento financiero que tenía con el BCP. Como en el presente caso, el siniestro ocurrió el 2 de agosto de 2023 y la transferencia de la propiedad del vehículo asegurado el 6 de octubre de 2021, es claro que a la fecha del sinestro ya había concluido la cobertura de seguro, aun cuando formalmente se siguieran pagando las primas y </w:t>
      </w:r>
      <w:r w:rsidRPr="3541BDFD" w:rsidR="17514C33">
        <w:rPr>
          <w:lang w:val="es-PE"/>
        </w:rPr>
        <w:t>.................</w:t>
      </w:r>
      <w:r w:rsidRPr="3541BDFD" w:rsidR="00BF09A0">
        <w:rPr>
          <w:lang w:val="es-PE"/>
        </w:rPr>
        <w:t xml:space="preserve"> no hubiera invocado hasta dicho momento su nulidad.</w:t>
      </w:r>
    </w:p>
    <w:p w:rsidRPr="00BF09A0" w:rsidR="00BF09A0" w:rsidP="00BF09A0" w:rsidRDefault="00BF09A0" w14:paraId="78C4E0AE" w14:textId="77777777">
      <w:pPr>
        <w:jc w:val="both"/>
        <w:outlineLvl w:val="0"/>
        <w:rPr>
          <w:lang w:val="es-PE"/>
        </w:rPr>
      </w:pPr>
    </w:p>
    <w:p w:rsidRPr="00BF09A0" w:rsidR="00BF09A0" w:rsidP="00BF09A0" w:rsidRDefault="00BF09A0" w14:paraId="5F45D5A3" w14:textId="09757F4B">
      <w:pPr>
        <w:jc w:val="both"/>
        <w:outlineLvl w:val="0"/>
        <w:rPr>
          <w:lang w:val="es-PE"/>
        </w:rPr>
      </w:pPr>
      <w:r w:rsidRPr="00BF09A0" w:rsidR="00BF09A0">
        <w:rPr>
          <w:lang w:val="es-PE"/>
        </w:rPr>
        <w:t xml:space="preserve">En consecuencia, tal como ha señalado este Colegiado en anterior precedente es posible sostener jurídicamente que el contrato de seguro entre el BCP y </w:t>
      </w:r>
      <w:r w:rsidRPr="3541BDFD" w:rsidR="17514C33">
        <w:rPr>
          <w:lang w:val="es-PE"/>
        </w:rPr>
        <w:t>.................</w:t>
      </w:r>
      <w:r w:rsidRPr="3541BDFD" w:rsidR="00BF09A0">
        <w:rPr>
          <w:lang w:val="es-PE"/>
        </w:rPr>
        <w:t xml:space="preserve"> concluyó cuando el vehículo asegurado se transfirió a la asegurada, salvo que la empresa aseguradora hubiera aceptado la cesión, hecho que no se ha probado en el marco del presente expediente, así como que el BCP hubiera mantenido parte del interés asegurable, lo que tampoco parece haber ocurrido.</w:t>
      </w:r>
      <w:r w:rsidRPr="3541BDFD">
        <w:rPr>
          <w:vertAlign w:val="superscript"/>
          <w:lang w:val="es-PE"/>
        </w:rPr>
        <w:footnoteReference w:id="10527"/>
      </w:r>
      <w:r w:rsidRPr="3541BDFD" w:rsidR="00BF09A0">
        <w:rPr>
          <w:lang w:val="es-PE"/>
        </w:rPr>
        <w:t xml:space="preserve"> </w:t>
      </w:r>
    </w:p>
    <w:p w:rsidRPr="00BF09A0" w:rsidR="00BF09A0" w:rsidP="00BF09A0" w:rsidRDefault="00BF09A0" w14:paraId="0DECBFAC" w14:textId="77777777">
      <w:pPr>
        <w:jc w:val="both"/>
        <w:outlineLvl w:val="0"/>
        <w:rPr>
          <w:lang w:val="es-PE"/>
        </w:rPr>
      </w:pPr>
    </w:p>
    <w:p w:rsidRPr="00BF09A0" w:rsidR="00BF09A0" w:rsidP="00BF09A0" w:rsidRDefault="00BF09A0" w14:paraId="1521C714" w14:textId="413E4A3A">
      <w:pPr>
        <w:jc w:val="both"/>
        <w:outlineLvl w:val="0"/>
        <w:rPr>
          <w:lang w:val="es-PE"/>
        </w:rPr>
      </w:pPr>
      <w:r w:rsidRPr="3541BDFD" w:rsidR="00BF09A0">
        <w:rPr>
          <w:lang w:val="es-PE"/>
        </w:rPr>
        <w:t xml:space="preserve">En el presente caso, la asegurada ha señalado que ignoraba respecto de la existencia del contrato de seguro entre el BCP y </w:t>
      </w:r>
      <w:r w:rsidRPr="3541BDFD" w:rsidR="17514C33">
        <w:rPr>
          <w:lang w:val="es-PE"/>
        </w:rPr>
        <w:t>.................</w:t>
      </w:r>
      <w:r w:rsidRPr="3541BDFD" w:rsidR="00BF09A0">
        <w:rPr>
          <w:lang w:val="es-PE"/>
        </w:rPr>
        <w:t xml:space="preserve">, asimismo, no ha negado su existencia una vez que tuvo conocimiento de ello, sin </w:t>
      </w:r>
      <w:r w:rsidRPr="3541BDFD" w:rsidR="00BF09A0">
        <w:rPr>
          <w:lang w:val="es-PE"/>
        </w:rPr>
        <w:t>embargo</w:t>
      </w:r>
      <w:r w:rsidRPr="3541BDFD" w:rsidR="00BF09A0">
        <w:rPr>
          <w:lang w:val="es-PE"/>
        </w:rPr>
        <w:t xml:space="preserve"> no son dos hechos relevantes, pues este acuerdo dejó de tener jurídicamente vigencia desde que se perfeccionó la transferencia del vehículo asegurado del BCP a la asegurada el 6 de octubre de 2021 al ejercitarse la opción de compra. Por otro lado, no existe evidencia respecto que la omisión de esta supuesta pluralidad de seguros -pluralidad que como hemos visto ya no existía-, haya extendido realmente la obligación de pago a cargo de la empresa aseguradora, en este caso de </w:t>
      </w:r>
      <w:r w:rsidRPr="3541BDFD" w:rsidR="308E0966">
        <w:rPr>
          <w:lang w:val="es-PE"/>
        </w:rPr>
        <w:t>....................</w:t>
      </w:r>
      <w:r w:rsidRPr="3541BDFD" w:rsidR="00BF09A0">
        <w:rPr>
          <w:lang w:val="es-PE"/>
        </w:rPr>
        <w:t xml:space="preserve">, por lo que no es válido argumentar que, respecto de este punto, se haya producido una ocultación dolosa que tenga como consecuencia la pérdida de los derechos indemnizatorios de la asegurada. </w:t>
      </w:r>
    </w:p>
    <w:p w:rsidRPr="00BF09A0" w:rsidR="00BF09A0" w:rsidP="00BF09A0" w:rsidRDefault="00BF09A0" w14:paraId="6A1D1779" w14:textId="77777777">
      <w:pPr>
        <w:jc w:val="both"/>
        <w:outlineLvl w:val="0"/>
        <w:rPr>
          <w:lang w:val="es-PE"/>
        </w:rPr>
      </w:pPr>
    </w:p>
    <w:p w:rsidRPr="00BF09A0" w:rsidR="00BF09A0" w:rsidP="00BF09A0" w:rsidRDefault="00BF09A0" w14:paraId="4BDEFD37" w14:textId="77777777">
      <w:pPr>
        <w:jc w:val="both"/>
        <w:outlineLvl w:val="0"/>
        <w:rPr>
          <w:lang w:val="es-PE"/>
        </w:rPr>
      </w:pPr>
      <w:r w:rsidRPr="00BF09A0">
        <w:rPr>
          <w:lang w:val="es-PE"/>
        </w:rPr>
        <w:t>Que, en consecuencia, esta Defensoría del Asegurado concluye su apreciación razonada y conjunta al amparo de lo establecido en su Reglamento, por lo que:</w:t>
      </w:r>
    </w:p>
    <w:p w:rsidRPr="00BF09A0" w:rsidR="00BF09A0" w:rsidP="00BF09A0" w:rsidRDefault="00BF09A0" w14:paraId="0512E42B" w14:textId="77777777">
      <w:pPr>
        <w:jc w:val="both"/>
        <w:outlineLvl w:val="0"/>
        <w:rPr>
          <w:lang w:val="es-PE"/>
        </w:rPr>
      </w:pPr>
    </w:p>
    <w:p w:rsidRPr="00BF09A0" w:rsidR="00BF09A0" w:rsidP="00BF09A0" w:rsidRDefault="00BF09A0" w14:paraId="44A5149A" w14:textId="77777777">
      <w:pPr>
        <w:jc w:val="both"/>
        <w:outlineLvl w:val="0"/>
        <w:rPr>
          <w:b/>
          <w:bCs/>
          <w:lang w:val="es-PE"/>
        </w:rPr>
      </w:pPr>
      <w:r w:rsidRPr="00BF09A0">
        <w:rPr>
          <w:b/>
          <w:bCs/>
          <w:lang w:val="es-PE"/>
        </w:rPr>
        <w:t>RESUELVE:</w:t>
      </w:r>
    </w:p>
    <w:p w:rsidRPr="00BF09A0" w:rsidR="00BF09A0" w:rsidP="00BF09A0" w:rsidRDefault="00BF09A0" w14:paraId="54EAEBE3" w14:textId="77777777">
      <w:pPr>
        <w:jc w:val="both"/>
        <w:outlineLvl w:val="0"/>
        <w:rPr>
          <w:b/>
          <w:bCs/>
          <w:u w:val="single"/>
          <w:lang w:val="es-PE"/>
        </w:rPr>
      </w:pPr>
    </w:p>
    <w:p w:rsidRPr="00BF09A0" w:rsidR="00BF09A0" w:rsidP="00BF09A0" w:rsidRDefault="00BF09A0" w14:paraId="0C1427D3" w14:textId="09D75B61">
      <w:pPr>
        <w:jc w:val="both"/>
        <w:outlineLvl w:val="0"/>
        <w:rPr>
          <w:lang w:val="es-PE"/>
        </w:rPr>
      </w:pPr>
      <w:r w:rsidRPr="3541BDFD" w:rsidR="00BF09A0">
        <w:rPr>
          <w:lang w:val="es-PE"/>
        </w:rPr>
        <w:t xml:space="preserve">Declarar </w:t>
      </w:r>
      <w:r w:rsidRPr="3541BDFD" w:rsidR="00BF09A0">
        <w:rPr>
          <w:b w:val="1"/>
          <w:bCs w:val="1"/>
          <w:lang w:val="es-PE"/>
        </w:rPr>
        <w:t>FUNDADO</w:t>
      </w:r>
      <w:r w:rsidRPr="3541BDFD" w:rsidR="00BF09A0">
        <w:rPr>
          <w:lang w:val="es-PE"/>
        </w:rPr>
        <w:t xml:space="preserve"> el reclamo presentado por </w:t>
      </w:r>
      <w:r w:rsidRPr="3541BDFD" w:rsidR="1827D957">
        <w:rPr>
          <w:b w:val="1"/>
          <w:bCs w:val="1"/>
          <w:lang w:val="es-PE"/>
        </w:rPr>
        <w:t>..........................................................................................</w:t>
      </w:r>
      <w:r w:rsidRPr="3541BDFD" w:rsidR="00BF09A0">
        <w:rPr>
          <w:b w:val="1"/>
          <w:bCs w:val="1"/>
          <w:lang w:val="es-PE"/>
        </w:rPr>
        <w:t xml:space="preserve"> </w:t>
      </w:r>
      <w:r w:rsidRPr="3541BDFD" w:rsidR="00BF09A0">
        <w:rPr>
          <w:lang w:val="es-PE"/>
        </w:rPr>
        <w:t xml:space="preserve">contra </w:t>
      </w:r>
      <w:r w:rsidRPr="3541BDFD" w:rsidR="3DC7A4AC">
        <w:rPr>
          <w:b w:val="1"/>
          <w:bCs w:val="1"/>
          <w:lang w:val="es-PE"/>
        </w:rPr>
        <w:t>...................................................................................</w:t>
      </w:r>
      <w:r w:rsidRPr="3541BDFD" w:rsidR="00BF09A0">
        <w:rPr>
          <w:b w:val="1"/>
          <w:bCs w:val="1"/>
          <w:lang w:val="es-PE"/>
        </w:rPr>
        <w:t xml:space="preserve">, </w:t>
      </w:r>
      <w:r w:rsidRPr="3541BDFD" w:rsidR="00BF09A0">
        <w:rPr>
          <w:lang w:val="es-PE"/>
        </w:rPr>
        <w:t xml:space="preserve">para que se le otorgue cobertura de acuerdo con el seguro vehicular </w:t>
      </w:r>
      <w:r w:rsidRPr="3541BDFD" w:rsidR="00BF09A0">
        <w:rPr>
          <w:lang w:val="es-PE"/>
        </w:rPr>
        <w:t>n.°</w:t>
      </w:r>
      <w:r w:rsidRPr="3541BDFD" w:rsidR="00BF09A0">
        <w:rPr>
          <w:lang w:val="es-PE"/>
        </w:rPr>
        <w:t xml:space="preserve"> </w:t>
      </w:r>
      <w:r w:rsidRPr="3541BDFD" w:rsidR="6B961D7D">
        <w:rPr>
          <w:lang w:val="es-PE"/>
        </w:rPr>
        <w:t>.........................</w:t>
      </w:r>
      <w:r w:rsidRPr="3541BDFD" w:rsidR="00BF09A0">
        <w:rPr>
          <w:lang w:val="es-PE"/>
        </w:rPr>
        <w:t xml:space="preserve">, como consecuencia del siniestro que afectó al vehículo asegurado. </w:t>
      </w:r>
    </w:p>
    <w:p w:rsidRPr="00BF09A0" w:rsidR="00B27BC3" w:rsidP="00B27BC3" w:rsidRDefault="00B27BC3" w14:paraId="4B257BB7" w14:textId="77777777">
      <w:pPr>
        <w:jc w:val="right"/>
        <w:outlineLvl w:val="0"/>
        <w:rPr>
          <w:lang w:val="es-PE"/>
        </w:rPr>
      </w:pPr>
    </w:p>
    <w:p w:rsidRPr="00BF09A0" w:rsidR="00E95C64" w:rsidP="00B27BC3" w:rsidRDefault="00E95C64" w14:paraId="6D615881" w14:textId="1FB7EAF6">
      <w:pPr>
        <w:jc w:val="right"/>
        <w:outlineLvl w:val="0"/>
        <w:rPr>
          <w:lang w:val="es-PE"/>
        </w:rPr>
      </w:pPr>
      <w:r w:rsidRPr="00BF09A0">
        <w:rPr>
          <w:lang w:val="es-PE"/>
        </w:rPr>
        <w:t xml:space="preserve">Lima, </w:t>
      </w:r>
      <w:r w:rsidRPr="00BF09A0" w:rsidR="00EE4E2A">
        <w:rPr>
          <w:lang w:val="es-PE"/>
        </w:rPr>
        <w:t>1</w:t>
      </w:r>
      <w:r w:rsidRPr="00BF09A0" w:rsidR="000A5CB4">
        <w:rPr>
          <w:lang w:val="es-PE"/>
        </w:rPr>
        <w:t>4</w:t>
      </w:r>
      <w:r w:rsidRPr="00BF09A0" w:rsidR="00A22993">
        <w:rPr>
          <w:lang w:val="es-PE"/>
        </w:rPr>
        <w:t xml:space="preserve"> </w:t>
      </w:r>
      <w:r w:rsidRPr="00BF09A0" w:rsidR="00395926">
        <w:t>d</w:t>
      </w:r>
      <w:proofErr w:type="spellStart"/>
      <w:r w:rsidRPr="00BF09A0" w:rsidR="00395926">
        <w:rPr>
          <w:lang w:val="es-PE"/>
        </w:rPr>
        <w:t>e</w:t>
      </w:r>
      <w:proofErr w:type="spellEnd"/>
      <w:r w:rsidRPr="00BF09A0" w:rsidR="00ED40BA">
        <w:rPr>
          <w:lang w:val="es-PE"/>
        </w:rPr>
        <w:t xml:space="preserve"> </w:t>
      </w:r>
      <w:r w:rsidRPr="00BF09A0" w:rsidR="00E771B9">
        <w:rPr>
          <w:lang w:val="es-PE"/>
        </w:rPr>
        <w:t>noviembre</w:t>
      </w:r>
      <w:r w:rsidRPr="00BF09A0">
        <w:rPr>
          <w:lang w:val="es-PE"/>
        </w:rPr>
        <w:t xml:space="preserve"> de 202</w:t>
      </w:r>
      <w:r w:rsidRPr="00BF09A0" w:rsidR="00ED40BA">
        <w:rPr>
          <w:lang w:val="es-PE"/>
        </w:rPr>
        <w:t>5</w:t>
      </w:r>
    </w:p>
    <w:p w:rsidRPr="00BF09A0" w:rsidR="00E95C64" w:rsidP="00E95C64" w:rsidRDefault="00E95C64" w14:paraId="4A8D383C" w14:textId="77777777"/>
    <w:p w:rsidRPr="00BF09A0" w:rsidR="00592865" w:rsidP="00592865" w:rsidRDefault="00592865" w14:paraId="544F4BBB" w14:textId="77777777">
      <w:pPr>
        <w:spacing w:after="200"/>
        <w:jc w:val="both"/>
        <w:rPr>
          <w:b/>
          <w:bCs/>
          <w:i/>
          <w:iCs/>
          <w:lang w:val="es-PE"/>
        </w:rPr>
      </w:pPr>
      <w:r w:rsidRPr="00BF09A0">
        <w:rPr>
          <w:b/>
          <w:bCs/>
          <w:i/>
          <w:iCs/>
          <w:lang w:val="es-PE"/>
        </w:rPr>
        <w:t xml:space="preserve">La Secretaría Técnica certifica que la presente resolución cuenta con el voto de los vocales cuyos nombres figuran en el presente documento. </w:t>
      </w:r>
    </w:p>
    <w:p w:rsidRPr="00BF09A0" w:rsidR="00592865" w:rsidP="00592865" w:rsidRDefault="00592865" w14:paraId="011935EE" w14:textId="77777777">
      <w:pPr>
        <w:spacing w:after="200"/>
        <w:jc w:val="center"/>
        <w:rPr>
          <w:b/>
          <w:bCs/>
          <w:lang w:val="es-PE"/>
        </w:rPr>
      </w:pPr>
      <w:r w:rsidRPr="00BF09A0">
        <w:rPr>
          <w:b/>
          <w:bCs/>
          <w:lang w:val="es-PE"/>
        </w:rPr>
        <w:t xml:space="preserve">Antonio Rodriguez Lobatón – </w:t>
      </w:r>
      <w:proofErr w:type="gramStart"/>
      <w:r w:rsidRPr="00BF09A0">
        <w:rPr>
          <w:b/>
          <w:bCs/>
          <w:lang w:val="es-PE"/>
        </w:rPr>
        <w:t>Presidente</w:t>
      </w:r>
      <w:proofErr w:type="gramEnd"/>
    </w:p>
    <w:p w:rsidRPr="00BF09A0" w:rsidR="00592865" w:rsidP="00592865" w:rsidRDefault="00592865" w14:paraId="3F369BA4" w14:textId="77777777">
      <w:pPr>
        <w:spacing w:after="200"/>
        <w:jc w:val="center"/>
        <w:rPr>
          <w:b/>
          <w:bCs/>
          <w:lang w:val="es-PE"/>
        </w:rPr>
      </w:pPr>
      <w:r w:rsidRPr="00BF09A0">
        <w:rPr>
          <w:b/>
          <w:bCs/>
          <w:lang w:val="es-PE"/>
        </w:rPr>
        <w:t>María Eugenia Valdez Fernández Baca – Vocal</w:t>
      </w:r>
    </w:p>
    <w:p w:rsidRPr="00BF09A0" w:rsidR="00592865" w:rsidP="00592865" w:rsidRDefault="00592865" w14:paraId="2CFDB48D" w14:textId="77777777">
      <w:pPr>
        <w:spacing w:after="200"/>
        <w:jc w:val="center"/>
        <w:rPr>
          <w:b/>
          <w:bCs/>
          <w:lang w:val="es-PE"/>
        </w:rPr>
      </w:pPr>
      <w:r w:rsidRPr="00BF09A0">
        <w:rPr>
          <w:b/>
          <w:bCs/>
          <w:lang w:val="es-PE"/>
        </w:rPr>
        <w:t xml:space="preserve">Rolando Eyzaguirre </w:t>
      </w:r>
      <w:proofErr w:type="spellStart"/>
      <w:r w:rsidRPr="00BF09A0">
        <w:rPr>
          <w:b/>
          <w:bCs/>
          <w:lang w:val="es-PE"/>
        </w:rPr>
        <w:t>Maccan</w:t>
      </w:r>
      <w:proofErr w:type="spellEnd"/>
      <w:r w:rsidRPr="00BF09A0">
        <w:rPr>
          <w:b/>
          <w:bCs/>
          <w:lang w:val="es-PE"/>
        </w:rPr>
        <w:t xml:space="preserve"> – Vocal</w:t>
      </w:r>
    </w:p>
    <w:p w:rsidRPr="00BF09A0" w:rsidR="00180060" w:rsidP="00CA2A2F" w:rsidRDefault="00592865" w14:paraId="164CAA9F" w14:textId="3C0E90D9">
      <w:pPr>
        <w:spacing w:after="200"/>
        <w:jc w:val="center"/>
        <w:rPr>
          <w:b/>
          <w:bCs/>
          <w:lang w:val="es-PE"/>
        </w:rPr>
      </w:pPr>
      <w:r w:rsidRPr="00BF09A0">
        <w:rPr>
          <w:b/>
          <w:bCs/>
          <w:lang w:val="es-PE"/>
        </w:rPr>
        <w:t>Juan Fry Cipriani – Voca</w:t>
      </w:r>
      <w:r w:rsidRPr="00BF09A0" w:rsidR="00CA2A2F">
        <w:rPr>
          <w:b/>
          <w:bCs/>
          <w:lang w:val="es-PE"/>
        </w:rPr>
        <w:t>l</w:t>
      </w:r>
    </w:p>
    <w:sectPr w:rsidRPr="00BF09A0" w:rsidR="00180060" w:rsidSect="005F7588">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F026F" w:rsidP="005F148C" w:rsidRDefault="007F026F" w14:paraId="19AA04FF" w14:textId="77777777">
      <w:r>
        <w:separator/>
      </w:r>
    </w:p>
  </w:endnote>
  <w:endnote w:type="continuationSeparator" w:id="0">
    <w:p w:rsidR="007F026F" w:rsidP="005F148C" w:rsidRDefault="007F026F" w14:paraId="34D11848" w14:textId="77777777">
      <w:r>
        <w:continuationSeparator/>
      </w:r>
    </w:p>
  </w:endnote>
  <w:endnote w:type="continuationNotice" w:id="1">
    <w:p w:rsidR="007F026F" w:rsidRDefault="007F026F" w14:paraId="3488AFA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BF09A0">
              <w:rPr>
                <w:sz w:val="18"/>
                <w:szCs w:val="18"/>
              </w:rPr>
              <w:t xml:space="preserve">Página </w:t>
            </w:r>
            <w:r w:rsidRPr="00BF09A0">
              <w:rPr>
                <w:b/>
                <w:bCs/>
                <w:sz w:val="18"/>
                <w:szCs w:val="18"/>
              </w:rPr>
              <w:fldChar w:fldCharType="begin"/>
            </w:r>
            <w:r w:rsidRPr="00BF09A0">
              <w:rPr>
                <w:b/>
                <w:bCs/>
                <w:sz w:val="18"/>
                <w:szCs w:val="18"/>
              </w:rPr>
              <w:instrText>PAGE</w:instrText>
            </w:r>
            <w:r w:rsidRPr="00BF09A0">
              <w:rPr>
                <w:b/>
                <w:bCs/>
                <w:sz w:val="18"/>
                <w:szCs w:val="18"/>
              </w:rPr>
              <w:fldChar w:fldCharType="separate"/>
            </w:r>
            <w:r w:rsidRPr="00BF09A0">
              <w:rPr>
                <w:b/>
                <w:bCs/>
                <w:sz w:val="18"/>
                <w:szCs w:val="18"/>
              </w:rPr>
              <w:t>2</w:t>
            </w:r>
            <w:r w:rsidRPr="00BF09A0">
              <w:rPr>
                <w:b/>
                <w:bCs/>
                <w:sz w:val="18"/>
                <w:szCs w:val="18"/>
              </w:rPr>
              <w:fldChar w:fldCharType="end"/>
            </w:r>
            <w:r w:rsidRPr="00BF09A0">
              <w:rPr>
                <w:sz w:val="18"/>
                <w:szCs w:val="18"/>
              </w:rPr>
              <w:t xml:space="preserve"> de </w:t>
            </w:r>
            <w:r w:rsidRPr="00BF09A0">
              <w:rPr>
                <w:b/>
                <w:bCs/>
                <w:sz w:val="18"/>
                <w:szCs w:val="18"/>
              </w:rPr>
              <w:fldChar w:fldCharType="begin"/>
            </w:r>
            <w:r w:rsidRPr="00BF09A0">
              <w:rPr>
                <w:b/>
                <w:bCs/>
                <w:sz w:val="18"/>
                <w:szCs w:val="18"/>
              </w:rPr>
              <w:instrText>NUMPAGES</w:instrText>
            </w:r>
            <w:r w:rsidRPr="00BF09A0">
              <w:rPr>
                <w:b/>
                <w:bCs/>
                <w:sz w:val="18"/>
                <w:szCs w:val="18"/>
              </w:rPr>
              <w:fldChar w:fldCharType="separate"/>
            </w:r>
            <w:r w:rsidRPr="00BF09A0">
              <w:rPr>
                <w:b/>
                <w:bCs/>
                <w:sz w:val="18"/>
                <w:szCs w:val="18"/>
              </w:rPr>
              <w:t>2</w:t>
            </w:r>
            <w:r w:rsidRPr="00BF09A0">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F026F" w:rsidP="005F148C" w:rsidRDefault="007F026F" w14:paraId="0945B85E" w14:textId="77777777">
      <w:r>
        <w:separator/>
      </w:r>
    </w:p>
  </w:footnote>
  <w:footnote w:type="continuationSeparator" w:id="0">
    <w:p w:rsidR="007F026F" w:rsidP="005F148C" w:rsidRDefault="007F026F" w14:paraId="74881417" w14:textId="77777777">
      <w:r>
        <w:continuationSeparator/>
      </w:r>
    </w:p>
  </w:footnote>
  <w:footnote w:type="continuationNotice" w:id="1">
    <w:p w:rsidR="007F026F" w:rsidRDefault="007F026F" w14:paraId="43E54F36" w14:textId="77777777"/>
  </w:footnote>
  <w:footnote w:id="21365">
    <w:p w:rsidRPr="00BF09A0" w:rsidR="00BF09A0" w:rsidP="00BF09A0" w:rsidRDefault="00BF09A0" w14:paraId="7C486EE3" w14:textId="77777777">
      <w:pPr>
        <w:pStyle w:val="Textonotapie"/>
        <w:tabs>
          <w:tab w:val="left" w:pos="284"/>
        </w:tabs>
        <w:spacing w:after="120"/>
        <w:ind w:left="284" w:hanging="284"/>
        <w:jc w:val="both"/>
        <w:rPr>
          <w:sz w:val="18"/>
          <w:szCs w:val="18"/>
          <w:lang w:val="es-MX"/>
        </w:rPr>
      </w:pPr>
      <w:r w:rsidRPr="00BF09A0">
        <w:rPr>
          <w:rStyle w:val="Refdenotaalpie"/>
          <w:sz w:val="18"/>
          <w:szCs w:val="18"/>
        </w:rPr>
        <w:footnoteRef/>
      </w:r>
      <w:r w:rsidRPr="00BF09A0">
        <w:rPr>
          <w:sz w:val="18"/>
          <w:szCs w:val="18"/>
          <w:lang w:val="es-PE"/>
        </w:rPr>
        <w:t xml:space="preserve"> </w:t>
      </w:r>
      <w:r w:rsidRPr="00BF09A0">
        <w:rPr>
          <w:sz w:val="18"/>
          <w:szCs w:val="18"/>
          <w:lang w:val="es-PE"/>
        </w:rPr>
        <w:tab/>
      </w:r>
      <w:r w:rsidRPr="00BF09A0">
        <w:rPr>
          <w:sz w:val="18"/>
          <w:szCs w:val="18"/>
          <w:lang w:val="es-MX"/>
        </w:rPr>
        <w:t>27 en el original.</w:t>
      </w:r>
    </w:p>
  </w:footnote>
  <w:footnote w:id="3">
    <w:p w:rsidRPr="00BF09A0" w:rsidR="00BF09A0" w:rsidP="00BF09A0" w:rsidRDefault="00BF09A0" w14:paraId="01D3053C"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hyperlink w:history="1" r:id="rId1">
        <w:r w:rsidRPr="00BF09A0">
          <w:rPr>
            <w:rStyle w:val="Hipervnculo"/>
            <w:rFonts w:eastAsia="Arial Unicode MS"/>
            <w:sz w:val="18"/>
            <w:szCs w:val="18"/>
            <w:lang w:val="es-PE"/>
          </w:rPr>
          <w:t>http://www.defaseg.com.pe/reglamento</w:t>
        </w:r>
      </w:hyperlink>
      <w:r w:rsidRPr="00BF09A0">
        <w:rPr>
          <w:rFonts w:eastAsia="Arial Unicode MS"/>
          <w:sz w:val="18"/>
          <w:szCs w:val="18"/>
          <w:lang w:val="es-PE"/>
        </w:rPr>
        <w:t xml:space="preserve"> </w:t>
      </w:r>
    </w:p>
  </w:footnote>
  <w:footnote w:id="4">
    <w:p w:rsidRPr="00BF09A0" w:rsidR="00BF09A0" w:rsidP="00BF09A0" w:rsidRDefault="00BF09A0" w14:paraId="177C9190" w14:textId="77777777">
      <w:pPr>
        <w:pStyle w:val="Textonotapie"/>
        <w:tabs>
          <w:tab w:val="left" w:pos="284"/>
        </w:tabs>
        <w:spacing w:after="60"/>
        <w:ind w:left="284" w:hanging="284"/>
        <w:jc w:val="both"/>
        <w:rPr>
          <w:rStyle w:val="Hipervnculo"/>
          <w:color w:val="000000" w:themeColor="text1"/>
          <w:sz w:val="18"/>
          <w:szCs w:val="18"/>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rStyle w:val="Hipervnculo"/>
          <w:b/>
          <w:bCs/>
          <w:color w:val="000000" w:themeColor="text1"/>
          <w:sz w:val="18"/>
          <w:szCs w:val="18"/>
          <w:lang w:val="es-PE"/>
        </w:rPr>
        <w:t>Ley del Contrato de Seguro</w:t>
      </w:r>
    </w:p>
    <w:p w:rsidRPr="00BF09A0" w:rsidR="00BF09A0" w:rsidP="00BF09A0" w:rsidRDefault="00BF09A0" w14:paraId="20E8EEB9" w14:textId="77777777">
      <w:pPr>
        <w:pStyle w:val="Textonotapie"/>
        <w:tabs>
          <w:tab w:val="left" w:pos="284"/>
        </w:tabs>
        <w:spacing w:after="60"/>
        <w:ind w:left="284" w:hanging="284"/>
        <w:jc w:val="both"/>
        <w:rPr>
          <w:rStyle w:val="Hipervnculo"/>
          <w:b/>
          <w:bCs/>
          <w:color w:val="000000" w:themeColor="text1"/>
          <w:sz w:val="18"/>
          <w:szCs w:val="18"/>
          <w:lang w:val="es-PE"/>
        </w:rPr>
      </w:pPr>
      <w:r w:rsidRPr="00BF09A0">
        <w:rPr>
          <w:rStyle w:val="Hipervnculo"/>
          <w:b/>
          <w:bCs/>
          <w:color w:val="000000" w:themeColor="text1"/>
          <w:sz w:val="18"/>
          <w:szCs w:val="18"/>
          <w:lang w:val="es-PE"/>
        </w:rPr>
        <w:tab/>
      </w:r>
      <w:r w:rsidRPr="00BF09A0">
        <w:rPr>
          <w:rStyle w:val="Hipervnculo"/>
          <w:b/>
          <w:bCs/>
          <w:color w:val="000000" w:themeColor="text1"/>
          <w:sz w:val="18"/>
          <w:szCs w:val="18"/>
          <w:lang w:val="es-PE"/>
        </w:rPr>
        <w:t>Artículo 1.- Definición</w:t>
      </w:r>
    </w:p>
    <w:p w:rsidRPr="00BF09A0" w:rsidR="00BF09A0" w:rsidP="00BF09A0" w:rsidRDefault="00BF09A0" w14:paraId="231AFC89" w14:textId="77777777">
      <w:pPr>
        <w:pStyle w:val="Textonotapie"/>
        <w:tabs>
          <w:tab w:val="left" w:pos="284"/>
        </w:tabs>
        <w:spacing w:after="120"/>
        <w:ind w:left="284" w:hanging="284"/>
        <w:jc w:val="both"/>
        <w:rPr>
          <w:rStyle w:val="Hipervnculo"/>
          <w:color w:val="000000" w:themeColor="text1"/>
          <w:sz w:val="18"/>
          <w:szCs w:val="18"/>
          <w:lang w:val="es-PE"/>
        </w:rPr>
      </w:pP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El contrato de seguro es aquel por el que el asegurador se obliga, mediante el cobro de una prima y para el caso de que se </w:t>
      </w:r>
      <w:r w:rsidRPr="00BF09A0">
        <w:rPr>
          <w:sz w:val="18"/>
          <w:szCs w:val="18"/>
          <w:lang w:val="es-PE"/>
        </w:rPr>
        <w:t>produzca</w:t>
      </w:r>
      <w:r w:rsidRPr="00BF09A0">
        <w:rPr>
          <w:rStyle w:val="Hipervnculo"/>
          <w:color w:val="000000" w:themeColor="text1"/>
          <w:sz w:val="18"/>
          <w:szCs w:val="18"/>
          <w:lang w:val="es-PE"/>
        </w:rPr>
        <w:t xml:space="preserve"> el evento cuyo riesgo es objeto de cobertura, a indemnizar dentro de los límites pactados el daño producido al asegurado o a satisfacer un capital, una renta u otras prestaciones convenidas.</w:t>
      </w:r>
    </w:p>
  </w:footnote>
  <w:footnote w:id="5">
    <w:p w:rsidRPr="00BF09A0" w:rsidR="00BF09A0" w:rsidP="00BF09A0" w:rsidRDefault="00BF09A0" w14:paraId="5D56D8A1" w14:textId="77777777">
      <w:pPr>
        <w:pStyle w:val="Textonotapie"/>
        <w:tabs>
          <w:tab w:val="left" w:pos="284"/>
        </w:tabs>
        <w:spacing w:after="60"/>
        <w:ind w:left="284" w:hanging="284"/>
        <w:jc w:val="both"/>
        <w:rPr>
          <w:b/>
          <w:bCs/>
          <w:sz w:val="18"/>
          <w:szCs w:val="18"/>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Código Civil</w:t>
      </w:r>
    </w:p>
    <w:p w:rsidRPr="00BF09A0" w:rsidR="00BF09A0" w:rsidP="00BF09A0" w:rsidRDefault="00BF09A0" w14:paraId="67C16F8E" w14:textId="77777777">
      <w:pPr>
        <w:pStyle w:val="Textonotapie"/>
        <w:tabs>
          <w:tab w:val="left" w:pos="284"/>
        </w:tabs>
        <w:spacing w:after="60"/>
        <w:ind w:left="284" w:hanging="284"/>
        <w:jc w:val="both"/>
        <w:rPr>
          <w:sz w:val="18"/>
          <w:szCs w:val="18"/>
          <w:lang w:val="es-PE"/>
        </w:rPr>
      </w:pPr>
      <w:r w:rsidRPr="00BF09A0">
        <w:rPr>
          <w:b/>
          <w:bCs/>
          <w:sz w:val="18"/>
          <w:szCs w:val="18"/>
          <w:lang w:val="es-PE"/>
        </w:rPr>
        <w:tab/>
      </w:r>
      <w:r w:rsidRPr="00BF09A0">
        <w:rPr>
          <w:b/>
          <w:bCs/>
          <w:sz w:val="18"/>
          <w:szCs w:val="18"/>
          <w:lang w:val="es-PE"/>
        </w:rPr>
        <w:t>Artículo 1361.-</w:t>
      </w:r>
      <w:r w:rsidRPr="00BF09A0">
        <w:rPr>
          <w:sz w:val="18"/>
          <w:szCs w:val="18"/>
          <w:lang w:val="es-PE"/>
        </w:rPr>
        <w:t> Los contratos son obligatorios en cuanto se haya expresado en ellos.</w:t>
      </w:r>
    </w:p>
    <w:p w:rsidRPr="00BF09A0" w:rsidR="00BF09A0" w:rsidP="00BF09A0" w:rsidRDefault="00BF09A0" w14:paraId="02E176FA" w14:textId="77777777">
      <w:pPr>
        <w:pStyle w:val="Textonotapie"/>
        <w:tabs>
          <w:tab w:val="left" w:pos="284"/>
        </w:tabs>
        <w:spacing w:after="120"/>
        <w:ind w:left="284" w:hanging="284"/>
        <w:jc w:val="both"/>
        <w:rPr>
          <w:sz w:val="18"/>
          <w:szCs w:val="18"/>
          <w:lang w:val="es-PE"/>
        </w:rPr>
      </w:pPr>
      <w:r w:rsidRPr="00BF09A0">
        <w:rPr>
          <w:sz w:val="18"/>
          <w:szCs w:val="18"/>
          <w:lang w:val="es-PE"/>
        </w:rPr>
        <w:tab/>
      </w:r>
      <w:r w:rsidRPr="00BF09A0">
        <w:rPr>
          <w:sz w:val="18"/>
          <w:szCs w:val="18"/>
          <w:lang w:val="es-PE"/>
        </w:rPr>
        <w:t>Se presume que la declaración expresada en el contrato responde a la voluntad común de las partes y quien niegue esa coincidencia debe probarla.</w:t>
      </w:r>
    </w:p>
  </w:footnote>
  <w:footnote w:id="6">
    <w:p w:rsidRPr="00BF09A0" w:rsidR="00BF09A0" w:rsidP="00BF09A0" w:rsidRDefault="00BF09A0" w14:paraId="1E9E06E0"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Código Procesal Civil</w:t>
      </w:r>
    </w:p>
    <w:p w:rsidRPr="00BF09A0" w:rsidR="00BF09A0" w:rsidP="00BF09A0" w:rsidRDefault="00BF09A0" w14:paraId="2F7A7FBE" w14:textId="77777777">
      <w:pPr>
        <w:pStyle w:val="Textonotapie"/>
        <w:tabs>
          <w:tab w:val="left" w:pos="284"/>
        </w:tabs>
        <w:spacing w:after="120"/>
        <w:ind w:left="284" w:hanging="284"/>
        <w:jc w:val="both"/>
        <w:rPr>
          <w:sz w:val="18"/>
          <w:szCs w:val="18"/>
          <w:lang w:val="es-PE"/>
        </w:rPr>
      </w:pPr>
      <w:r w:rsidRPr="00BF09A0">
        <w:rPr>
          <w:b/>
          <w:bCs/>
          <w:sz w:val="18"/>
          <w:szCs w:val="18"/>
          <w:lang w:val="es-PE"/>
        </w:rPr>
        <w:tab/>
      </w:r>
      <w:r w:rsidRPr="00BF09A0">
        <w:rPr>
          <w:b/>
          <w:bCs/>
          <w:sz w:val="18"/>
          <w:szCs w:val="18"/>
          <w:lang w:val="es-PE"/>
        </w:rPr>
        <w:t xml:space="preserve">Artículo 196.- Carga de la </w:t>
      </w:r>
      <w:proofErr w:type="gramStart"/>
      <w:r w:rsidRPr="00BF09A0">
        <w:rPr>
          <w:b/>
          <w:bCs/>
          <w:sz w:val="18"/>
          <w:szCs w:val="18"/>
          <w:lang w:val="es-PE"/>
        </w:rPr>
        <w:t>prueba.-</w:t>
      </w:r>
      <w:proofErr w:type="gramEnd"/>
      <w:r w:rsidRPr="00BF09A0">
        <w:rPr>
          <w:sz w:val="18"/>
          <w:szCs w:val="18"/>
          <w:lang w:val="es-PE"/>
        </w:rPr>
        <w:t xml:space="preserve"> Salvo disposición legal diferente, la carga de probar corresponde a quien afirma hechos que configuran su pretensión, o a quien los contradice alegando nuevos hechos.</w:t>
      </w:r>
    </w:p>
  </w:footnote>
  <w:footnote w:id="7">
    <w:p w:rsidRPr="00BF09A0" w:rsidR="00BF09A0" w:rsidP="00BF09A0" w:rsidRDefault="00BF09A0" w14:paraId="098367A1"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Reglamento de la DEFASEG</w:t>
      </w:r>
    </w:p>
    <w:p w:rsidRPr="00BF09A0" w:rsidR="00BF09A0" w:rsidP="00BF09A0" w:rsidRDefault="00BF09A0" w14:paraId="112B4988" w14:textId="77777777">
      <w:pPr>
        <w:pStyle w:val="Textonotapie"/>
        <w:tabs>
          <w:tab w:val="left" w:pos="284"/>
        </w:tabs>
        <w:spacing w:after="60"/>
        <w:ind w:left="284" w:hanging="284"/>
        <w:jc w:val="both"/>
        <w:rPr>
          <w:rStyle w:val="Hipervnculo"/>
          <w:color w:val="000000" w:themeColor="text1"/>
          <w:sz w:val="18"/>
          <w:szCs w:val="18"/>
        </w:rPr>
      </w:pPr>
      <w:r w:rsidRPr="00BF09A0">
        <w:rPr>
          <w:rStyle w:val="Hipervnculo"/>
          <w:b/>
          <w:bCs/>
          <w:color w:val="000000" w:themeColor="text1"/>
          <w:sz w:val="18"/>
          <w:szCs w:val="18"/>
          <w:lang w:val="es-PE"/>
        </w:rPr>
        <w:tab/>
      </w:r>
      <w:r w:rsidRPr="00BF09A0">
        <w:rPr>
          <w:rStyle w:val="Hipervnculo"/>
          <w:b/>
          <w:bCs/>
          <w:color w:val="000000" w:themeColor="text1"/>
          <w:sz w:val="18"/>
          <w:szCs w:val="18"/>
          <w:lang w:val="es-PE"/>
        </w:rPr>
        <w:t xml:space="preserve">4. Competencia </w:t>
      </w:r>
    </w:p>
    <w:p w:rsidRPr="00BF09A0" w:rsidR="00BF09A0" w:rsidP="00BF09A0" w:rsidRDefault="00BF09A0" w14:paraId="44B0A92B" w14:textId="77777777">
      <w:pPr>
        <w:pStyle w:val="Textonotapie"/>
        <w:tabs>
          <w:tab w:val="left" w:pos="284"/>
        </w:tabs>
        <w:spacing w:after="60"/>
        <w:ind w:left="284" w:hanging="284"/>
        <w:jc w:val="both"/>
        <w:rPr>
          <w:rStyle w:val="Hipervnculo"/>
          <w:color w:val="000000" w:themeColor="text1"/>
          <w:sz w:val="18"/>
          <w:szCs w:val="18"/>
          <w:lang w:val="es-PE"/>
        </w:rPr>
      </w:pP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La Defensoría conoce los reclamos que plantean los usuarios de seguros, ello siempre y cuando cumplan con los siguientes requisitos de admisibilidad de manera concurrente: </w:t>
      </w:r>
    </w:p>
    <w:p w:rsidRPr="00BF09A0" w:rsidR="00BF09A0" w:rsidP="00BF09A0" w:rsidRDefault="00BF09A0" w14:paraId="4856AA64" w14:textId="77777777">
      <w:pPr>
        <w:pStyle w:val="Textonotapie"/>
        <w:tabs>
          <w:tab w:val="left" w:pos="284"/>
          <w:tab w:val="left" w:pos="567"/>
        </w:tabs>
        <w:spacing w:after="60"/>
        <w:ind w:left="567" w:hanging="567"/>
        <w:jc w:val="both"/>
        <w:rPr>
          <w:rStyle w:val="Hipervnculo"/>
          <w:color w:val="000000" w:themeColor="text1"/>
          <w:sz w:val="18"/>
          <w:szCs w:val="18"/>
          <w:lang w:val="es-PE"/>
        </w:rPr>
      </w:pP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1. </w:t>
      </w: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El reclamo debe estar referido a un rechazo o liquidación de siniestro por parte de una empresa de seguros, excepto aquellos referidos a siniestros dentro del ámbito del seguro complementario de trabajo de riesgo y de los seguros de invalidez, sobrevivencia y gastos de sepelio del Sistema Nacional de Pensiones (SNP), así como de los del Sistema Privado de Pensiones (SPP), que incluye rentas de jubilación, los cuales se encuentran excluidos de la competencia de la Defensoría. (…). </w:t>
      </w:r>
    </w:p>
    <w:p w:rsidRPr="00BF09A0" w:rsidR="00BF09A0" w:rsidP="00BF09A0" w:rsidRDefault="00BF09A0" w14:paraId="3FD39B04" w14:textId="77777777">
      <w:pPr>
        <w:pStyle w:val="Textonotapie"/>
        <w:tabs>
          <w:tab w:val="left" w:pos="284"/>
          <w:tab w:val="left" w:pos="567"/>
        </w:tabs>
        <w:spacing w:after="60"/>
        <w:ind w:left="567" w:hanging="567"/>
        <w:jc w:val="both"/>
        <w:rPr>
          <w:rStyle w:val="Hipervnculo"/>
          <w:color w:val="000000" w:themeColor="text1"/>
          <w:sz w:val="18"/>
          <w:szCs w:val="18"/>
          <w:lang w:val="es-PE"/>
        </w:rPr>
      </w:pP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2. </w:t>
      </w: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El reclamo debe ser interpuesto dentro del plazo perentorio de dos (2) años, computados a partir del día siguiente de recibida la primera notificación en que es denegada o rechazada la pretensión por la empresa de seguros. </w:t>
      </w:r>
    </w:p>
    <w:p w:rsidRPr="00BF09A0" w:rsidR="00BF09A0" w:rsidP="00BF09A0" w:rsidRDefault="00BF09A0" w14:paraId="33EEB661" w14:textId="77777777">
      <w:pPr>
        <w:pStyle w:val="Textonotapie"/>
        <w:tabs>
          <w:tab w:val="left" w:pos="284"/>
          <w:tab w:val="left" w:pos="567"/>
        </w:tabs>
        <w:spacing w:after="120"/>
        <w:ind w:left="567" w:hanging="567"/>
        <w:jc w:val="both"/>
        <w:rPr>
          <w:rStyle w:val="Hipervnculo"/>
          <w:color w:val="000000" w:themeColor="text1"/>
          <w:sz w:val="18"/>
          <w:szCs w:val="18"/>
          <w:lang w:val="es-PE"/>
        </w:rPr>
      </w:pP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3. </w:t>
      </w: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El total de la indemnización solicitada a la empresa de seguros no debe exceder los US$ 50,000. Para reclamos en dólares americanos, se considerará el tipo de cambio contable que publica la Superintendencia de Banca, Seguros (SBS) y AFP vigente a la fecha de interposición del reclamo. (…). </w:t>
      </w:r>
    </w:p>
  </w:footnote>
  <w:footnote w:id="26000">
    <w:p w:rsidRPr="00BF09A0" w:rsidR="00BF09A0" w:rsidP="00BF09A0" w:rsidRDefault="00BF09A0" w14:paraId="67D77D7B" w14:textId="3713A375">
      <w:pPr>
        <w:pStyle w:val="Textonotapie"/>
        <w:tabs>
          <w:tab w:val="left" w:pos="284"/>
        </w:tabs>
        <w:spacing w:after="120"/>
        <w:ind w:left="284" w:hanging="284"/>
        <w:jc w:val="both"/>
        <w:rPr>
          <w:color w:val="000000"/>
          <w:sz w:val="18"/>
          <w:szCs w:val="18"/>
        </w:rPr>
      </w:pPr>
      <w:r w:rsidRPr="00BF09A0">
        <w:rPr>
          <w:rStyle w:val="Refdenotaalpie"/>
          <w:sz w:val="18"/>
          <w:szCs w:val="18"/>
          <w:lang w:val="es-PE"/>
        </w:rPr>
        <w:footnoteRef/>
      </w:r>
      <w:r w:rsidRPr="00BF09A0" w:rsidR="3541BDFD">
        <w:rPr>
          <w:sz w:val="18"/>
          <w:szCs w:val="18"/>
          <w:lang w:val="es-PE"/>
        </w:rPr>
        <w:t xml:space="preserve"> </w:t>
      </w:r>
      <w:r w:rsidRPr="00BF09A0">
        <w:rPr>
          <w:sz w:val="18"/>
          <w:szCs w:val="18"/>
          <w:lang w:val="es-PE"/>
        </w:rPr>
        <w:tab/>
      </w:r>
      <w:hyperlink r:id="Rd0ecada7fbfe43f7">
        <w:r w:rsidRPr="3541BDFD" w:rsidR="3541BDFD">
          <w:rPr>
            <w:rStyle w:val="Hipervnculo"/>
            <w:sz w:val="18"/>
            <w:szCs w:val="18"/>
            <w:lang w:val="es-PE"/>
          </w:rPr>
          <w:t>https://www.</w:t>
        </w:r>
        <w:r w:rsidRPr="3541BDFD" w:rsidR="3541BDFD">
          <w:rPr>
            <w:rStyle w:val="Hipervnculo"/>
            <w:sz w:val="18"/>
            <w:szCs w:val="18"/>
            <w:lang w:val="es-PE"/>
          </w:rPr>
          <w:t>....................</w:t>
        </w:r>
        <w:r w:rsidRPr="3541BDFD" w:rsidR="3541BDFD">
          <w:rPr>
            <w:rStyle w:val="Hipervnculo"/>
            <w:sz w:val="18"/>
            <w:szCs w:val="18"/>
            <w:lang w:val="es-PE"/>
          </w:rPr>
          <w:t>peru.com.pe/web/qpe/condicionados-generales</w:t>
        </w:r>
      </w:hyperlink>
      <w:r w:rsidRPr="3541BDFD" w:rsidR="3541BDFD">
        <w:rPr>
          <w:color w:val="000000" w:themeColor="text1" w:themeTint="FF" w:themeShade="FF"/>
          <w:sz w:val="18"/>
          <w:szCs w:val="18"/>
          <w:lang w:val="es-PE"/>
        </w:rPr>
        <w:t xml:space="preserve"> </w:t>
      </w:r>
    </w:p>
  </w:footnote>
  <w:footnote w:id="9">
    <w:p w:rsidRPr="00BF09A0" w:rsidR="00BF09A0" w:rsidP="00BF09A0" w:rsidRDefault="00BF09A0" w14:paraId="50F5B425"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Ley del contrato de seguro</w:t>
      </w:r>
    </w:p>
    <w:p w:rsidRPr="00BF09A0" w:rsidR="00BF09A0" w:rsidP="00BF09A0" w:rsidRDefault="00BF09A0" w14:paraId="7D0CCED2" w14:textId="77777777">
      <w:pPr>
        <w:pStyle w:val="Textonotapie"/>
        <w:tabs>
          <w:tab w:val="left" w:pos="284"/>
        </w:tabs>
        <w:spacing w:after="60"/>
        <w:ind w:left="284" w:hanging="284"/>
        <w:jc w:val="both"/>
        <w:rPr>
          <w:b/>
          <w:bCs/>
          <w:color w:val="000000"/>
          <w:sz w:val="18"/>
          <w:szCs w:val="18"/>
          <w:lang w:val="es-PE"/>
        </w:rPr>
      </w:pPr>
      <w:r w:rsidRPr="00BF09A0">
        <w:rPr>
          <w:b/>
          <w:bCs/>
          <w:color w:val="000000"/>
          <w:sz w:val="18"/>
          <w:szCs w:val="18"/>
          <w:lang w:val="es-PE"/>
        </w:rPr>
        <w:tab/>
      </w:r>
      <w:r w:rsidRPr="00BF09A0">
        <w:rPr>
          <w:b/>
          <w:bCs/>
          <w:color w:val="000000"/>
          <w:sz w:val="18"/>
          <w:szCs w:val="18"/>
          <w:lang w:val="es-PE"/>
        </w:rPr>
        <w:t xml:space="preserve">Artículo 2.- Cobertura </w:t>
      </w:r>
    </w:p>
    <w:p w:rsidRPr="00BF09A0" w:rsidR="00BF09A0" w:rsidP="00BF09A0" w:rsidRDefault="00BF09A0" w14:paraId="6F675741" w14:textId="77777777">
      <w:pPr>
        <w:pStyle w:val="Textonotapie"/>
        <w:tabs>
          <w:tab w:val="left" w:pos="284"/>
        </w:tabs>
        <w:spacing w:after="120"/>
        <w:ind w:left="284" w:hanging="284"/>
        <w:jc w:val="both"/>
        <w:rPr>
          <w:sz w:val="18"/>
          <w:szCs w:val="18"/>
          <w:lang w:val="es-PE"/>
        </w:rPr>
      </w:pPr>
      <w:r w:rsidRPr="00BF09A0">
        <w:rPr>
          <w:color w:val="000000"/>
          <w:sz w:val="18"/>
          <w:szCs w:val="18"/>
          <w:lang w:val="es-PE"/>
        </w:rPr>
        <w:tab/>
      </w:r>
      <w:r w:rsidRPr="00BF09A0">
        <w:rPr>
          <w:color w:val="000000"/>
          <w:sz w:val="18"/>
          <w:szCs w:val="18"/>
          <w:lang w:val="es-PE"/>
        </w:rPr>
        <w:t>El contrato de seguro cubre cualquier riesgo siempre que al tiempo de su celebración exista un interés asegurable actual o contingente.</w:t>
      </w:r>
    </w:p>
  </w:footnote>
  <w:footnote w:id="10">
    <w:p w:rsidRPr="00BF09A0" w:rsidR="00BF09A0" w:rsidP="00BF09A0" w:rsidRDefault="00BF09A0" w14:paraId="6A8B5A50"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Ley del contrato de seguro</w:t>
      </w:r>
    </w:p>
    <w:p w:rsidRPr="00BF09A0" w:rsidR="00BF09A0" w:rsidP="00BF09A0" w:rsidRDefault="00BF09A0" w14:paraId="7F149915" w14:textId="77777777">
      <w:pPr>
        <w:pStyle w:val="Textonotapie"/>
        <w:tabs>
          <w:tab w:val="left" w:pos="284"/>
        </w:tabs>
        <w:spacing w:after="60"/>
        <w:ind w:left="284" w:hanging="284"/>
        <w:jc w:val="both"/>
        <w:rPr>
          <w:color w:val="151515"/>
          <w:sz w:val="18"/>
          <w:szCs w:val="18"/>
          <w:lang w:val="es-PE"/>
        </w:rPr>
      </w:pPr>
      <w:r w:rsidRPr="00BF09A0">
        <w:rPr>
          <w:b/>
          <w:bCs/>
          <w:color w:val="151515"/>
          <w:sz w:val="18"/>
          <w:szCs w:val="18"/>
          <w:lang w:val="es-PE"/>
        </w:rPr>
        <w:tab/>
      </w:r>
      <w:r w:rsidRPr="00BF09A0">
        <w:rPr>
          <w:b/>
          <w:bCs/>
          <w:color w:val="151515"/>
          <w:sz w:val="18"/>
          <w:szCs w:val="18"/>
          <w:lang w:val="es-PE"/>
        </w:rPr>
        <w:t>Artículo 101.- Inexistencia antes de la vigencia</w:t>
      </w:r>
    </w:p>
    <w:p w:rsidRPr="00BF09A0" w:rsidR="00BF09A0" w:rsidP="00BF09A0" w:rsidRDefault="00BF09A0" w14:paraId="5441BBA8" w14:textId="77777777">
      <w:pPr>
        <w:pStyle w:val="Textonotapie"/>
        <w:tabs>
          <w:tab w:val="left" w:pos="284"/>
        </w:tabs>
        <w:spacing w:after="120"/>
        <w:ind w:left="284" w:hanging="284"/>
        <w:jc w:val="both"/>
        <w:rPr>
          <w:sz w:val="18"/>
          <w:szCs w:val="18"/>
          <w:lang w:val="es-PE"/>
        </w:rPr>
      </w:pPr>
      <w:r w:rsidRPr="00BF09A0">
        <w:rPr>
          <w:color w:val="151515"/>
          <w:sz w:val="18"/>
          <w:szCs w:val="18"/>
          <w:lang w:val="es-PE"/>
        </w:rPr>
        <w:tab/>
      </w:r>
      <w:r w:rsidRPr="00BF09A0">
        <w:rPr>
          <w:color w:val="151515"/>
          <w:sz w:val="18"/>
          <w:szCs w:val="18"/>
          <w:lang w:val="es-PE"/>
        </w:rPr>
        <w:t xml:space="preserve">Cuando no exista interés asegurable al tiempo del perfeccionamiento del contrato o al inicio de sus efectos, el contrato es nulo. En ese caso, el </w:t>
      </w:r>
      <w:r w:rsidRPr="00BF09A0">
        <w:rPr>
          <w:color w:val="000000"/>
          <w:sz w:val="18"/>
          <w:szCs w:val="18"/>
          <w:lang w:val="es-PE"/>
        </w:rPr>
        <w:t>asegurador</w:t>
      </w:r>
      <w:r w:rsidRPr="00BF09A0">
        <w:rPr>
          <w:color w:val="151515"/>
          <w:sz w:val="18"/>
          <w:szCs w:val="18"/>
          <w:lang w:val="es-PE"/>
        </w:rPr>
        <w:t xml:space="preserve"> tiene derecho al reembolso de los gastos.</w:t>
      </w:r>
    </w:p>
  </w:footnote>
  <w:footnote w:id="11">
    <w:p w:rsidRPr="00BF09A0" w:rsidR="00BF09A0" w:rsidP="00BF09A0" w:rsidRDefault="00BF09A0" w14:paraId="78C8EDC6"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sz w:val="18"/>
          <w:szCs w:val="18"/>
          <w:lang w:val="es-PE"/>
        </w:rPr>
        <w:t>«</w:t>
      </w:r>
      <w:r w:rsidRPr="00BF09A0">
        <w:rPr>
          <w:i/>
          <w:sz w:val="18"/>
          <w:szCs w:val="18"/>
          <w:lang w:val="es-PE"/>
        </w:rPr>
        <w:t>Los conceptos jurídicos indeterminados no son otra cosa que aquellos conceptos o expresiones utilizados por las normas en que los límites y términos del enunciado no aparecen perfectamente definidos.»</w:t>
      </w:r>
      <w:r w:rsidRPr="00BF09A0">
        <w:rPr>
          <w:sz w:val="18"/>
          <w:szCs w:val="18"/>
          <w:lang w:val="es-PE"/>
        </w:rPr>
        <w:t xml:space="preserve"> </w:t>
      </w:r>
      <w:r w:rsidRPr="00BF09A0">
        <w:rPr>
          <w:color w:val="151515"/>
          <w:sz w:val="18"/>
          <w:szCs w:val="18"/>
          <w:lang w:val="es-PE"/>
        </w:rPr>
        <w:t>STC (</w:t>
      </w:r>
      <w:r w:rsidRPr="00BF09A0">
        <w:rPr>
          <w:i/>
          <w:iCs/>
          <w:color w:val="151515"/>
          <w:sz w:val="18"/>
          <w:szCs w:val="18"/>
          <w:u w:val="single"/>
          <w:lang w:val="es-PE"/>
        </w:rPr>
        <w:t xml:space="preserve">Expediente </w:t>
      </w:r>
      <w:proofErr w:type="spellStart"/>
      <w:r w:rsidRPr="00BF09A0">
        <w:rPr>
          <w:i/>
          <w:iCs/>
          <w:color w:val="151515"/>
          <w:sz w:val="18"/>
          <w:szCs w:val="18"/>
          <w:u w:val="single"/>
          <w:lang w:val="es-PE"/>
        </w:rPr>
        <w:t>n.°</w:t>
      </w:r>
      <w:proofErr w:type="spellEnd"/>
      <w:r w:rsidRPr="00BF09A0">
        <w:rPr>
          <w:i/>
          <w:iCs/>
          <w:color w:val="151515"/>
          <w:sz w:val="18"/>
          <w:szCs w:val="18"/>
          <w:u w:val="single"/>
          <w:lang w:val="es-PE"/>
        </w:rPr>
        <w:t xml:space="preserve"> 1198-2002-AA/TC, </w:t>
      </w:r>
      <w:proofErr w:type="spellStart"/>
      <w:r w:rsidRPr="00BF09A0">
        <w:rPr>
          <w:i/>
          <w:iCs/>
          <w:color w:val="151515"/>
          <w:sz w:val="18"/>
          <w:szCs w:val="18"/>
          <w:u w:val="single"/>
          <w:lang w:val="es-PE"/>
        </w:rPr>
        <w:t>Alcarraz</w:t>
      </w:r>
      <w:proofErr w:type="spellEnd"/>
      <w:r w:rsidRPr="00BF09A0">
        <w:rPr>
          <w:i/>
          <w:iCs/>
          <w:color w:val="151515"/>
          <w:sz w:val="18"/>
          <w:szCs w:val="18"/>
          <w:u w:val="single"/>
          <w:lang w:val="es-PE"/>
        </w:rPr>
        <w:t xml:space="preserve"> Verástegui contra Superintendencia Nacional de Administración Tributaria</w:t>
      </w:r>
      <w:r w:rsidRPr="00BF09A0">
        <w:rPr>
          <w:color w:val="151515"/>
          <w:sz w:val="18"/>
          <w:szCs w:val="18"/>
          <w:lang w:val="es-PE"/>
        </w:rPr>
        <w:t>) del 6 de diciembre de 2002.</w:t>
      </w:r>
    </w:p>
  </w:footnote>
  <w:footnote w:id="12">
    <w:p w:rsidRPr="00BF09A0" w:rsidR="00BF09A0" w:rsidP="00BF09A0" w:rsidRDefault="00BF09A0" w14:paraId="4F56CBA6"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color w:val="151515"/>
          <w:sz w:val="18"/>
          <w:szCs w:val="18"/>
          <w:lang w:val="es-PE"/>
        </w:rPr>
        <w:t>STC (</w:t>
      </w:r>
      <w:r w:rsidRPr="00BF09A0">
        <w:rPr>
          <w:i/>
          <w:iCs/>
          <w:color w:val="151515"/>
          <w:sz w:val="18"/>
          <w:szCs w:val="18"/>
          <w:u w:val="single"/>
          <w:lang w:val="es-PE"/>
        </w:rPr>
        <w:t xml:space="preserve">Expediente </w:t>
      </w:r>
      <w:proofErr w:type="spellStart"/>
      <w:r w:rsidRPr="00BF09A0">
        <w:rPr>
          <w:i/>
          <w:iCs/>
          <w:color w:val="151515"/>
          <w:sz w:val="18"/>
          <w:szCs w:val="18"/>
          <w:u w:val="single"/>
          <w:lang w:val="es-PE"/>
        </w:rPr>
        <w:t>n.°</w:t>
      </w:r>
      <w:proofErr w:type="spellEnd"/>
      <w:r w:rsidRPr="00BF09A0">
        <w:rPr>
          <w:i/>
          <w:iCs/>
          <w:color w:val="151515"/>
          <w:sz w:val="18"/>
          <w:szCs w:val="18"/>
          <w:u w:val="single"/>
          <w:lang w:val="es-PE"/>
        </w:rPr>
        <w:t xml:space="preserve"> 1341-2014-PA/TC, Díaz Cieza contra Superintendencia Nacional de Administración Tributaria</w:t>
      </w:r>
      <w:r w:rsidRPr="00BF09A0">
        <w:rPr>
          <w:color w:val="151515"/>
          <w:sz w:val="18"/>
          <w:szCs w:val="18"/>
          <w:lang w:val="es-PE"/>
        </w:rPr>
        <w:t>) del 10 de marzo de 2020.</w:t>
      </w:r>
    </w:p>
  </w:footnote>
  <w:footnote w:id="13">
    <w:p w:rsidRPr="00BF09A0" w:rsidR="00BF09A0" w:rsidP="00BF09A0" w:rsidRDefault="00BF09A0" w14:paraId="4FCF8FEC"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sz w:val="18"/>
          <w:szCs w:val="18"/>
          <w:lang w:val="es-PE"/>
        </w:rPr>
        <w:t>STC (</w:t>
      </w:r>
      <w:r w:rsidRPr="00BF09A0">
        <w:rPr>
          <w:i/>
          <w:iCs/>
          <w:sz w:val="18"/>
          <w:szCs w:val="18"/>
          <w:u w:val="single"/>
          <w:lang w:val="es-PE"/>
        </w:rPr>
        <w:t xml:space="preserve">Expediente </w:t>
      </w:r>
      <w:proofErr w:type="spellStart"/>
      <w:r w:rsidRPr="00BF09A0">
        <w:rPr>
          <w:i/>
          <w:iCs/>
          <w:sz w:val="18"/>
          <w:szCs w:val="18"/>
          <w:u w:val="single"/>
          <w:lang w:val="es-PE"/>
        </w:rPr>
        <w:t>n.°</w:t>
      </w:r>
      <w:proofErr w:type="spellEnd"/>
      <w:r w:rsidRPr="00BF09A0">
        <w:rPr>
          <w:i/>
          <w:iCs/>
          <w:sz w:val="18"/>
          <w:szCs w:val="18"/>
          <w:u w:val="single"/>
          <w:lang w:val="es-PE"/>
        </w:rPr>
        <w:t xml:space="preserve"> 5156-2006-AA/TC, </w:t>
      </w:r>
      <w:proofErr w:type="spellStart"/>
      <w:r w:rsidRPr="00BF09A0">
        <w:rPr>
          <w:i/>
          <w:iCs/>
          <w:sz w:val="18"/>
          <w:szCs w:val="18"/>
          <w:u w:val="single"/>
          <w:lang w:val="es-PE"/>
        </w:rPr>
        <w:t>Walde</w:t>
      </w:r>
      <w:proofErr w:type="spellEnd"/>
      <w:r w:rsidRPr="00BF09A0">
        <w:rPr>
          <w:i/>
          <w:iCs/>
          <w:sz w:val="18"/>
          <w:szCs w:val="18"/>
          <w:u w:val="single"/>
          <w:lang w:val="es-PE"/>
        </w:rPr>
        <w:t xml:space="preserve"> Jáuregui contra Sexta Sala Civil de la Corte Superior de Justicia de Lima</w:t>
      </w:r>
      <w:r w:rsidRPr="00BF09A0">
        <w:rPr>
          <w:sz w:val="18"/>
          <w:szCs w:val="18"/>
          <w:lang w:val="es-PE"/>
        </w:rPr>
        <w:t>) del 29 de agosto de 2006.</w:t>
      </w:r>
    </w:p>
  </w:footnote>
  <w:footnote w:id="14">
    <w:p w:rsidRPr="00BF09A0" w:rsidR="00BF09A0" w:rsidP="00BF09A0" w:rsidRDefault="00BF09A0" w14:paraId="68D12ACC" w14:textId="77777777">
      <w:pPr>
        <w:pStyle w:val="Textonotapie"/>
        <w:tabs>
          <w:tab w:val="left" w:pos="284"/>
        </w:tabs>
        <w:spacing w:after="120"/>
        <w:ind w:left="284" w:hanging="284"/>
        <w:jc w:val="both"/>
        <w:rPr>
          <w:color w:val="151515"/>
          <w:sz w:val="18"/>
          <w:szCs w:val="18"/>
          <w:lang w:val="es-PE"/>
        </w:rPr>
      </w:pPr>
      <w:r w:rsidRPr="00BF09A0">
        <w:rPr>
          <w:rStyle w:val="Refdenotaalpie"/>
          <w:sz w:val="18"/>
          <w:szCs w:val="18"/>
          <w:lang w:val="es-PE"/>
        </w:rPr>
        <w:footnoteRef/>
      </w:r>
      <w:r w:rsidRPr="00BF09A0">
        <w:rPr>
          <w:sz w:val="18"/>
          <w:szCs w:val="18"/>
        </w:rPr>
        <w:t xml:space="preserve"> </w:t>
      </w:r>
      <w:r w:rsidRPr="00BF09A0">
        <w:rPr>
          <w:sz w:val="18"/>
          <w:szCs w:val="18"/>
        </w:rPr>
        <w:tab/>
      </w:r>
      <w:r w:rsidRPr="00BF09A0">
        <w:rPr>
          <w:color w:val="000000"/>
          <w:sz w:val="18"/>
          <w:szCs w:val="18"/>
        </w:rPr>
        <w:t xml:space="preserve">BOCKRATH, Joseph T. (1977) </w:t>
      </w:r>
      <w:proofErr w:type="spellStart"/>
      <w:r w:rsidRPr="00BF09A0">
        <w:rPr>
          <w:i/>
          <w:iCs/>
          <w:color w:val="000000"/>
          <w:sz w:val="18"/>
          <w:szCs w:val="18"/>
        </w:rPr>
        <w:t>Insurable</w:t>
      </w:r>
      <w:proofErr w:type="spellEnd"/>
      <w:r w:rsidRPr="00BF09A0">
        <w:rPr>
          <w:i/>
          <w:iCs/>
          <w:color w:val="000000"/>
          <w:sz w:val="18"/>
          <w:szCs w:val="18"/>
        </w:rPr>
        <w:t xml:space="preserve"> </w:t>
      </w:r>
      <w:proofErr w:type="spellStart"/>
      <w:r w:rsidRPr="00BF09A0">
        <w:rPr>
          <w:i/>
          <w:iCs/>
          <w:color w:val="000000"/>
          <w:sz w:val="18"/>
          <w:szCs w:val="18"/>
        </w:rPr>
        <w:t>Interest</w:t>
      </w:r>
      <w:proofErr w:type="spellEnd"/>
      <w:r w:rsidRPr="00BF09A0">
        <w:rPr>
          <w:i/>
          <w:iCs/>
          <w:color w:val="000000"/>
          <w:sz w:val="18"/>
          <w:szCs w:val="18"/>
        </w:rPr>
        <w:t xml:space="preserve"> in </w:t>
      </w:r>
      <w:proofErr w:type="spellStart"/>
      <w:r w:rsidRPr="00BF09A0">
        <w:rPr>
          <w:i/>
          <w:iCs/>
          <w:color w:val="000000"/>
          <w:sz w:val="18"/>
          <w:szCs w:val="18"/>
        </w:rPr>
        <w:t>Maritime</w:t>
      </w:r>
      <w:proofErr w:type="spellEnd"/>
      <w:r w:rsidRPr="00BF09A0">
        <w:rPr>
          <w:i/>
          <w:iCs/>
          <w:color w:val="000000"/>
          <w:sz w:val="18"/>
          <w:szCs w:val="18"/>
        </w:rPr>
        <w:t xml:space="preserve"> </w:t>
      </w:r>
      <w:proofErr w:type="spellStart"/>
      <w:r w:rsidRPr="00BF09A0">
        <w:rPr>
          <w:i/>
          <w:iCs/>
          <w:color w:val="000000"/>
          <w:sz w:val="18"/>
          <w:szCs w:val="18"/>
        </w:rPr>
        <w:t>Law</w:t>
      </w:r>
      <w:proofErr w:type="spellEnd"/>
      <w:r w:rsidRPr="00BF09A0">
        <w:rPr>
          <w:i/>
          <w:iCs/>
          <w:color w:val="000000"/>
          <w:sz w:val="18"/>
          <w:szCs w:val="18"/>
        </w:rPr>
        <w:t>.</w:t>
      </w:r>
      <w:r w:rsidRPr="00BF09A0">
        <w:rPr>
          <w:color w:val="000000"/>
          <w:sz w:val="18"/>
          <w:szCs w:val="18"/>
        </w:rPr>
        <w:t xml:space="preserve"> </w:t>
      </w:r>
      <w:proofErr w:type="spellStart"/>
      <w:r w:rsidRPr="00BF09A0">
        <w:rPr>
          <w:color w:val="000000"/>
          <w:sz w:val="18"/>
          <w:szCs w:val="18"/>
          <w:lang w:val="es-PE"/>
        </w:rPr>
        <w:t>Journal</w:t>
      </w:r>
      <w:proofErr w:type="spellEnd"/>
      <w:r w:rsidRPr="00BF09A0">
        <w:rPr>
          <w:color w:val="000000"/>
          <w:sz w:val="18"/>
          <w:szCs w:val="18"/>
          <w:lang w:val="es-PE"/>
        </w:rPr>
        <w:t xml:space="preserve"> </w:t>
      </w:r>
      <w:proofErr w:type="spellStart"/>
      <w:r w:rsidRPr="00BF09A0">
        <w:rPr>
          <w:color w:val="000000"/>
          <w:sz w:val="18"/>
          <w:szCs w:val="18"/>
          <w:lang w:val="es-PE"/>
        </w:rPr>
        <w:t>of</w:t>
      </w:r>
      <w:proofErr w:type="spellEnd"/>
      <w:r w:rsidRPr="00BF09A0">
        <w:rPr>
          <w:color w:val="000000"/>
          <w:sz w:val="18"/>
          <w:szCs w:val="18"/>
          <w:lang w:val="es-PE"/>
        </w:rPr>
        <w:t xml:space="preserve"> </w:t>
      </w:r>
      <w:proofErr w:type="spellStart"/>
      <w:r w:rsidRPr="00BF09A0">
        <w:rPr>
          <w:color w:val="000000"/>
          <w:sz w:val="18"/>
          <w:szCs w:val="18"/>
          <w:lang w:val="es-PE"/>
        </w:rPr>
        <w:t>Maritime</w:t>
      </w:r>
      <w:proofErr w:type="spellEnd"/>
      <w:r w:rsidRPr="00BF09A0">
        <w:rPr>
          <w:color w:val="000000"/>
          <w:sz w:val="18"/>
          <w:szCs w:val="18"/>
          <w:lang w:val="es-PE"/>
        </w:rPr>
        <w:t xml:space="preserve"> </w:t>
      </w:r>
      <w:proofErr w:type="spellStart"/>
      <w:r w:rsidRPr="00BF09A0">
        <w:rPr>
          <w:color w:val="000000"/>
          <w:sz w:val="18"/>
          <w:szCs w:val="18"/>
          <w:lang w:val="es-PE"/>
        </w:rPr>
        <w:t>Law</w:t>
      </w:r>
      <w:proofErr w:type="spellEnd"/>
      <w:r w:rsidRPr="00BF09A0">
        <w:rPr>
          <w:color w:val="000000"/>
          <w:sz w:val="18"/>
          <w:szCs w:val="18"/>
          <w:lang w:val="es-PE"/>
        </w:rPr>
        <w:t xml:space="preserve"> &amp; Commerce 8 (2). Pág. 247.</w:t>
      </w:r>
    </w:p>
  </w:footnote>
  <w:footnote w:id="15">
    <w:p w:rsidRPr="00BF09A0" w:rsidR="00BF09A0" w:rsidP="00BF09A0" w:rsidRDefault="00BF09A0" w14:paraId="3B63BAB0"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color w:val="000000"/>
          <w:sz w:val="18"/>
          <w:szCs w:val="18"/>
          <w:lang w:val="es-PE"/>
        </w:rPr>
        <w:t xml:space="preserve">MAESTRO LÓPEZ, Manuel (2024). </w:t>
      </w:r>
      <w:r w:rsidRPr="00BF09A0">
        <w:rPr>
          <w:i/>
          <w:iCs/>
          <w:color w:val="000000"/>
          <w:sz w:val="18"/>
          <w:szCs w:val="18"/>
          <w:lang w:val="es-PE"/>
        </w:rPr>
        <w:t>El libro del consulado del mar y las Ordenanzas de seguros de Barcelona. Revista general de marina</w:t>
      </w:r>
      <w:r w:rsidRPr="00BF09A0">
        <w:rPr>
          <w:color w:val="000000"/>
          <w:sz w:val="18"/>
          <w:szCs w:val="18"/>
          <w:lang w:val="es-PE"/>
        </w:rPr>
        <w:t xml:space="preserve">, 287 (2). Pág. 379 y ss. </w:t>
      </w:r>
      <w:r w:rsidRPr="00BF09A0">
        <w:rPr>
          <w:color w:val="151515"/>
          <w:sz w:val="18"/>
          <w:szCs w:val="18"/>
          <w:lang w:val="es-PE"/>
        </w:rPr>
        <w:t xml:space="preserve">[en línea]. Disponible en: </w:t>
      </w:r>
      <w:hyperlink w:history="1" r:id="rId3">
        <w:r w:rsidRPr="00BF09A0">
          <w:rPr>
            <w:rStyle w:val="Hipervnculo"/>
            <w:sz w:val="18"/>
            <w:szCs w:val="18"/>
            <w:lang w:val="es-PE"/>
          </w:rPr>
          <w:t>https://bibliotecavirtual.defensa.gob.es/BVMDefensa/es/catalogo_imagenes/grupo.do?path=363712</w:t>
        </w:r>
      </w:hyperlink>
      <w:r w:rsidRPr="00BF09A0">
        <w:rPr>
          <w:color w:val="151515"/>
          <w:sz w:val="18"/>
          <w:szCs w:val="18"/>
          <w:lang w:val="es-PE"/>
        </w:rPr>
        <w:t xml:space="preserve"> (Consulta: 5 de noviembre de 2025).</w:t>
      </w:r>
    </w:p>
  </w:footnote>
  <w:footnote w:id="16">
    <w:p w:rsidRPr="00BF09A0" w:rsidR="00BF09A0" w:rsidP="00BF09A0" w:rsidRDefault="00BF09A0" w14:paraId="7BFDBEF6" w14:textId="77777777">
      <w:pPr>
        <w:pStyle w:val="Textonotapie"/>
        <w:tabs>
          <w:tab w:val="left" w:pos="284"/>
        </w:tabs>
        <w:spacing w:after="120"/>
        <w:ind w:left="284" w:hanging="284"/>
        <w:jc w:val="both"/>
        <w:rPr>
          <w:color w:val="151515"/>
          <w:sz w:val="18"/>
          <w:szCs w:val="18"/>
          <w:lang w:val="en-US"/>
        </w:rPr>
      </w:pPr>
      <w:r w:rsidRPr="00BF09A0">
        <w:rPr>
          <w:rStyle w:val="Refdenotaalpie"/>
          <w:sz w:val="18"/>
          <w:szCs w:val="18"/>
          <w:lang w:val="es-PE"/>
        </w:rPr>
        <w:footnoteRef/>
      </w:r>
      <w:r w:rsidRPr="00BF09A0">
        <w:rPr>
          <w:sz w:val="18"/>
          <w:szCs w:val="18"/>
        </w:rPr>
        <w:t xml:space="preserve"> </w:t>
      </w:r>
      <w:r w:rsidRPr="00BF09A0">
        <w:rPr>
          <w:sz w:val="18"/>
          <w:szCs w:val="18"/>
        </w:rPr>
        <w:tab/>
      </w:r>
      <w:r w:rsidRPr="00BF09A0">
        <w:rPr>
          <w:color w:val="000000"/>
          <w:sz w:val="18"/>
          <w:szCs w:val="18"/>
        </w:rPr>
        <w:t>ATMEH</w:t>
      </w:r>
      <w:r w:rsidRPr="00BF09A0">
        <w:rPr>
          <w:color w:val="151515"/>
          <w:sz w:val="18"/>
          <w:szCs w:val="18"/>
        </w:rPr>
        <w:t xml:space="preserve"> </w:t>
      </w:r>
      <w:proofErr w:type="spellStart"/>
      <w:r w:rsidRPr="00BF09A0">
        <w:rPr>
          <w:color w:val="151515"/>
          <w:sz w:val="18"/>
          <w:szCs w:val="18"/>
        </w:rPr>
        <w:t>Sharo</w:t>
      </w:r>
      <w:proofErr w:type="spellEnd"/>
      <w:r w:rsidRPr="00BF09A0">
        <w:rPr>
          <w:color w:val="151515"/>
          <w:sz w:val="18"/>
          <w:szCs w:val="18"/>
        </w:rPr>
        <w:t xml:space="preserve"> Michael (2011) </w:t>
      </w:r>
      <w:proofErr w:type="spellStart"/>
      <w:r w:rsidRPr="00BF09A0">
        <w:rPr>
          <w:i/>
          <w:iCs/>
          <w:color w:val="151515"/>
          <w:sz w:val="18"/>
          <w:szCs w:val="18"/>
        </w:rPr>
        <w:t>Regulation</w:t>
      </w:r>
      <w:proofErr w:type="spellEnd"/>
      <w:r w:rsidRPr="00BF09A0">
        <w:rPr>
          <w:i/>
          <w:iCs/>
          <w:color w:val="151515"/>
          <w:sz w:val="18"/>
          <w:szCs w:val="18"/>
        </w:rPr>
        <w:t xml:space="preserve"> </w:t>
      </w:r>
      <w:proofErr w:type="spellStart"/>
      <w:r w:rsidRPr="00BF09A0">
        <w:rPr>
          <w:i/>
          <w:iCs/>
          <w:color w:val="151515"/>
          <w:sz w:val="18"/>
          <w:szCs w:val="18"/>
        </w:rPr>
        <w:t>Not</w:t>
      </w:r>
      <w:proofErr w:type="spellEnd"/>
      <w:r w:rsidRPr="00BF09A0">
        <w:rPr>
          <w:i/>
          <w:iCs/>
          <w:color w:val="151515"/>
          <w:sz w:val="18"/>
          <w:szCs w:val="18"/>
        </w:rPr>
        <w:t xml:space="preserve"> </w:t>
      </w:r>
      <w:proofErr w:type="spellStart"/>
      <w:r w:rsidRPr="00BF09A0">
        <w:rPr>
          <w:i/>
          <w:iCs/>
          <w:color w:val="151515"/>
          <w:sz w:val="18"/>
          <w:szCs w:val="18"/>
        </w:rPr>
        <w:t>Prohibition</w:t>
      </w:r>
      <w:proofErr w:type="spellEnd"/>
      <w:r w:rsidRPr="00BF09A0">
        <w:rPr>
          <w:i/>
          <w:iCs/>
          <w:color w:val="151515"/>
          <w:sz w:val="18"/>
          <w:szCs w:val="18"/>
        </w:rPr>
        <w:t xml:space="preserve">: </w:t>
      </w:r>
      <w:proofErr w:type="spellStart"/>
      <w:r w:rsidRPr="00BF09A0">
        <w:rPr>
          <w:i/>
          <w:iCs/>
          <w:color w:val="151515"/>
          <w:sz w:val="18"/>
          <w:szCs w:val="18"/>
        </w:rPr>
        <w:t>The</w:t>
      </w:r>
      <w:proofErr w:type="spellEnd"/>
      <w:r w:rsidRPr="00BF09A0">
        <w:rPr>
          <w:i/>
          <w:iCs/>
          <w:color w:val="151515"/>
          <w:sz w:val="18"/>
          <w:szCs w:val="18"/>
        </w:rPr>
        <w:t xml:space="preserve"> Comparative Case </w:t>
      </w:r>
      <w:proofErr w:type="spellStart"/>
      <w:r w:rsidRPr="00BF09A0">
        <w:rPr>
          <w:i/>
          <w:iCs/>
          <w:color w:val="151515"/>
          <w:sz w:val="18"/>
          <w:szCs w:val="18"/>
        </w:rPr>
        <w:t>Against</w:t>
      </w:r>
      <w:proofErr w:type="spellEnd"/>
      <w:r w:rsidRPr="00BF09A0">
        <w:rPr>
          <w:i/>
          <w:iCs/>
          <w:color w:val="151515"/>
          <w:sz w:val="18"/>
          <w:szCs w:val="18"/>
        </w:rPr>
        <w:t xml:space="preserve"> </w:t>
      </w:r>
      <w:proofErr w:type="spellStart"/>
      <w:r w:rsidRPr="00BF09A0">
        <w:rPr>
          <w:i/>
          <w:iCs/>
          <w:color w:val="151515"/>
          <w:sz w:val="18"/>
          <w:szCs w:val="18"/>
        </w:rPr>
        <w:t>the</w:t>
      </w:r>
      <w:proofErr w:type="spellEnd"/>
      <w:r w:rsidRPr="00BF09A0">
        <w:rPr>
          <w:i/>
          <w:iCs/>
          <w:color w:val="151515"/>
          <w:sz w:val="18"/>
          <w:szCs w:val="18"/>
        </w:rPr>
        <w:t xml:space="preserve"> </w:t>
      </w:r>
      <w:proofErr w:type="spellStart"/>
      <w:r w:rsidRPr="00BF09A0">
        <w:rPr>
          <w:i/>
          <w:iCs/>
          <w:color w:val="151515"/>
          <w:sz w:val="18"/>
          <w:szCs w:val="18"/>
        </w:rPr>
        <w:t>Insurable</w:t>
      </w:r>
      <w:proofErr w:type="spellEnd"/>
      <w:r w:rsidRPr="00BF09A0">
        <w:rPr>
          <w:i/>
          <w:iCs/>
          <w:color w:val="151515"/>
          <w:sz w:val="18"/>
          <w:szCs w:val="18"/>
        </w:rPr>
        <w:t xml:space="preserve"> </w:t>
      </w:r>
      <w:proofErr w:type="spellStart"/>
      <w:r w:rsidRPr="00BF09A0">
        <w:rPr>
          <w:i/>
          <w:iCs/>
          <w:color w:val="151515"/>
          <w:sz w:val="18"/>
          <w:szCs w:val="18"/>
        </w:rPr>
        <w:t>Interest</w:t>
      </w:r>
      <w:proofErr w:type="spellEnd"/>
      <w:r w:rsidRPr="00BF09A0">
        <w:rPr>
          <w:i/>
          <w:iCs/>
          <w:color w:val="151515"/>
          <w:sz w:val="18"/>
          <w:szCs w:val="18"/>
        </w:rPr>
        <w:t xml:space="preserve"> Doctrine</w:t>
      </w:r>
      <w:r w:rsidRPr="00BF09A0">
        <w:rPr>
          <w:color w:val="151515"/>
          <w:sz w:val="18"/>
          <w:szCs w:val="18"/>
        </w:rPr>
        <w:t xml:space="preserve">. </w:t>
      </w:r>
      <w:proofErr w:type="spellStart"/>
      <w:r w:rsidRPr="00BF09A0">
        <w:rPr>
          <w:color w:val="151515"/>
          <w:sz w:val="18"/>
          <w:szCs w:val="18"/>
        </w:rPr>
        <w:t>Northwestern</w:t>
      </w:r>
      <w:proofErr w:type="spellEnd"/>
      <w:r w:rsidRPr="00BF09A0">
        <w:rPr>
          <w:color w:val="151515"/>
          <w:sz w:val="18"/>
          <w:szCs w:val="18"/>
        </w:rPr>
        <w:t xml:space="preserve"> </w:t>
      </w:r>
      <w:proofErr w:type="spellStart"/>
      <w:r w:rsidRPr="00BF09A0">
        <w:rPr>
          <w:color w:val="151515"/>
          <w:sz w:val="18"/>
          <w:szCs w:val="18"/>
        </w:rPr>
        <w:t>Journal</w:t>
      </w:r>
      <w:proofErr w:type="spellEnd"/>
      <w:r w:rsidRPr="00BF09A0">
        <w:rPr>
          <w:color w:val="151515"/>
          <w:sz w:val="18"/>
          <w:szCs w:val="18"/>
        </w:rPr>
        <w:t xml:space="preserve"> </w:t>
      </w:r>
      <w:proofErr w:type="spellStart"/>
      <w:r w:rsidRPr="00BF09A0">
        <w:rPr>
          <w:color w:val="151515"/>
          <w:sz w:val="18"/>
          <w:szCs w:val="18"/>
        </w:rPr>
        <w:t>of</w:t>
      </w:r>
      <w:proofErr w:type="spellEnd"/>
      <w:r w:rsidRPr="00BF09A0">
        <w:rPr>
          <w:color w:val="151515"/>
          <w:sz w:val="18"/>
          <w:szCs w:val="18"/>
        </w:rPr>
        <w:t xml:space="preserve"> International </w:t>
      </w:r>
      <w:proofErr w:type="spellStart"/>
      <w:r w:rsidRPr="00BF09A0">
        <w:rPr>
          <w:color w:val="151515"/>
          <w:sz w:val="18"/>
          <w:szCs w:val="18"/>
        </w:rPr>
        <w:t>Law</w:t>
      </w:r>
      <w:proofErr w:type="spellEnd"/>
      <w:r w:rsidRPr="00BF09A0">
        <w:rPr>
          <w:color w:val="151515"/>
          <w:sz w:val="18"/>
          <w:szCs w:val="18"/>
        </w:rPr>
        <w:t xml:space="preserve"> &amp; Business 32 (1) </w:t>
      </w:r>
      <w:bookmarkStart w:name="_Hlk209626501" w:id="3"/>
      <w:r w:rsidRPr="00BF09A0">
        <w:rPr>
          <w:color w:val="151515"/>
          <w:sz w:val="18"/>
          <w:szCs w:val="18"/>
        </w:rPr>
        <w:t xml:space="preserve">[en línea]. </w:t>
      </w:r>
      <w:bookmarkEnd w:id="3"/>
      <w:r w:rsidRPr="00BF09A0">
        <w:rPr>
          <w:color w:val="151515"/>
          <w:sz w:val="18"/>
          <w:szCs w:val="18"/>
        </w:rPr>
        <w:t>Disponible en: </w:t>
      </w:r>
      <w:hyperlink w:history="1" r:id="rId4">
        <w:r w:rsidRPr="00BF09A0">
          <w:rPr>
            <w:rStyle w:val="Hipervnculo"/>
            <w:sz w:val="18"/>
            <w:szCs w:val="18"/>
          </w:rPr>
          <w:t>https://scholarlycommons.law.northwestern.edu/njilb/vol32/iss1/3/</w:t>
        </w:r>
      </w:hyperlink>
      <w:r w:rsidRPr="00BF09A0">
        <w:rPr>
          <w:color w:val="151515"/>
          <w:sz w:val="18"/>
          <w:szCs w:val="18"/>
        </w:rPr>
        <w:t xml:space="preserve"> (Consulta: 5 de noviembre de 2025).</w:t>
      </w:r>
    </w:p>
  </w:footnote>
  <w:footnote w:id="17">
    <w:p w:rsidRPr="00BF09A0" w:rsidR="00BF09A0" w:rsidP="00BF09A0" w:rsidRDefault="00BF09A0" w14:paraId="5093D914" w14:textId="77777777">
      <w:pPr>
        <w:pStyle w:val="Textonotapie"/>
        <w:tabs>
          <w:tab w:val="left" w:pos="284"/>
        </w:tabs>
        <w:spacing w:after="120"/>
        <w:ind w:left="284" w:hanging="284"/>
        <w:jc w:val="both"/>
        <w:rPr>
          <w:color w:val="151515"/>
          <w:sz w:val="18"/>
          <w:szCs w:val="18"/>
          <w:lang w:val="es-PE"/>
        </w:rPr>
      </w:pPr>
      <w:r w:rsidRPr="00BF09A0">
        <w:rPr>
          <w:rStyle w:val="Refdenotaalpie"/>
          <w:sz w:val="18"/>
          <w:szCs w:val="18"/>
          <w:lang w:val="es-PE"/>
        </w:rPr>
        <w:footnoteRef/>
      </w:r>
      <w:r w:rsidRPr="00BF09A0">
        <w:rPr>
          <w:sz w:val="18"/>
          <w:szCs w:val="18"/>
        </w:rPr>
        <w:t xml:space="preserve"> </w:t>
      </w:r>
      <w:r w:rsidRPr="00BF09A0">
        <w:rPr>
          <w:sz w:val="18"/>
          <w:szCs w:val="18"/>
        </w:rPr>
        <w:tab/>
      </w:r>
      <w:r w:rsidRPr="00BF09A0">
        <w:rPr>
          <w:color w:val="000000"/>
          <w:sz w:val="18"/>
          <w:szCs w:val="18"/>
        </w:rPr>
        <w:t>LOSHIN</w:t>
      </w:r>
      <w:r w:rsidRPr="00BF09A0">
        <w:rPr>
          <w:color w:val="151515"/>
          <w:sz w:val="18"/>
          <w:szCs w:val="18"/>
        </w:rPr>
        <w:t xml:space="preserve">, Jacob (2007) </w:t>
      </w:r>
      <w:proofErr w:type="spellStart"/>
      <w:r w:rsidRPr="00BF09A0">
        <w:rPr>
          <w:i/>
          <w:iCs/>
          <w:color w:val="151515"/>
          <w:sz w:val="18"/>
          <w:szCs w:val="18"/>
        </w:rPr>
        <w:t>Insurance</w:t>
      </w:r>
      <w:proofErr w:type="spellEnd"/>
      <w:r w:rsidRPr="00BF09A0">
        <w:rPr>
          <w:i/>
          <w:iCs/>
          <w:color w:val="151515"/>
          <w:sz w:val="18"/>
          <w:szCs w:val="18"/>
        </w:rPr>
        <w:t xml:space="preserve"> </w:t>
      </w:r>
      <w:proofErr w:type="spellStart"/>
      <w:r w:rsidRPr="00BF09A0">
        <w:rPr>
          <w:i/>
          <w:iCs/>
          <w:color w:val="151515"/>
          <w:sz w:val="18"/>
          <w:szCs w:val="18"/>
        </w:rPr>
        <w:t>Law's</w:t>
      </w:r>
      <w:proofErr w:type="spellEnd"/>
      <w:r w:rsidRPr="00BF09A0">
        <w:rPr>
          <w:i/>
          <w:iCs/>
          <w:color w:val="151515"/>
          <w:sz w:val="18"/>
          <w:szCs w:val="18"/>
        </w:rPr>
        <w:t xml:space="preserve"> </w:t>
      </w:r>
      <w:proofErr w:type="spellStart"/>
      <w:r w:rsidRPr="00BF09A0">
        <w:rPr>
          <w:i/>
          <w:iCs/>
          <w:color w:val="151515"/>
          <w:sz w:val="18"/>
          <w:szCs w:val="18"/>
        </w:rPr>
        <w:t>Hapless</w:t>
      </w:r>
      <w:proofErr w:type="spellEnd"/>
      <w:r w:rsidRPr="00BF09A0">
        <w:rPr>
          <w:i/>
          <w:iCs/>
          <w:color w:val="151515"/>
          <w:sz w:val="18"/>
          <w:szCs w:val="18"/>
        </w:rPr>
        <w:t xml:space="preserve"> </w:t>
      </w:r>
      <w:proofErr w:type="spellStart"/>
      <w:r w:rsidRPr="00BF09A0">
        <w:rPr>
          <w:i/>
          <w:iCs/>
          <w:color w:val="151515"/>
          <w:sz w:val="18"/>
          <w:szCs w:val="18"/>
        </w:rPr>
        <w:t>Busybody</w:t>
      </w:r>
      <w:proofErr w:type="spellEnd"/>
      <w:r w:rsidRPr="00BF09A0">
        <w:rPr>
          <w:i/>
          <w:iCs/>
          <w:color w:val="151515"/>
          <w:sz w:val="18"/>
          <w:szCs w:val="18"/>
        </w:rPr>
        <w:t xml:space="preserve">: A Case </w:t>
      </w:r>
      <w:proofErr w:type="spellStart"/>
      <w:r w:rsidRPr="00BF09A0">
        <w:rPr>
          <w:i/>
          <w:iCs/>
          <w:color w:val="151515"/>
          <w:sz w:val="18"/>
          <w:szCs w:val="18"/>
        </w:rPr>
        <w:t>against</w:t>
      </w:r>
      <w:proofErr w:type="spellEnd"/>
      <w:r w:rsidRPr="00BF09A0">
        <w:rPr>
          <w:i/>
          <w:iCs/>
          <w:color w:val="151515"/>
          <w:sz w:val="18"/>
          <w:szCs w:val="18"/>
        </w:rPr>
        <w:t xml:space="preserve"> </w:t>
      </w:r>
      <w:proofErr w:type="spellStart"/>
      <w:r w:rsidRPr="00BF09A0">
        <w:rPr>
          <w:i/>
          <w:iCs/>
          <w:color w:val="151515"/>
          <w:sz w:val="18"/>
          <w:szCs w:val="18"/>
        </w:rPr>
        <w:t>the</w:t>
      </w:r>
      <w:proofErr w:type="spellEnd"/>
      <w:r w:rsidRPr="00BF09A0">
        <w:rPr>
          <w:i/>
          <w:iCs/>
          <w:color w:val="151515"/>
          <w:sz w:val="18"/>
          <w:szCs w:val="18"/>
        </w:rPr>
        <w:t xml:space="preserve"> </w:t>
      </w:r>
      <w:proofErr w:type="spellStart"/>
      <w:r w:rsidRPr="00BF09A0">
        <w:rPr>
          <w:i/>
          <w:iCs/>
          <w:color w:val="151515"/>
          <w:sz w:val="18"/>
          <w:szCs w:val="18"/>
        </w:rPr>
        <w:t>Insurable</w:t>
      </w:r>
      <w:proofErr w:type="spellEnd"/>
      <w:r w:rsidRPr="00BF09A0">
        <w:rPr>
          <w:i/>
          <w:iCs/>
          <w:color w:val="151515"/>
          <w:sz w:val="18"/>
          <w:szCs w:val="18"/>
        </w:rPr>
        <w:t xml:space="preserve"> </w:t>
      </w:r>
      <w:proofErr w:type="spellStart"/>
      <w:r w:rsidRPr="00BF09A0">
        <w:rPr>
          <w:i/>
          <w:iCs/>
          <w:color w:val="151515"/>
          <w:sz w:val="18"/>
          <w:szCs w:val="18"/>
        </w:rPr>
        <w:t>Interest</w:t>
      </w:r>
      <w:proofErr w:type="spellEnd"/>
      <w:r w:rsidRPr="00BF09A0">
        <w:rPr>
          <w:i/>
          <w:iCs/>
          <w:color w:val="151515"/>
          <w:sz w:val="18"/>
          <w:szCs w:val="18"/>
        </w:rPr>
        <w:t xml:space="preserve"> </w:t>
      </w:r>
      <w:proofErr w:type="spellStart"/>
      <w:r w:rsidRPr="00BF09A0">
        <w:rPr>
          <w:i/>
          <w:iCs/>
          <w:color w:val="151515"/>
          <w:sz w:val="18"/>
          <w:szCs w:val="18"/>
        </w:rPr>
        <w:t>Requirement</w:t>
      </w:r>
      <w:proofErr w:type="spellEnd"/>
      <w:r w:rsidRPr="00BF09A0">
        <w:rPr>
          <w:i/>
          <w:iCs/>
          <w:color w:val="151515"/>
          <w:sz w:val="18"/>
          <w:szCs w:val="18"/>
        </w:rPr>
        <w:t xml:space="preserve">. </w:t>
      </w:r>
      <w:proofErr w:type="spellStart"/>
      <w:r w:rsidRPr="00BF09A0">
        <w:rPr>
          <w:color w:val="151515"/>
          <w:sz w:val="18"/>
          <w:szCs w:val="18"/>
          <w:lang w:val="es-PE"/>
        </w:rPr>
        <w:t>The</w:t>
      </w:r>
      <w:proofErr w:type="spellEnd"/>
      <w:r w:rsidRPr="00BF09A0">
        <w:rPr>
          <w:color w:val="151515"/>
          <w:sz w:val="18"/>
          <w:szCs w:val="18"/>
          <w:lang w:val="es-PE"/>
        </w:rPr>
        <w:t xml:space="preserve"> Yale </w:t>
      </w:r>
      <w:proofErr w:type="spellStart"/>
      <w:r w:rsidRPr="00BF09A0">
        <w:rPr>
          <w:color w:val="151515"/>
          <w:sz w:val="18"/>
          <w:szCs w:val="18"/>
          <w:lang w:val="es-PE"/>
        </w:rPr>
        <w:t>Law</w:t>
      </w:r>
      <w:proofErr w:type="spellEnd"/>
      <w:r w:rsidRPr="00BF09A0">
        <w:rPr>
          <w:color w:val="151515"/>
          <w:sz w:val="18"/>
          <w:szCs w:val="18"/>
          <w:lang w:val="es-PE"/>
        </w:rPr>
        <w:t xml:space="preserve"> </w:t>
      </w:r>
      <w:proofErr w:type="spellStart"/>
      <w:r w:rsidRPr="00BF09A0">
        <w:rPr>
          <w:color w:val="151515"/>
          <w:sz w:val="18"/>
          <w:szCs w:val="18"/>
          <w:lang w:val="es-PE"/>
        </w:rPr>
        <w:t>Journal</w:t>
      </w:r>
      <w:proofErr w:type="spellEnd"/>
      <w:r w:rsidRPr="00BF09A0">
        <w:rPr>
          <w:color w:val="151515"/>
          <w:sz w:val="18"/>
          <w:szCs w:val="18"/>
          <w:lang w:val="es-PE"/>
        </w:rPr>
        <w:t xml:space="preserve">, 117 (3). Pág. 480. </w:t>
      </w:r>
    </w:p>
  </w:footnote>
  <w:footnote w:id="18">
    <w:p w:rsidRPr="00BF09A0" w:rsidR="00BF09A0" w:rsidP="00BF09A0" w:rsidRDefault="00BF09A0" w14:paraId="52FBBBE4"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bookmarkStart w:name="_Hlk213429846" w:id="4"/>
      <w:r w:rsidRPr="00BF09A0">
        <w:rPr>
          <w:noProof/>
          <w:sz w:val="18"/>
          <w:szCs w:val="18"/>
          <w:lang w:val="es-PE"/>
        </w:rPr>
        <w:t>&lt;</w:t>
      </w:r>
      <w:r w:rsidRPr="00BF09A0">
        <w:rPr>
          <w:color w:val="151515"/>
          <w:sz w:val="18"/>
          <w:szCs w:val="18"/>
          <w:lang w:val="es-PE"/>
        </w:rPr>
        <w:t>Interés asegurable</w:t>
      </w:r>
      <w:r w:rsidRPr="00BF09A0">
        <w:rPr>
          <w:noProof/>
          <w:sz w:val="18"/>
          <w:szCs w:val="18"/>
          <w:lang w:val="es-PE"/>
        </w:rPr>
        <w:t xml:space="preserve">&gt; en: </w:t>
      </w:r>
      <w:r w:rsidRPr="00BF09A0">
        <w:rPr>
          <w:sz w:val="18"/>
          <w:szCs w:val="18"/>
          <w:lang w:val="es-PE"/>
        </w:rPr>
        <w:t xml:space="preserve">Diccionario de Seguros. </w:t>
      </w:r>
      <w:r w:rsidRPr="00BF09A0">
        <w:rPr>
          <w:color w:val="000000"/>
          <w:sz w:val="18"/>
          <w:szCs w:val="18"/>
          <w:lang w:val="es-PE"/>
        </w:rPr>
        <w:t>Fundación</w:t>
      </w:r>
      <w:r w:rsidRPr="00BF09A0">
        <w:rPr>
          <w:sz w:val="18"/>
          <w:szCs w:val="18"/>
          <w:lang w:val="es-PE"/>
        </w:rPr>
        <w:t xml:space="preserve"> MAPFRE. [en línea]. Disponible en: </w:t>
      </w:r>
      <w:hyperlink w:history="1" r:id="rId5">
        <w:r w:rsidRPr="00BF09A0">
          <w:rPr>
            <w:rStyle w:val="Hipervnculo"/>
            <w:sz w:val="18"/>
            <w:szCs w:val="18"/>
            <w:lang w:val="es-PE"/>
          </w:rPr>
          <w:t>https://www.fundacionmapfre.org/publicaciones/diccionario-mapfre-seguros/</w:t>
        </w:r>
      </w:hyperlink>
      <w:r w:rsidRPr="00BF09A0">
        <w:rPr>
          <w:sz w:val="18"/>
          <w:szCs w:val="18"/>
          <w:lang w:val="es-PE"/>
        </w:rPr>
        <w:t xml:space="preserve"> (Consulta: 5 de noviembre de 2025).</w:t>
      </w:r>
      <w:bookmarkEnd w:id="4"/>
    </w:p>
  </w:footnote>
  <w:footnote w:id="19">
    <w:p w:rsidRPr="00BF09A0" w:rsidR="00BF09A0" w:rsidP="00BF09A0" w:rsidRDefault="00BF09A0" w14:paraId="1E63FBB0"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color w:val="151515"/>
          <w:sz w:val="18"/>
          <w:szCs w:val="18"/>
          <w:lang w:val="es-PE"/>
        </w:rPr>
        <w:t>Resolución DEFASEG 43/19 (</w:t>
      </w:r>
      <w:r w:rsidRPr="00BF09A0">
        <w:rPr>
          <w:i/>
          <w:iCs/>
          <w:color w:val="151515"/>
          <w:sz w:val="18"/>
          <w:szCs w:val="18"/>
          <w:u w:val="single"/>
          <w:lang w:val="es-PE"/>
        </w:rPr>
        <w:t xml:space="preserve">Expediente </w:t>
      </w:r>
      <w:proofErr w:type="spellStart"/>
      <w:r w:rsidRPr="00BF09A0">
        <w:rPr>
          <w:i/>
          <w:iCs/>
          <w:color w:val="151515"/>
          <w:sz w:val="18"/>
          <w:szCs w:val="18"/>
          <w:u w:val="single"/>
          <w:lang w:val="es-PE"/>
        </w:rPr>
        <w:t>n.°</w:t>
      </w:r>
      <w:proofErr w:type="spellEnd"/>
      <w:r w:rsidRPr="00BF09A0">
        <w:rPr>
          <w:i/>
          <w:iCs/>
          <w:color w:val="151515"/>
          <w:sz w:val="18"/>
          <w:szCs w:val="18"/>
          <w:u w:val="single"/>
          <w:lang w:val="es-PE"/>
        </w:rPr>
        <w:t xml:space="preserve"> 4035, Toribio </w:t>
      </w:r>
      <w:proofErr w:type="spellStart"/>
      <w:r w:rsidRPr="00BF09A0">
        <w:rPr>
          <w:i/>
          <w:iCs/>
          <w:color w:val="151515"/>
          <w:sz w:val="18"/>
          <w:szCs w:val="18"/>
          <w:u w:val="single"/>
          <w:lang w:val="es-PE"/>
        </w:rPr>
        <w:t>Anastacio</w:t>
      </w:r>
      <w:proofErr w:type="spellEnd"/>
      <w:r w:rsidRPr="00BF09A0">
        <w:rPr>
          <w:i/>
          <w:iCs/>
          <w:color w:val="151515"/>
          <w:sz w:val="18"/>
          <w:szCs w:val="18"/>
          <w:u w:val="single"/>
          <w:lang w:val="es-PE"/>
        </w:rPr>
        <w:t xml:space="preserve"> v. Rímac</w:t>
      </w:r>
      <w:bookmarkStart w:name="OLE_LINK2" w:id="5"/>
      <w:r w:rsidRPr="00BF09A0">
        <w:rPr>
          <w:color w:val="151515"/>
          <w:sz w:val="18"/>
          <w:szCs w:val="18"/>
          <w:lang w:val="es-PE"/>
        </w:rPr>
        <w:t>) del 1 de abril de 2019.</w:t>
      </w:r>
      <w:bookmarkEnd w:id="5"/>
    </w:p>
  </w:footnote>
  <w:footnote w:id="20">
    <w:p w:rsidRPr="00BF09A0" w:rsidR="00BF09A0" w:rsidP="00BF09A0" w:rsidRDefault="00BF09A0" w14:paraId="7CBB4AF4"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Código Civil</w:t>
      </w:r>
    </w:p>
    <w:p w:rsidRPr="00BF09A0" w:rsidR="00BF09A0" w:rsidP="00BF09A0" w:rsidRDefault="00BF09A0" w14:paraId="38375F70" w14:textId="77777777">
      <w:pPr>
        <w:pStyle w:val="Textonotapie"/>
        <w:tabs>
          <w:tab w:val="left" w:pos="284"/>
        </w:tabs>
        <w:spacing w:after="120"/>
        <w:ind w:left="284" w:hanging="284"/>
        <w:jc w:val="both"/>
        <w:rPr>
          <w:sz w:val="18"/>
          <w:szCs w:val="18"/>
          <w:lang w:val="es-PE"/>
        </w:rPr>
      </w:pPr>
      <w:r w:rsidRPr="00BF09A0">
        <w:rPr>
          <w:b/>
          <w:bCs/>
          <w:sz w:val="18"/>
          <w:szCs w:val="18"/>
          <w:lang w:val="es-PE"/>
        </w:rPr>
        <w:tab/>
      </w:r>
      <w:r w:rsidRPr="00BF09A0">
        <w:rPr>
          <w:b/>
          <w:bCs/>
          <w:sz w:val="18"/>
          <w:szCs w:val="18"/>
          <w:lang w:val="es-PE"/>
        </w:rPr>
        <w:t xml:space="preserve">Artículo 947.- </w:t>
      </w:r>
      <w:r w:rsidRPr="00BF09A0">
        <w:rPr>
          <w:sz w:val="18"/>
          <w:szCs w:val="18"/>
          <w:lang w:val="es-PE"/>
        </w:rPr>
        <w:t>La transferencia de propiedad de una cosa mueble determinada se efectúa con la tradición a su acreedor salvo disposición legal diferente.</w:t>
      </w:r>
    </w:p>
  </w:footnote>
  <w:footnote w:id="21">
    <w:p w:rsidRPr="00BF09A0" w:rsidR="00BF09A0" w:rsidP="00BF09A0" w:rsidRDefault="00BF09A0" w14:paraId="3F551BA3"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sz w:val="18"/>
          <w:szCs w:val="18"/>
          <w:lang w:val="es-PE"/>
        </w:rPr>
        <w:t>Fernando, LOPEZ DE ZAVALIA señala sobre el particular que el título, es el acto que por sí solo no transmite el dominio, pero que sirve mediatamente para ello, al explicar y justificar el modo, dándole su razón de ser, mientras que el modo, es el acto que sirve inmediatamente para la transmisión del dominio, de tal manera que sólo reunidos el título y el modo se adquiere el derecho de propiedad. Citado por TORRES MÉNDEZ, Miguel (1991).  La transferencia de propiedad de los bienes muebles incorporales en el Código Civil. Derecho PUCP, 45. Pág. 162.</w:t>
      </w:r>
    </w:p>
  </w:footnote>
  <w:footnote w:id="28235">
    <w:p w:rsidRPr="00BF09A0" w:rsidR="00BF09A0" w:rsidP="00BF09A0" w:rsidRDefault="00BF09A0" w14:paraId="3F120EC9"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Código Civil</w:t>
      </w:r>
    </w:p>
    <w:p w:rsidRPr="00BF09A0" w:rsidR="00BF09A0" w:rsidP="00BF09A0" w:rsidRDefault="00BF09A0" w14:paraId="32CE154E" w14:textId="77777777">
      <w:pPr>
        <w:pStyle w:val="Textonotapie"/>
        <w:tabs>
          <w:tab w:val="left" w:pos="284"/>
        </w:tabs>
        <w:spacing w:after="120"/>
        <w:ind w:left="284" w:hanging="284"/>
        <w:jc w:val="both"/>
        <w:rPr>
          <w:sz w:val="18"/>
          <w:szCs w:val="18"/>
          <w:lang w:val="es-PE"/>
        </w:rPr>
      </w:pPr>
      <w:r w:rsidRPr="00BF09A0">
        <w:rPr>
          <w:sz w:val="18"/>
          <w:szCs w:val="18"/>
          <w:lang w:val="es-PE"/>
        </w:rPr>
        <w:tab/>
      </w:r>
      <w:r w:rsidRPr="00BF09A0">
        <w:rPr>
          <w:b/>
          <w:bCs/>
          <w:sz w:val="18"/>
          <w:szCs w:val="18"/>
          <w:lang w:val="es-PE"/>
        </w:rPr>
        <w:t>Artículo 901.-</w:t>
      </w:r>
      <w:r w:rsidRPr="00BF09A0">
        <w:rPr>
          <w:sz w:val="18"/>
          <w:szCs w:val="18"/>
          <w:lang w:val="es-PE"/>
        </w:rPr>
        <w:t> La tradición se realiza mediante la entrega del bien a quien debe recibirlo o a la persona designada por él o por la ley y con las formalidades que ésta establece.</w:t>
      </w:r>
    </w:p>
  </w:footnote>
  <w:footnote w:id="9110">
    <w:p w:rsidRPr="00BF09A0" w:rsidR="00BF09A0" w:rsidP="00BF09A0" w:rsidRDefault="00BF09A0" w14:paraId="27141479"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sz w:val="18"/>
          <w:szCs w:val="18"/>
          <w:lang w:val="es-PE"/>
        </w:rPr>
        <w:t>Pleno Jurisdiccional Nacional Civil realizado en la Ciudad de Lima el 20 de octubre de 2012.</w:t>
      </w:r>
    </w:p>
  </w:footnote>
  <w:footnote w:id="11571">
    <w:p w:rsidRPr="00BF09A0" w:rsidR="00BF09A0" w:rsidP="00BF09A0" w:rsidRDefault="00BF09A0" w14:paraId="48623634"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sz w:val="18"/>
          <w:szCs w:val="18"/>
          <w:lang w:val="es-PE"/>
        </w:rPr>
        <w:t xml:space="preserve">Resolución del Tribunal Registral </w:t>
      </w:r>
      <w:proofErr w:type="spellStart"/>
      <w:r w:rsidRPr="00BF09A0">
        <w:rPr>
          <w:sz w:val="18"/>
          <w:szCs w:val="18"/>
          <w:lang w:val="es-PE"/>
        </w:rPr>
        <w:t>n.°</w:t>
      </w:r>
      <w:proofErr w:type="spellEnd"/>
      <w:r w:rsidRPr="00BF09A0">
        <w:rPr>
          <w:sz w:val="18"/>
          <w:szCs w:val="18"/>
          <w:lang w:val="es-PE"/>
        </w:rPr>
        <w:t xml:space="preserve"> 863-2008-SUNARP-TR-L del 15 de agosto de 2008.</w:t>
      </w:r>
    </w:p>
  </w:footnote>
  <w:footnote w:id="25">
    <w:p w:rsidRPr="00BF09A0" w:rsidR="00BF09A0" w:rsidP="00BF09A0" w:rsidRDefault="00BF09A0" w14:paraId="7AC65755"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Código Civil</w:t>
      </w:r>
    </w:p>
    <w:p w:rsidRPr="00BF09A0" w:rsidR="00BF09A0" w:rsidP="00BF09A0" w:rsidRDefault="00BF09A0" w14:paraId="26114E0B" w14:textId="77777777">
      <w:pPr>
        <w:pStyle w:val="Textonotapie"/>
        <w:tabs>
          <w:tab w:val="left" w:pos="284"/>
        </w:tabs>
        <w:spacing w:after="60"/>
        <w:ind w:left="284" w:hanging="284"/>
        <w:jc w:val="both"/>
        <w:rPr>
          <w:sz w:val="18"/>
          <w:szCs w:val="18"/>
          <w:lang w:val="es-PE"/>
        </w:rPr>
      </w:pPr>
      <w:r w:rsidRPr="00BF09A0">
        <w:rPr>
          <w:sz w:val="18"/>
          <w:szCs w:val="18"/>
          <w:lang w:val="es-PE"/>
        </w:rPr>
        <w:tab/>
      </w:r>
      <w:r w:rsidRPr="00BF09A0">
        <w:rPr>
          <w:b/>
          <w:bCs/>
          <w:sz w:val="18"/>
          <w:szCs w:val="18"/>
          <w:lang w:val="es-PE"/>
        </w:rPr>
        <w:t xml:space="preserve">Artículo 902.- </w:t>
      </w:r>
      <w:r w:rsidRPr="00BF09A0">
        <w:rPr>
          <w:sz w:val="18"/>
          <w:szCs w:val="18"/>
          <w:lang w:val="es-PE"/>
        </w:rPr>
        <w:t>La tradición también se considera realizada:</w:t>
      </w:r>
    </w:p>
    <w:p w:rsidRPr="00BF09A0" w:rsidR="00BF09A0" w:rsidP="00BF09A0" w:rsidRDefault="00BF09A0" w14:paraId="00EBC0B6" w14:textId="77777777">
      <w:pPr>
        <w:pStyle w:val="Textonotapie"/>
        <w:tabs>
          <w:tab w:val="left" w:pos="567"/>
        </w:tabs>
        <w:spacing w:after="60"/>
        <w:ind w:left="567" w:hanging="283"/>
        <w:jc w:val="both"/>
        <w:rPr>
          <w:sz w:val="18"/>
          <w:szCs w:val="18"/>
          <w:lang w:val="es-PE"/>
        </w:rPr>
      </w:pPr>
      <w:r w:rsidRPr="00BF09A0">
        <w:rPr>
          <w:sz w:val="18"/>
          <w:szCs w:val="18"/>
          <w:lang w:val="es-PE"/>
        </w:rPr>
        <w:t>1.- Cuando cambia el título posesorio de quien está poseyendo.</w:t>
      </w:r>
    </w:p>
    <w:p w:rsidRPr="00BF09A0" w:rsidR="00BF09A0" w:rsidP="00BF09A0" w:rsidRDefault="00BF09A0" w14:paraId="6F4CA8E2" w14:textId="77777777">
      <w:pPr>
        <w:pStyle w:val="Textonotapie"/>
        <w:tabs>
          <w:tab w:val="left" w:pos="567"/>
        </w:tabs>
        <w:spacing w:after="120"/>
        <w:ind w:left="567" w:hanging="283"/>
        <w:jc w:val="both"/>
        <w:rPr>
          <w:sz w:val="18"/>
          <w:szCs w:val="18"/>
          <w:lang w:val="es-PE"/>
        </w:rPr>
      </w:pPr>
      <w:r w:rsidRPr="00BF09A0">
        <w:rPr>
          <w:sz w:val="18"/>
          <w:szCs w:val="18"/>
          <w:lang w:val="es-PE"/>
        </w:rPr>
        <w:t>2.- Cuando se transfiere el bien que está en poder de un tercero. En este caso, la tradición produce efecto en cuanto al tercero sólo desde que es comunicada por escrito.</w:t>
      </w:r>
    </w:p>
  </w:footnote>
  <w:footnote w:id="26">
    <w:p w:rsidRPr="00BF09A0" w:rsidR="00BF09A0" w:rsidP="00BF09A0" w:rsidRDefault="00BF09A0" w14:paraId="6AF7CABB"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Código Civil</w:t>
      </w:r>
    </w:p>
    <w:p w:rsidRPr="00BF09A0" w:rsidR="00BF09A0" w:rsidP="00BF09A0" w:rsidRDefault="00BF09A0" w14:paraId="3F294B37" w14:textId="77777777">
      <w:pPr>
        <w:pStyle w:val="Textonotapie"/>
        <w:tabs>
          <w:tab w:val="left" w:pos="284"/>
        </w:tabs>
        <w:spacing w:after="60"/>
        <w:ind w:left="284" w:hanging="284"/>
        <w:jc w:val="both"/>
        <w:rPr>
          <w:sz w:val="18"/>
          <w:szCs w:val="18"/>
          <w:lang w:val="es-PE"/>
        </w:rPr>
      </w:pPr>
      <w:r w:rsidRPr="00BF09A0">
        <w:rPr>
          <w:sz w:val="18"/>
          <w:szCs w:val="18"/>
          <w:lang w:val="es-PE"/>
        </w:rPr>
        <w:tab/>
      </w:r>
      <w:r w:rsidRPr="00BF09A0">
        <w:rPr>
          <w:b/>
          <w:bCs/>
          <w:sz w:val="18"/>
          <w:szCs w:val="18"/>
          <w:lang w:val="es-PE"/>
        </w:rPr>
        <w:t>Artículo 903.- </w:t>
      </w:r>
      <w:r w:rsidRPr="00BF09A0">
        <w:rPr>
          <w:sz w:val="18"/>
          <w:szCs w:val="18"/>
          <w:lang w:val="es-PE"/>
        </w:rPr>
        <w:t>Tratándose de artículos en viaje o sujetos al régimen de almacenes generales, la tradición se realiza por la entrega de los documentos destinados a recogerlos.</w:t>
      </w:r>
    </w:p>
    <w:p w:rsidRPr="00BF09A0" w:rsidR="00BF09A0" w:rsidP="00BF09A0" w:rsidRDefault="00BF09A0" w14:paraId="2E374A62" w14:textId="77777777">
      <w:pPr>
        <w:pStyle w:val="Textonotapie"/>
        <w:tabs>
          <w:tab w:val="left" w:pos="284"/>
        </w:tabs>
        <w:spacing w:after="120"/>
        <w:ind w:left="284" w:hanging="284"/>
        <w:jc w:val="both"/>
        <w:rPr>
          <w:sz w:val="18"/>
          <w:szCs w:val="18"/>
          <w:lang w:val="es-PE"/>
        </w:rPr>
      </w:pPr>
      <w:r w:rsidRPr="00BF09A0">
        <w:rPr>
          <w:sz w:val="18"/>
          <w:szCs w:val="18"/>
          <w:lang w:val="es-PE"/>
        </w:rPr>
        <w:tab/>
      </w:r>
      <w:r w:rsidRPr="00BF09A0">
        <w:rPr>
          <w:sz w:val="18"/>
          <w:szCs w:val="18"/>
          <w:lang w:val="es-PE"/>
        </w:rPr>
        <w:t xml:space="preserve">Sin embargo, el adquirente de buena fe de objetos no identificables, a quien se hubiere hecho entrega de </w:t>
      </w:r>
      <w:proofErr w:type="gramStart"/>
      <w:r w:rsidRPr="00BF09A0">
        <w:rPr>
          <w:sz w:val="18"/>
          <w:szCs w:val="18"/>
          <w:lang w:val="es-PE"/>
        </w:rPr>
        <w:t>los mismos</w:t>
      </w:r>
      <w:proofErr w:type="gramEnd"/>
      <w:r w:rsidRPr="00BF09A0">
        <w:rPr>
          <w:sz w:val="18"/>
          <w:szCs w:val="18"/>
          <w:lang w:val="es-PE"/>
        </w:rPr>
        <w:t>, tiene preferencia sobre el tenedor de los documentos, salvo prueba en contrario.</w:t>
      </w:r>
    </w:p>
  </w:footnote>
  <w:footnote w:id="27">
    <w:p w:rsidRPr="00BF09A0" w:rsidR="00BF09A0" w:rsidP="00BF09A0" w:rsidRDefault="00BF09A0" w14:paraId="1A2D5D6E"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sz w:val="18"/>
          <w:szCs w:val="18"/>
          <w:lang w:val="es-PE"/>
        </w:rPr>
        <w:t xml:space="preserve">AVENDAÑO VALDEZ, Jorge (1985). La transferencia de la propiedad mueble en el nuevo Código Civil, Themis, 2. Pág. 6; ESCOBAR ROZAS, Freddy (1992). </w:t>
      </w:r>
      <w:r w:rsidRPr="00BF09A0">
        <w:rPr>
          <w:i/>
          <w:iCs/>
          <w:sz w:val="18"/>
          <w:szCs w:val="18"/>
          <w:lang w:val="es-PE"/>
        </w:rPr>
        <w:t xml:space="preserve">En el Código Civil peruano, ¿es el contrato de compraventa el que transfiere la propiedad mueble?, </w:t>
      </w:r>
      <w:r w:rsidRPr="00BF09A0">
        <w:rPr>
          <w:sz w:val="18"/>
          <w:szCs w:val="18"/>
          <w:lang w:val="es-PE"/>
        </w:rPr>
        <w:t xml:space="preserve">Ius et Veritas, 5. Pág. 74; y, TORRES MÉNDEZ, M. (1991). </w:t>
      </w:r>
      <w:r w:rsidRPr="00BF09A0">
        <w:rPr>
          <w:i/>
          <w:iCs/>
          <w:sz w:val="18"/>
          <w:szCs w:val="18"/>
          <w:lang w:val="es-PE"/>
        </w:rPr>
        <w:t>La transferencia de propiedad de los bienes muebles incorporales en el código Civil</w:t>
      </w:r>
      <w:r w:rsidRPr="00BF09A0">
        <w:rPr>
          <w:sz w:val="18"/>
          <w:szCs w:val="18"/>
          <w:lang w:val="es-PE"/>
        </w:rPr>
        <w:t>. Derecho PUCP, 45. Pág. 159–175.</w:t>
      </w:r>
    </w:p>
  </w:footnote>
  <w:footnote w:id="28">
    <w:p w:rsidRPr="00BF09A0" w:rsidR="00BF09A0" w:rsidP="00BF09A0" w:rsidRDefault="00BF09A0" w14:paraId="596617E8"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sz w:val="18"/>
          <w:szCs w:val="18"/>
          <w:lang w:val="es-PE"/>
        </w:rPr>
        <w:t>En el Perú, el arrendador financiero es necesariamente una empresa bancaria, financiera o cualquier otra autorizada por la Superintendencia de Banca, Seguros y AFP para efectuar este tipo de operaciones.</w:t>
      </w:r>
    </w:p>
  </w:footnote>
  <w:footnote w:id="29">
    <w:p w:rsidRPr="00BF09A0" w:rsidR="00BF09A0" w:rsidP="00BF09A0" w:rsidRDefault="00BF09A0" w14:paraId="3CAFFC0B"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sz w:val="18"/>
          <w:szCs w:val="18"/>
          <w:lang w:val="es-PE"/>
        </w:rPr>
        <w:t xml:space="preserve">El arrendamiento financiero se encuentra regulado en el Perú por el Decreto Legislativo </w:t>
      </w:r>
      <w:proofErr w:type="spellStart"/>
      <w:r w:rsidRPr="00BF09A0">
        <w:rPr>
          <w:sz w:val="18"/>
          <w:szCs w:val="18"/>
          <w:lang w:val="es-PE"/>
        </w:rPr>
        <w:t>n.°</w:t>
      </w:r>
      <w:proofErr w:type="spellEnd"/>
      <w:r w:rsidRPr="00BF09A0">
        <w:rPr>
          <w:sz w:val="18"/>
          <w:szCs w:val="18"/>
          <w:lang w:val="es-PE"/>
        </w:rPr>
        <w:t xml:space="preserve"> 299 (Ley de arrendamiento financiero), norma que define el contrato de arrendamiento de financiero en su artículo 1 de la siguiente forma: Considérese Arrendamiento Financiero, el Contrato Mercantil que tiene  por objeto la locación de bienes muebles o inmuebles por una empresa locadora para el uso por la arrendataria, mediante pago de cuotas periódicas y con opción a favor de la  arrendataria de  comprar dichos bienes por un valor pactado.</w:t>
      </w:r>
    </w:p>
  </w:footnote>
  <w:footnote w:id="30">
    <w:p w:rsidRPr="00BF09A0" w:rsidR="00BF09A0" w:rsidP="00BF09A0" w:rsidRDefault="00BF09A0" w14:paraId="466506E4"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ab/>
      </w:r>
      <w:r w:rsidRPr="00BF09A0">
        <w:rPr>
          <w:sz w:val="18"/>
          <w:szCs w:val="18"/>
          <w:lang w:val="es-PE"/>
        </w:rPr>
        <w:t xml:space="preserve">SORIA AGUILAR, Alfredo (2008). </w:t>
      </w:r>
      <w:r w:rsidRPr="00BF09A0">
        <w:rPr>
          <w:i/>
          <w:iCs/>
          <w:sz w:val="18"/>
          <w:szCs w:val="18"/>
          <w:lang w:val="es-PE"/>
        </w:rPr>
        <w:t>El contrato de leasing: algunos apuntes acerca de su actual regulación en el Perú</w:t>
      </w:r>
      <w:r w:rsidRPr="00BF09A0">
        <w:rPr>
          <w:sz w:val="18"/>
          <w:szCs w:val="18"/>
          <w:lang w:val="es-PE"/>
        </w:rPr>
        <w:t>. Derecho &amp; Sociedad, 30. Pág. 381.</w:t>
      </w:r>
    </w:p>
  </w:footnote>
  <w:footnote w:id="5005">
    <w:p w:rsidRPr="00BF09A0" w:rsidR="00BF09A0" w:rsidP="00BF09A0" w:rsidRDefault="00BF09A0" w14:paraId="2CC62AF3" w14:textId="73F89BA4">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sidR="3541BDFD">
        <w:rPr>
          <w:sz w:val="18"/>
          <w:szCs w:val="18"/>
          <w:lang w:val="es-PE"/>
        </w:rPr>
        <w:t xml:space="preserve"> </w:t>
      </w:r>
      <w:r w:rsidRPr="00BF09A0">
        <w:rPr>
          <w:sz w:val="18"/>
          <w:szCs w:val="18"/>
          <w:lang w:val="es-PE"/>
        </w:rPr>
        <w:tab/>
      </w:r>
      <w:r w:rsidRPr="00BF09A0" w:rsidR="3541BDFD">
        <w:rPr>
          <w:color w:val="151515"/>
          <w:sz w:val="18"/>
          <w:szCs w:val="18"/>
          <w:lang w:val="es-PE"/>
        </w:rPr>
        <w:t>Resolución DEFASEG 34/25 (</w:t>
      </w:r>
      <w:r w:rsidRPr="3541BDFD" w:rsidR="3541BDFD">
        <w:rPr>
          <w:i w:val="1"/>
          <w:iCs w:val="1"/>
          <w:color w:val="151515"/>
          <w:sz w:val="18"/>
          <w:szCs w:val="18"/>
          <w:u w:val="single"/>
          <w:lang w:val="es-PE"/>
        </w:rPr>
        <w:t xml:space="preserve">Expediente </w:t>
      </w:r>
      <w:r w:rsidRPr="3541BDFD" w:rsidR="3541BDFD">
        <w:rPr>
          <w:i w:val="1"/>
          <w:iCs w:val="1"/>
          <w:color w:val="151515"/>
          <w:sz w:val="18"/>
          <w:szCs w:val="18"/>
          <w:u w:val="single"/>
          <w:lang w:val="es-PE"/>
        </w:rPr>
        <w:t>n.°</w:t>
      </w:r>
      <w:r w:rsidRPr="3541BDFD" w:rsidR="3541BDFD">
        <w:rPr>
          <w:i w:val="1"/>
          <w:iCs w:val="1"/>
          <w:color w:val="151515"/>
          <w:sz w:val="18"/>
          <w:szCs w:val="18"/>
          <w:u w:val="single"/>
          <w:lang w:val="es-PE"/>
        </w:rPr>
        <w:t xml:space="preserve"> 6116, Salinas Inga v. </w:t>
      </w:r>
      <w:r w:rsidRPr="3541BDFD" w:rsidR="3541BDFD">
        <w:rPr>
          <w:i w:val="1"/>
          <w:iCs w:val="1"/>
          <w:color w:val="151515"/>
          <w:sz w:val="18"/>
          <w:szCs w:val="18"/>
          <w:u w:val="single"/>
          <w:lang w:val="es-PE"/>
        </w:rPr>
        <w:t>....................</w:t>
      </w:r>
      <w:r w:rsidRPr="3541BDFD" w:rsidR="3541BDFD">
        <w:rPr>
          <w:color w:val="151515"/>
          <w:sz w:val="18"/>
          <w:szCs w:val="18"/>
          <w:lang w:val="es-PE"/>
        </w:rPr>
        <w:t>) del 13 de marzo de 2025.</w:t>
      </w:r>
    </w:p>
  </w:footnote>
  <w:footnote w:id="29941">
    <w:p w:rsidRPr="00BF09A0" w:rsidR="00BF09A0" w:rsidP="00BF09A0" w:rsidRDefault="00BF09A0" w14:paraId="496A891D"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bookmarkStart w:name="_Hlk213378836" w:id="6"/>
      <w:r w:rsidRPr="00BF09A0">
        <w:rPr>
          <w:sz w:val="18"/>
          <w:szCs w:val="18"/>
          <w:lang w:val="es-PE"/>
        </w:rPr>
        <w:tab/>
      </w:r>
      <w:bookmarkStart w:name="_Hlk213379928" w:id="7"/>
      <w:r w:rsidRPr="00BF09A0">
        <w:rPr>
          <w:noProof/>
          <w:sz w:val="18"/>
          <w:szCs w:val="18"/>
          <w:lang w:val="es-PE"/>
        </w:rPr>
        <w:t>&lt;</w:t>
      </w:r>
      <w:r w:rsidRPr="00BF09A0">
        <w:rPr>
          <w:sz w:val="18"/>
          <w:szCs w:val="18"/>
          <w:lang w:val="es-PE"/>
        </w:rPr>
        <w:t>Contingente</w:t>
      </w:r>
      <w:r w:rsidRPr="00BF09A0">
        <w:rPr>
          <w:noProof/>
          <w:sz w:val="18"/>
          <w:szCs w:val="18"/>
          <w:lang w:val="es-PE"/>
        </w:rPr>
        <w:t>&gt;</w:t>
      </w:r>
      <w:r w:rsidRPr="00BF09A0">
        <w:rPr>
          <w:sz w:val="18"/>
          <w:szCs w:val="18"/>
          <w:lang w:val="es-PE"/>
        </w:rPr>
        <w:t xml:space="preserve"> </w:t>
      </w:r>
      <w:r w:rsidRPr="00BF09A0">
        <w:rPr>
          <w:noProof/>
          <w:sz w:val="18"/>
          <w:szCs w:val="18"/>
          <w:lang w:val="es-PE"/>
        </w:rPr>
        <w:t xml:space="preserve">en: Diccionario de la lengua española. </w:t>
      </w:r>
      <w:r w:rsidRPr="00BF09A0">
        <w:rPr>
          <w:sz w:val="18"/>
          <w:szCs w:val="18"/>
          <w:lang w:val="es-PE"/>
        </w:rPr>
        <w:t xml:space="preserve">[en línea]. Disponible en: </w:t>
      </w:r>
      <w:hyperlink w:history="1" r:id="rId6">
        <w:r w:rsidRPr="00BF09A0">
          <w:rPr>
            <w:rStyle w:val="Hipervnculo"/>
            <w:noProof/>
            <w:sz w:val="18"/>
            <w:szCs w:val="18"/>
            <w:lang w:val="es-PE"/>
          </w:rPr>
          <w:t>https://dle.rae.es/</w:t>
        </w:r>
      </w:hyperlink>
      <w:r w:rsidRPr="00BF09A0">
        <w:rPr>
          <w:noProof/>
          <w:sz w:val="18"/>
          <w:szCs w:val="18"/>
          <w:lang w:val="es-PE"/>
        </w:rPr>
        <w:t>.</w:t>
      </w:r>
      <w:bookmarkEnd w:id="6"/>
      <w:r w:rsidRPr="00BF09A0">
        <w:rPr>
          <w:noProof/>
          <w:sz w:val="18"/>
          <w:szCs w:val="18"/>
          <w:lang w:val="es-PE"/>
        </w:rPr>
        <w:t xml:space="preserve"> (Consulta: 6 de noviembre de 2025).</w:t>
      </w:r>
      <w:bookmarkEnd w:id="7"/>
    </w:p>
  </w:footnote>
  <w:footnote w:id="17232">
    <w:p w:rsidRPr="00BF09A0" w:rsidR="00BF09A0" w:rsidP="00BF09A0" w:rsidRDefault="00BF09A0" w14:paraId="171AF966"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Ley de arrendamiento financiero</w:t>
      </w:r>
    </w:p>
    <w:p w:rsidRPr="00BF09A0" w:rsidR="00BF09A0" w:rsidP="00BF09A0" w:rsidRDefault="00BF09A0" w14:paraId="00DE8C0F" w14:textId="77777777">
      <w:pPr>
        <w:pStyle w:val="Textonotapie"/>
        <w:tabs>
          <w:tab w:val="left" w:pos="284"/>
        </w:tabs>
        <w:spacing w:after="120"/>
        <w:ind w:left="284" w:hanging="284"/>
        <w:jc w:val="both"/>
        <w:rPr>
          <w:noProof/>
          <w:sz w:val="18"/>
          <w:szCs w:val="18"/>
          <w:lang w:val="es-PE"/>
        </w:rPr>
      </w:pPr>
      <w:r w:rsidRPr="00BF09A0">
        <w:rPr>
          <w:b/>
          <w:bCs/>
          <w:noProof/>
          <w:sz w:val="18"/>
          <w:szCs w:val="18"/>
          <w:lang w:val="es-PE"/>
        </w:rPr>
        <w:tab/>
      </w:r>
      <w:r w:rsidRPr="00BF09A0">
        <w:rPr>
          <w:b/>
          <w:bCs/>
          <w:noProof/>
          <w:sz w:val="18"/>
          <w:szCs w:val="18"/>
          <w:lang w:val="es-PE"/>
        </w:rPr>
        <w:t>Artículo 4.-</w:t>
      </w:r>
      <w:r w:rsidRPr="00BF09A0">
        <w:rPr>
          <w:noProof/>
          <w:sz w:val="18"/>
          <w:szCs w:val="18"/>
          <w:lang w:val="es-PE"/>
        </w:rPr>
        <w:t> Los bienes materia de arrendamiento financiero, deberán ser plenamente identificados. La locadora mantendra la propiedad de dichos bienes hasta la  fecha en que surta efecto la opción de compra ejercida por la arrendataria por el valor  pactado.</w:t>
      </w:r>
    </w:p>
  </w:footnote>
  <w:footnote w:id="14038">
    <w:p w:rsidRPr="00BF09A0" w:rsidR="00BF09A0" w:rsidP="00BF09A0" w:rsidRDefault="00BF09A0" w14:paraId="74AFD24B"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Ley de arrendamiento financiero</w:t>
      </w:r>
    </w:p>
    <w:p w:rsidRPr="00BF09A0" w:rsidR="00BF09A0" w:rsidP="00BF09A0" w:rsidRDefault="00BF09A0" w14:paraId="182385F4" w14:textId="77777777">
      <w:pPr>
        <w:pStyle w:val="Textonotapie"/>
        <w:tabs>
          <w:tab w:val="left" w:pos="284"/>
        </w:tabs>
        <w:spacing w:after="120"/>
        <w:ind w:left="284" w:hanging="284"/>
        <w:jc w:val="both"/>
        <w:rPr>
          <w:noProof/>
          <w:sz w:val="18"/>
          <w:szCs w:val="18"/>
          <w:lang w:val="es-PE"/>
        </w:rPr>
      </w:pPr>
      <w:r w:rsidRPr="00BF09A0">
        <w:rPr>
          <w:noProof/>
          <w:sz w:val="18"/>
          <w:szCs w:val="18"/>
          <w:lang w:val="es-PE"/>
        </w:rPr>
        <w:t>      </w:t>
      </w:r>
      <w:r w:rsidRPr="00BF09A0">
        <w:rPr>
          <w:b/>
          <w:bCs/>
          <w:noProof/>
          <w:sz w:val="18"/>
          <w:szCs w:val="18"/>
          <w:lang w:val="es-PE"/>
        </w:rPr>
        <w:t>Artículo 7.-</w:t>
      </w:r>
      <w:r w:rsidRPr="00BF09A0">
        <w:rPr>
          <w:noProof/>
          <w:sz w:val="18"/>
          <w:szCs w:val="18"/>
          <w:lang w:val="es-PE"/>
        </w:rPr>
        <w:t xml:space="preserve"> El plazo del contrato de arrendamiento financiero será fijado por las partes, las que podrán pactar penalidades por el incumplimiento del mismo.</w:t>
      </w:r>
    </w:p>
    <w:p w:rsidRPr="00BF09A0" w:rsidR="00BF09A0" w:rsidP="00BF09A0" w:rsidRDefault="00BF09A0" w14:paraId="25D6A6A7" w14:textId="77777777">
      <w:pPr>
        <w:pStyle w:val="Textonotapie"/>
        <w:tabs>
          <w:tab w:val="left" w:pos="284"/>
        </w:tabs>
        <w:spacing w:after="120"/>
        <w:ind w:left="284" w:hanging="284"/>
        <w:jc w:val="both"/>
        <w:rPr>
          <w:noProof/>
          <w:sz w:val="18"/>
          <w:szCs w:val="18"/>
          <w:lang w:val="es-PE"/>
        </w:rPr>
      </w:pPr>
      <w:r w:rsidRPr="00BF09A0">
        <w:rPr>
          <w:b/>
          <w:bCs/>
          <w:noProof/>
          <w:sz w:val="18"/>
          <w:szCs w:val="18"/>
          <w:lang w:val="es-PE"/>
        </w:rPr>
        <w:tab/>
      </w:r>
      <w:r w:rsidRPr="00BF09A0">
        <w:rPr>
          <w:noProof/>
          <w:sz w:val="18"/>
          <w:szCs w:val="18"/>
          <w:lang w:val="es-PE"/>
        </w:rPr>
        <w:t>La opción de compra de la arrendataria tendrá obligatoriamente validez por toda la duración del contrato y podrá ser ejercida en cualquier momento hasta el vencimiento del plazo contractual. El ejercicio de la opción no podrá surtir sus efectos antes de la fecha pactada contractualmente. Este plazo no está sometido a las limitaciones del derecho común.</w:t>
      </w:r>
    </w:p>
    <w:p w:rsidRPr="00BF09A0" w:rsidR="00BF09A0" w:rsidP="00BF09A0" w:rsidRDefault="00BF09A0" w14:paraId="36C4134F" w14:textId="77777777">
      <w:pPr>
        <w:pStyle w:val="Textonotapie"/>
        <w:tabs>
          <w:tab w:val="left" w:pos="284"/>
        </w:tabs>
        <w:spacing w:after="120"/>
        <w:ind w:left="284" w:hanging="284"/>
        <w:jc w:val="both"/>
        <w:rPr>
          <w:noProof/>
          <w:sz w:val="18"/>
          <w:szCs w:val="18"/>
          <w:lang w:val="es-PE"/>
        </w:rPr>
      </w:pPr>
      <w:r w:rsidRPr="00BF09A0">
        <w:rPr>
          <w:noProof/>
          <w:sz w:val="18"/>
          <w:szCs w:val="18"/>
          <w:lang w:val="es-PE"/>
        </w:rPr>
        <w:t>     Son válidos los pactos en los que la arrendataria instruye a la locadora a ejercer la opción de compra por cuenta suya.</w:t>
      </w:r>
    </w:p>
    <w:p w:rsidRPr="00BF09A0" w:rsidR="00BF09A0" w:rsidP="00BF09A0" w:rsidRDefault="00BF09A0" w14:paraId="1B2591D9" w14:textId="77777777">
      <w:pPr>
        <w:pStyle w:val="Textonotapie"/>
        <w:tabs>
          <w:tab w:val="left" w:pos="284"/>
        </w:tabs>
        <w:spacing w:after="120"/>
        <w:ind w:left="284" w:hanging="284"/>
        <w:jc w:val="both"/>
        <w:rPr>
          <w:noProof/>
          <w:sz w:val="18"/>
          <w:szCs w:val="18"/>
          <w:lang w:val="es-PE"/>
        </w:rPr>
      </w:pPr>
      <w:r w:rsidRPr="00BF09A0">
        <w:rPr>
          <w:noProof/>
          <w:sz w:val="18"/>
          <w:szCs w:val="18"/>
          <w:lang w:val="es-PE"/>
        </w:rPr>
        <w:tab/>
      </w:r>
      <w:r w:rsidRPr="00BF09A0">
        <w:rPr>
          <w:noProof/>
          <w:sz w:val="18"/>
          <w:szCs w:val="18"/>
          <w:lang w:val="es-PE"/>
        </w:rPr>
        <w:t>En caso la arrendataria haya cumplido con pagar a la locadora el importe de las cuotas pactadas en el contrato de arrendamiento financiero, incluyendo el importe de la Opción de Compra, la locadora transferirá la propiedad de los bienes a favor de la arrendataria, conforme a lo pactado en el contrato de arrendamiento financiero. Tratándose de bienes constituidos por unidades vehiculares o bienes que cuenten con registro propio, dicha transferencia se formalizará mediante instrumentos públicos protocolares de acuerdo a lo establecido en el Decreto Legislativo n.° 1049, Decreto Legislativo del Notariado.</w:t>
      </w:r>
    </w:p>
  </w:footnote>
  <w:footnote w:id="35">
    <w:p w:rsidRPr="00BF09A0" w:rsidR="00BF09A0" w:rsidP="00BF09A0" w:rsidRDefault="00BF09A0" w14:paraId="0B58E4A3" w14:textId="77777777">
      <w:pPr>
        <w:pStyle w:val="Textonotapie"/>
        <w:tabs>
          <w:tab w:val="left" w:pos="284"/>
        </w:tabs>
        <w:spacing w:after="60"/>
        <w:ind w:left="284" w:hanging="284"/>
        <w:jc w:val="both"/>
        <w:rPr>
          <w:b/>
          <w:bCs/>
          <w:noProof/>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noProof/>
          <w:sz w:val="18"/>
          <w:szCs w:val="18"/>
          <w:lang w:val="es-PE"/>
        </w:rPr>
        <w:t>Ley de arrendamiento financiero</w:t>
      </w:r>
    </w:p>
    <w:p w:rsidRPr="00BF09A0" w:rsidR="00BF09A0" w:rsidP="00BF09A0" w:rsidRDefault="00BF09A0" w14:paraId="6C47FA88" w14:textId="77777777">
      <w:pPr>
        <w:pStyle w:val="Textonotapie"/>
        <w:tabs>
          <w:tab w:val="left" w:pos="284"/>
        </w:tabs>
        <w:spacing w:after="120"/>
        <w:ind w:left="284" w:hanging="284"/>
        <w:jc w:val="both"/>
        <w:rPr>
          <w:noProof/>
          <w:sz w:val="18"/>
          <w:szCs w:val="18"/>
          <w:lang w:val="es-PE"/>
        </w:rPr>
      </w:pPr>
      <w:r w:rsidRPr="00BF09A0">
        <w:rPr>
          <w:b/>
          <w:bCs/>
          <w:noProof/>
          <w:sz w:val="18"/>
          <w:szCs w:val="18"/>
          <w:lang w:val="es-PE"/>
        </w:rPr>
        <w:tab/>
      </w:r>
      <w:r w:rsidRPr="00BF09A0">
        <w:rPr>
          <w:b/>
          <w:bCs/>
          <w:noProof/>
          <w:sz w:val="18"/>
          <w:szCs w:val="18"/>
          <w:lang w:val="es-PE"/>
        </w:rPr>
        <w:t>Artículo 13.-</w:t>
      </w:r>
      <w:r w:rsidRPr="00BF09A0">
        <w:rPr>
          <w:noProof/>
          <w:sz w:val="18"/>
          <w:szCs w:val="18"/>
          <w:lang w:val="es-PE"/>
        </w:rPr>
        <w:t xml:space="preserve"> La arrendataria gozará para todos los efectos de sus relaciones contractuales o de actos administrativos, de los derechos y obligaciones como si tuviera la condición de propietario de los bienes materia del contrato, excepto en lo referente a la disposición o enajenación definitiva y/o constitución de gravámenes sobre los mismos.</w:t>
      </w:r>
    </w:p>
  </w:footnote>
  <w:footnote w:id="36">
    <w:p w:rsidRPr="00BF09A0" w:rsidR="00BF09A0" w:rsidP="00BF09A0" w:rsidRDefault="00BF09A0" w14:paraId="206331E3" w14:textId="77777777">
      <w:pPr>
        <w:pStyle w:val="Textonotapie"/>
        <w:tabs>
          <w:tab w:val="left" w:pos="284"/>
        </w:tabs>
        <w:spacing w:after="120"/>
        <w:ind w:left="284" w:hanging="284"/>
        <w:jc w:val="both"/>
        <w:rPr>
          <w:noProof/>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noProof/>
          <w:sz w:val="18"/>
          <w:szCs w:val="18"/>
          <w:lang w:val="es-PE"/>
        </w:rPr>
        <w:t>No obstante de lo señalado, en la Carta de rechazo se señala lo contrario, en el sentido que la Póliza se contrató sin designar al propietario del vehiculo como beneficiario de la Póliza, lo cual como hemos visto, no es una afirmación correcta.</w:t>
      </w:r>
    </w:p>
  </w:footnote>
  <w:footnote w:id="9224">
    <w:p w:rsidRPr="00BF09A0" w:rsidR="00BF09A0" w:rsidP="00BF09A0" w:rsidRDefault="00BF09A0" w14:paraId="187D9C52" w14:textId="77777777">
      <w:pPr>
        <w:pStyle w:val="Textonotapie"/>
        <w:tabs>
          <w:tab w:val="left" w:pos="284"/>
        </w:tabs>
        <w:spacing w:after="120"/>
        <w:ind w:left="284" w:hanging="284"/>
        <w:jc w:val="both"/>
        <w:rPr>
          <w:noProof/>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noProof/>
          <w:sz w:val="18"/>
          <w:szCs w:val="18"/>
          <w:lang w:val="es-PE"/>
        </w:rPr>
        <w:t>No se escuche a quien alega su propia falta de diligencia.</w:t>
      </w:r>
    </w:p>
  </w:footnote>
  <w:footnote w:id="27869">
    <w:p w:rsidRPr="00BF09A0" w:rsidR="00BF09A0" w:rsidP="00BF09A0" w:rsidRDefault="00BF09A0" w14:paraId="25E2BAE0"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Código Civil</w:t>
      </w:r>
    </w:p>
    <w:p w:rsidRPr="00BF09A0" w:rsidR="00BF09A0" w:rsidP="00BF09A0" w:rsidRDefault="00BF09A0" w14:paraId="0627E8FD" w14:textId="77777777">
      <w:pPr>
        <w:pStyle w:val="Textonotapie"/>
        <w:tabs>
          <w:tab w:val="left" w:pos="284"/>
        </w:tabs>
        <w:spacing w:after="120"/>
        <w:ind w:left="284" w:hanging="284"/>
        <w:jc w:val="both"/>
        <w:rPr>
          <w:sz w:val="18"/>
          <w:szCs w:val="18"/>
          <w:lang w:val="es-PE"/>
        </w:rPr>
      </w:pPr>
      <w:r w:rsidRPr="00BF09A0">
        <w:rPr>
          <w:b/>
          <w:bCs/>
          <w:noProof/>
          <w:sz w:val="18"/>
          <w:szCs w:val="18"/>
          <w:lang w:val="es-PE"/>
        </w:rPr>
        <w:tab/>
      </w:r>
      <w:r w:rsidRPr="00BF09A0">
        <w:rPr>
          <w:b/>
          <w:bCs/>
          <w:noProof/>
          <w:sz w:val="18"/>
          <w:szCs w:val="18"/>
          <w:lang w:val="es-PE"/>
        </w:rPr>
        <w:t>Artículo 2012.- </w:t>
      </w:r>
      <w:r w:rsidRPr="00BF09A0">
        <w:rPr>
          <w:noProof/>
          <w:sz w:val="18"/>
          <w:szCs w:val="18"/>
          <w:lang w:val="es-PE"/>
        </w:rPr>
        <w:t>Se presume, sin admitirse prueba en contrario, que toda persona tiene conocimiento del contenido de las inscripciones.</w:t>
      </w:r>
    </w:p>
  </w:footnote>
  <w:footnote w:id="24458">
    <w:p w:rsidRPr="00BF09A0" w:rsidR="00BF09A0" w:rsidP="00BF09A0" w:rsidRDefault="00BF09A0" w14:paraId="4421DB92" w14:textId="020A7EE8">
      <w:pPr>
        <w:pStyle w:val="Textonotapie"/>
        <w:tabs>
          <w:tab w:val="left" w:pos="284"/>
        </w:tabs>
        <w:spacing w:after="120"/>
        <w:ind w:left="284" w:hanging="284"/>
        <w:jc w:val="both"/>
        <w:rPr>
          <w:noProof/>
          <w:sz w:val="18"/>
          <w:szCs w:val="18"/>
          <w:lang w:val="es-PE"/>
        </w:rPr>
      </w:pPr>
      <w:r w:rsidRPr="00BF09A0">
        <w:rPr>
          <w:rStyle w:val="Refdenotaalpie"/>
          <w:sz w:val="18"/>
          <w:szCs w:val="18"/>
          <w:lang w:val="es-PE"/>
        </w:rPr>
        <w:footnoteRef/>
      </w:r>
      <w:r w:rsidRPr="00BF09A0" w:rsidR="3541BDFD">
        <w:rPr>
          <w:sz w:val="18"/>
          <w:szCs w:val="18"/>
          <w:lang w:val="es-PE"/>
        </w:rPr>
        <w:t xml:space="preserve"> </w:t>
      </w:r>
      <w:r w:rsidRPr="00BF09A0">
        <w:rPr>
          <w:sz w:val="18"/>
          <w:szCs w:val="18"/>
          <w:lang w:val="es-PE"/>
        </w:rPr>
        <w:tab/>
      </w:r>
      <w:r w:rsidRPr="00BF09A0" w:rsidR="3541BDFD">
        <w:rPr>
          <w:noProof/>
          <w:sz w:val="18"/>
          <w:szCs w:val="18"/>
          <w:lang w:val="es-PE"/>
        </w:rPr>
        <w:t xml:space="preserve">Resolución DEFASEG n.° 171/24 </w:t>
      </w:r>
      <w:r w:rsidRPr="3541BDFD" w:rsidR="3541BDFD">
        <w:rPr>
          <w:i w:val="1"/>
          <w:iCs w:val="1"/>
          <w:noProof/>
          <w:sz w:val="18"/>
          <w:szCs w:val="18"/>
          <w:lang w:val="es-PE"/>
        </w:rPr>
        <w:t>(</w:t>
      </w:r>
      <w:r w:rsidRPr="3541BDFD" w:rsidR="3541BDFD">
        <w:rPr>
          <w:i w:val="1"/>
          <w:iCs w:val="1"/>
          <w:noProof/>
          <w:sz w:val="18"/>
          <w:szCs w:val="18"/>
          <w:u w:val="single"/>
          <w:lang w:val="es-PE"/>
        </w:rPr>
        <w:t xml:space="preserve">Expediente 5934, G&amp;G Team Medical v </w:t>
      </w:r>
      <w:r w:rsidRPr="3541BDFD" w:rsidR="3541BDFD">
        <w:rPr>
          <w:i w:val="1"/>
          <w:iCs w:val="1"/>
          <w:noProof/>
          <w:sz w:val="18"/>
          <w:szCs w:val="18"/>
          <w:u w:val="single"/>
          <w:lang w:val="es-PE"/>
        </w:rPr>
        <w:t>....................</w:t>
      </w:r>
      <w:r w:rsidRPr="3541BDFD" w:rsidR="3541BDFD">
        <w:rPr>
          <w:i w:val="1"/>
          <w:iCs w:val="1"/>
          <w:noProof/>
          <w:sz w:val="18"/>
          <w:szCs w:val="18"/>
          <w:lang w:val="es-PE"/>
        </w:rPr>
        <w:t>)</w:t>
      </w:r>
      <w:r w:rsidRPr="3541BDFD" w:rsidR="3541BDFD">
        <w:rPr>
          <w:noProof/>
          <w:sz w:val="18"/>
          <w:szCs w:val="18"/>
          <w:lang w:val="es-PE"/>
        </w:rPr>
        <w:t xml:space="preserve"> del 17 de septiembre de 2024; y, Resolución DEFASEG 34/25 (</w:t>
      </w:r>
      <w:r w:rsidRPr="3541BDFD" w:rsidR="3541BDFD">
        <w:rPr>
          <w:i w:val="1"/>
          <w:iCs w:val="1"/>
          <w:noProof/>
          <w:sz w:val="18"/>
          <w:szCs w:val="18"/>
          <w:u w:val="single"/>
          <w:lang w:val="es-PE"/>
        </w:rPr>
        <w:t xml:space="preserve">Expediente n.° 6116, Salinas Inga v. </w:t>
      </w:r>
      <w:r w:rsidRPr="3541BDFD" w:rsidR="3541BDFD">
        <w:rPr>
          <w:i w:val="1"/>
          <w:iCs w:val="1"/>
          <w:noProof/>
          <w:sz w:val="18"/>
          <w:szCs w:val="18"/>
          <w:u w:val="single"/>
          <w:lang w:val="es-PE"/>
        </w:rPr>
        <w:t>....................</w:t>
      </w:r>
      <w:r w:rsidRPr="3541BDFD" w:rsidR="3541BDFD">
        <w:rPr>
          <w:noProof/>
          <w:sz w:val="18"/>
          <w:szCs w:val="18"/>
          <w:lang w:val="es-PE"/>
        </w:rPr>
        <w:t>) del 13 de marzo de 2025.</w:t>
      </w:r>
    </w:p>
  </w:footnote>
  <w:footnote w:id="40">
    <w:p w:rsidRPr="00BF09A0" w:rsidR="00BF09A0" w:rsidP="00BF09A0" w:rsidRDefault="00BF09A0" w14:paraId="61F14994" w14:textId="77777777">
      <w:pPr>
        <w:pStyle w:val="Textonotapie"/>
        <w:tabs>
          <w:tab w:val="left" w:pos="284"/>
        </w:tabs>
        <w:spacing w:after="60"/>
        <w:ind w:left="284" w:hanging="284"/>
        <w:jc w:val="both"/>
        <w:rPr>
          <w:b/>
          <w:bCs/>
          <w:color w:val="151515"/>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color w:val="151515"/>
          <w:sz w:val="18"/>
          <w:szCs w:val="18"/>
          <w:lang w:val="es-PE"/>
        </w:rPr>
        <w:t>Ley del contrato de seguro</w:t>
      </w:r>
    </w:p>
    <w:p w:rsidRPr="00BF09A0" w:rsidR="00BF09A0" w:rsidP="00BF09A0" w:rsidRDefault="00BF09A0" w14:paraId="00A08EEE" w14:textId="77777777">
      <w:pPr>
        <w:pStyle w:val="Textonotapie"/>
        <w:tabs>
          <w:tab w:val="left" w:pos="284"/>
        </w:tabs>
        <w:spacing w:after="60"/>
        <w:ind w:left="284" w:hanging="284"/>
        <w:jc w:val="both"/>
        <w:rPr>
          <w:b/>
          <w:bCs/>
          <w:color w:val="151515"/>
          <w:sz w:val="18"/>
          <w:szCs w:val="18"/>
          <w:lang w:val="es-PE"/>
        </w:rPr>
      </w:pPr>
      <w:r w:rsidRPr="00BF09A0">
        <w:rPr>
          <w:color w:val="151515"/>
          <w:sz w:val="18"/>
          <w:szCs w:val="18"/>
          <w:lang w:val="es-PE"/>
        </w:rPr>
        <w:tab/>
      </w:r>
      <w:r w:rsidRPr="00BF09A0">
        <w:rPr>
          <w:b/>
          <w:bCs/>
          <w:color w:val="151515"/>
          <w:sz w:val="18"/>
          <w:szCs w:val="18"/>
          <w:lang w:val="es-PE"/>
        </w:rPr>
        <w:t>Artículo 88o.- Medida de la cobertura de cada asegurador</w:t>
      </w:r>
    </w:p>
    <w:p w:rsidRPr="00BF09A0" w:rsidR="00BF09A0" w:rsidP="00BF09A0" w:rsidRDefault="00BF09A0" w14:paraId="2A9803F9" w14:textId="77777777">
      <w:pPr>
        <w:pStyle w:val="Textonotapie"/>
        <w:tabs>
          <w:tab w:val="left" w:pos="284"/>
        </w:tabs>
        <w:spacing w:after="60"/>
        <w:ind w:left="284" w:hanging="284"/>
        <w:jc w:val="both"/>
        <w:rPr>
          <w:color w:val="151515"/>
          <w:sz w:val="18"/>
          <w:szCs w:val="18"/>
          <w:lang w:val="es-PE"/>
        </w:rPr>
      </w:pPr>
      <w:r w:rsidRPr="00BF09A0">
        <w:rPr>
          <w:color w:val="151515"/>
          <w:sz w:val="18"/>
          <w:szCs w:val="18"/>
          <w:lang w:val="es-PE"/>
        </w:rPr>
        <w:tab/>
      </w:r>
      <w:r w:rsidRPr="00BF09A0">
        <w:rPr>
          <w:color w:val="151515"/>
          <w:sz w:val="18"/>
          <w:szCs w:val="18"/>
          <w:lang w:val="es-PE"/>
        </w:rPr>
        <w:t xml:space="preserve">En caso de siniestro, cuando no existen estipulaciones especiales en el contrato o entre los aseguradores, se entiende que cada asegurador contribuye proporcionalmente al monto de su contrato, hasta la concurrencia de la indemnización debida. En consecuencia, el contratante que asegura el </w:t>
      </w:r>
      <w:proofErr w:type="gramStart"/>
      <w:r w:rsidRPr="00BF09A0">
        <w:rPr>
          <w:color w:val="151515"/>
          <w:sz w:val="18"/>
          <w:szCs w:val="18"/>
          <w:lang w:val="es-PE"/>
        </w:rPr>
        <w:t>mismo interés y el mismo riesgo</w:t>
      </w:r>
      <w:proofErr w:type="gramEnd"/>
      <w:r w:rsidRPr="00BF09A0">
        <w:rPr>
          <w:color w:val="151515"/>
          <w:sz w:val="18"/>
          <w:szCs w:val="18"/>
          <w:lang w:val="es-PE"/>
        </w:rPr>
        <w:t xml:space="preserve"> con más de un </w:t>
      </w:r>
      <w:proofErr w:type="gramStart"/>
      <w:r w:rsidRPr="00BF09A0">
        <w:rPr>
          <w:color w:val="151515"/>
          <w:sz w:val="18"/>
          <w:szCs w:val="18"/>
          <w:lang w:val="es-PE"/>
        </w:rPr>
        <w:t>asegurador,</w:t>
      </w:r>
      <w:proofErr w:type="gramEnd"/>
      <w:r w:rsidRPr="00BF09A0">
        <w:rPr>
          <w:color w:val="151515"/>
          <w:sz w:val="18"/>
          <w:szCs w:val="18"/>
          <w:lang w:val="es-PE"/>
        </w:rPr>
        <w:t xml:space="preserve"> debe notificar sin demora a cada uno de ellos los demás contratos celebrados, con indicación del asegurador y de la suma asegurada.</w:t>
      </w:r>
    </w:p>
    <w:p w:rsidRPr="00BF09A0" w:rsidR="00BF09A0" w:rsidP="00BF09A0" w:rsidRDefault="00BF09A0" w14:paraId="24DD3430" w14:textId="77777777">
      <w:pPr>
        <w:pStyle w:val="Textonotapie"/>
        <w:tabs>
          <w:tab w:val="left" w:pos="284"/>
        </w:tabs>
        <w:spacing w:after="120"/>
        <w:ind w:left="284" w:hanging="284"/>
        <w:jc w:val="both"/>
        <w:rPr>
          <w:color w:val="151515"/>
          <w:sz w:val="18"/>
          <w:szCs w:val="18"/>
          <w:lang w:val="es-PE"/>
        </w:rPr>
      </w:pPr>
      <w:r w:rsidRPr="00BF09A0">
        <w:rPr>
          <w:color w:val="151515"/>
          <w:sz w:val="18"/>
          <w:szCs w:val="18"/>
          <w:lang w:val="es-PE"/>
        </w:rPr>
        <w:tab/>
      </w:r>
      <w:r w:rsidRPr="00BF09A0">
        <w:rPr>
          <w:color w:val="151515"/>
          <w:sz w:val="18"/>
          <w:szCs w:val="18"/>
          <w:lang w:val="es-PE"/>
        </w:rPr>
        <w:t>La liquidación de los daños se hace considerando los contratos vigentes al tiempo del siniestro. El asegurador que abona una suma mayor que la proporcionalmente a su cargo tiene acción contra el asegurado y contra los demás aseguradores para efectuar el correspondiente reajuste.</w:t>
      </w:r>
    </w:p>
  </w:footnote>
  <w:footnote w:id="41">
    <w:p w:rsidRPr="00BF09A0" w:rsidR="00BF09A0" w:rsidP="00BF09A0" w:rsidRDefault="00BF09A0" w14:paraId="5527D46A"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noProof/>
          <w:sz w:val="18"/>
          <w:szCs w:val="18"/>
          <w:lang w:val="es-PE"/>
        </w:rPr>
        <w:t>&lt;</w:t>
      </w:r>
      <w:r w:rsidRPr="00BF09A0">
        <w:rPr>
          <w:sz w:val="18"/>
          <w:szCs w:val="18"/>
          <w:lang w:val="es-PE"/>
        </w:rPr>
        <w:t>Deliberado</w:t>
      </w:r>
      <w:r w:rsidRPr="00BF09A0">
        <w:rPr>
          <w:noProof/>
          <w:sz w:val="18"/>
          <w:szCs w:val="18"/>
          <w:lang w:val="es-PE"/>
        </w:rPr>
        <w:t>&gt;</w:t>
      </w:r>
      <w:r w:rsidRPr="00BF09A0">
        <w:rPr>
          <w:sz w:val="18"/>
          <w:szCs w:val="18"/>
          <w:lang w:val="es-PE"/>
        </w:rPr>
        <w:t xml:space="preserve"> </w:t>
      </w:r>
      <w:r w:rsidRPr="00BF09A0">
        <w:rPr>
          <w:noProof/>
          <w:sz w:val="18"/>
          <w:szCs w:val="18"/>
          <w:lang w:val="es-PE"/>
        </w:rPr>
        <w:t xml:space="preserve">en: Diccionario de la lengua española. </w:t>
      </w:r>
      <w:r w:rsidRPr="00BF09A0">
        <w:rPr>
          <w:sz w:val="18"/>
          <w:szCs w:val="18"/>
          <w:lang w:val="es-PE"/>
        </w:rPr>
        <w:t xml:space="preserve">[en línea]. Disponible en: </w:t>
      </w:r>
      <w:hyperlink w:history="1" r:id="rId7">
        <w:r w:rsidRPr="00BF09A0">
          <w:rPr>
            <w:rStyle w:val="Hipervnculo"/>
            <w:noProof/>
            <w:sz w:val="18"/>
            <w:szCs w:val="18"/>
            <w:lang w:val="es-PE"/>
          </w:rPr>
          <w:t>https://dle.rae.es/</w:t>
        </w:r>
      </w:hyperlink>
      <w:r w:rsidRPr="00BF09A0">
        <w:rPr>
          <w:noProof/>
          <w:sz w:val="18"/>
          <w:szCs w:val="18"/>
          <w:lang w:val="es-PE"/>
        </w:rPr>
        <w:t>. (Consulta: 6 de noviembre de 2025).</w:t>
      </w:r>
    </w:p>
  </w:footnote>
  <w:footnote w:id="42">
    <w:p w:rsidRPr="00BF09A0" w:rsidR="00BF09A0" w:rsidP="00BF09A0" w:rsidRDefault="00BF09A0" w14:paraId="740CC6D3" w14:textId="77777777">
      <w:pPr>
        <w:pStyle w:val="Textonotapie"/>
        <w:tabs>
          <w:tab w:val="left" w:pos="284"/>
        </w:tabs>
        <w:spacing w:after="60"/>
        <w:ind w:left="284" w:hanging="284"/>
        <w:jc w:val="both"/>
        <w:rPr>
          <w:b/>
          <w:bCs/>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b/>
          <w:bCs/>
          <w:sz w:val="18"/>
          <w:szCs w:val="18"/>
          <w:lang w:val="es-PE"/>
        </w:rPr>
        <w:t>Ley del contrato de seguro</w:t>
      </w:r>
    </w:p>
    <w:p w:rsidRPr="00BF09A0" w:rsidR="00BF09A0" w:rsidP="00BF09A0" w:rsidRDefault="00BF09A0" w14:paraId="29348CC8" w14:textId="77777777">
      <w:pPr>
        <w:pStyle w:val="Textonotapie"/>
        <w:tabs>
          <w:tab w:val="left" w:pos="284"/>
        </w:tabs>
        <w:spacing w:after="120"/>
        <w:ind w:left="284" w:hanging="284"/>
        <w:jc w:val="both"/>
        <w:rPr>
          <w:b/>
          <w:bCs/>
          <w:noProof/>
          <w:sz w:val="18"/>
          <w:szCs w:val="18"/>
          <w:lang w:val="es-PE"/>
        </w:rPr>
      </w:pPr>
      <w:r w:rsidRPr="00BF09A0">
        <w:rPr>
          <w:noProof/>
          <w:sz w:val="18"/>
          <w:szCs w:val="18"/>
          <w:lang w:val="es-PE"/>
        </w:rPr>
        <w:tab/>
      </w:r>
      <w:r w:rsidRPr="00BF09A0">
        <w:rPr>
          <w:b/>
          <w:bCs/>
          <w:noProof/>
          <w:sz w:val="18"/>
          <w:szCs w:val="18"/>
          <w:lang w:val="es-PE"/>
        </w:rPr>
        <w:t>Artículo 59.- Caducidad convencional</w:t>
      </w:r>
    </w:p>
    <w:p w:rsidRPr="00BF09A0" w:rsidR="00BF09A0" w:rsidP="00BF09A0" w:rsidRDefault="00BF09A0" w14:paraId="60099F82" w14:textId="77777777">
      <w:pPr>
        <w:pStyle w:val="Textonotapie"/>
        <w:tabs>
          <w:tab w:val="left" w:pos="284"/>
        </w:tabs>
        <w:spacing w:after="120"/>
        <w:ind w:left="284" w:hanging="284"/>
        <w:jc w:val="both"/>
        <w:rPr>
          <w:noProof/>
          <w:sz w:val="18"/>
          <w:szCs w:val="18"/>
          <w:lang w:val="es-PE"/>
        </w:rPr>
      </w:pPr>
      <w:r w:rsidRPr="00BF09A0">
        <w:rPr>
          <w:noProof/>
          <w:sz w:val="18"/>
          <w:szCs w:val="18"/>
          <w:lang w:val="es-PE"/>
        </w:rPr>
        <w:tab/>
      </w:r>
      <w:r w:rsidRPr="00BF09A0">
        <w:rPr>
          <w:noProof/>
          <w:sz w:val="18"/>
          <w:szCs w:val="18"/>
          <w:lang w:val="es-PE"/>
        </w:rPr>
        <w:t>Cuando la presente ley no determine el efecto del incumplimiento de una carga impuesta al asegurado, las partes pueden convenir la caducidad de los derechos del asegurado si el incumplimiento obedece a su dolo o culpa inexcusable, de acuerdo al siguiente régimen:</w:t>
      </w:r>
    </w:p>
    <w:p w:rsidRPr="00BF09A0" w:rsidR="00BF09A0" w:rsidP="00BF09A0" w:rsidRDefault="00BF09A0" w14:paraId="6C3929AC" w14:textId="77777777">
      <w:pPr>
        <w:pStyle w:val="Textonotapie"/>
        <w:tabs>
          <w:tab w:val="left" w:pos="284"/>
        </w:tabs>
        <w:spacing w:after="120"/>
        <w:ind w:left="284" w:hanging="284"/>
        <w:jc w:val="both"/>
        <w:rPr>
          <w:noProof/>
          <w:sz w:val="18"/>
          <w:szCs w:val="18"/>
          <w:lang w:val="es-PE"/>
        </w:rPr>
      </w:pPr>
      <w:r w:rsidRPr="00BF09A0">
        <w:rPr>
          <w:noProof/>
          <w:sz w:val="18"/>
          <w:szCs w:val="18"/>
          <w:lang w:val="es-PE"/>
        </w:rPr>
        <w:tab/>
      </w:r>
      <w:r w:rsidRPr="00BF09A0">
        <w:rPr>
          <w:noProof/>
          <w:sz w:val="18"/>
          <w:szCs w:val="18"/>
          <w:lang w:val="es-PE"/>
        </w:rPr>
        <w:t>(…)</w:t>
      </w:r>
      <w:bookmarkStart w:name="_Hlk198670321" w:id="8"/>
    </w:p>
    <w:bookmarkEnd w:id="8"/>
    <w:p w:rsidRPr="00BF09A0" w:rsidR="00BF09A0" w:rsidP="00BF09A0" w:rsidRDefault="00BF09A0" w14:paraId="68009774" w14:textId="77777777">
      <w:pPr>
        <w:pStyle w:val="Textonotapie"/>
        <w:tabs>
          <w:tab w:val="left" w:pos="284"/>
        </w:tabs>
        <w:spacing w:after="120"/>
        <w:ind w:left="284" w:hanging="284"/>
        <w:jc w:val="both"/>
        <w:rPr>
          <w:b/>
          <w:bCs/>
          <w:noProof/>
          <w:sz w:val="18"/>
          <w:szCs w:val="18"/>
          <w:lang w:val="es-PE"/>
        </w:rPr>
      </w:pPr>
      <w:r w:rsidRPr="00BF09A0">
        <w:rPr>
          <w:b/>
          <w:bCs/>
          <w:noProof/>
          <w:sz w:val="18"/>
          <w:szCs w:val="18"/>
          <w:lang w:val="es-PE"/>
        </w:rPr>
        <w:tab/>
      </w:r>
      <w:r w:rsidRPr="00BF09A0">
        <w:rPr>
          <w:b/>
          <w:bCs/>
          <w:noProof/>
          <w:sz w:val="18"/>
          <w:szCs w:val="18"/>
          <w:lang w:val="es-PE"/>
        </w:rPr>
        <w:t>Cargas posteriores al siniestro</w:t>
      </w:r>
    </w:p>
    <w:p w:rsidRPr="00BF09A0" w:rsidR="00BF09A0" w:rsidP="00BF09A0" w:rsidRDefault="00BF09A0" w14:paraId="79BF3399" w14:textId="77777777">
      <w:pPr>
        <w:pStyle w:val="Textonotapie"/>
        <w:tabs>
          <w:tab w:val="left" w:pos="284"/>
          <w:tab w:val="left" w:pos="567"/>
        </w:tabs>
        <w:spacing w:after="60"/>
        <w:ind w:left="567" w:hanging="567"/>
        <w:jc w:val="both"/>
        <w:rPr>
          <w:rStyle w:val="Hipervnculo"/>
          <w:color w:val="000000" w:themeColor="text1"/>
          <w:sz w:val="18"/>
          <w:szCs w:val="18"/>
        </w:rPr>
      </w:pP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c) </w:t>
      </w:r>
      <w:r w:rsidRPr="00BF09A0">
        <w:rPr>
          <w:rStyle w:val="Hipervnculo"/>
          <w:color w:val="000000" w:themeColor="text1"/>
          <w:sz w:val="18"/>
          <w:szCs w:val="18"/>
          <w:lang w:val="es-PE"/>
        </w:rPr>
        <w:tab/>
      </w:r>
      <w:r w:rsidRPr="00BF09A0">
        <w:rPr>
          <w:rStyle w:val="Hipervnculo"/>
          <w:color w:val="000000" w:themeColor="text1"/>
          <w:sz w:val="18"/>
          <w:szCs w:val="18"/>
          <w:lang w:val="es-PE"/>
        </w:rPr>
        <w:t>Si la carga debe ejecutarse después del siniestro, el asegurador se libera por el incumplimiento del asegurado, si el mismo influyó en la extensión de la obligación asumida.</w:t>
      </w:r>
    </w:p>
    <w:p w:rsidRPr="00BF09A0" w:rsidR="00BF09A0" w:rsidP="00BF09A0" w:rsidRDefault="00BF09A0" w14:paraId="372B7B74" w14:textId="77777777">
      <w:pPr>
        <w:pStyle w:val="Textonotapie"/>
        <w:tabs>
          <w:tab w:val="left" w:pos="284"/>
          <w:tab w:val="left" w:pos="567"/>
        </w:tabs>
        <w:spacing w:after="60"/>
        <w:ind w:left="567" w:hanging="567"/>
        <w:jc w:val="both"/>
        <w:rPr>
          <w:rStyle w:val="Hipervnculo"/>
          <w:color w:val="000000" w:themeColor="text1"/>
          <w:sz w:val="18"/>
          <w:szCs w:val="18"/>
          <w:lang w:val="es-PE"/>
        </w:rPr>
      </w:pPr>
      <w:r w:rsidRPr="00BF09A0">
        <w:rPr>
          <w:rStyle w:val="Hipervnculo"/>
          <w:color w:val="000000" w:themeColor="text1"/>
          <w:sz w:val="18"/>
          <w:szCs w:val="18"/>
          <w:lang w:val="es-PE"/>
        </w:rPr>
        <w:tab/>
      </w:r>
      <w:r w:rsidRPr="00BF09A0">
        <w:rPr>
          <w:rStyle w:val="Hipervnculo"/>
          <w:color w:val="000000" w:themeColor="text1"/>
          <w:sz w:val="18"/>
          <w:szCs w:val="18"/>
          <w:lang w:val="es-PE"/>
        </w:rPr>
        <w:t xml:space="preserve">d) </w:t>
      </w:r>
      <w:r w:rsidRPr="00BF09A0">
        <w:rPr>
          <w:rStyle w:val="Hipervnculo"/>
          <w:color w:val="000000" w:themeColor="text1"/>
          <w:sz w:val="18"/>
          <w:szCs w:val="18"/>
          <w:lang w:val="es-PE"/>
        </w:rPr>
        <w:tab/>
      </w:r>
      <w:r w:rsidRPr="00BF09A0">
        <w:rPr>
          <w:rStyle w:val="Hipervnculo"/>
          <w:color w:val="000000" w:themeColor="text1"/>
          <w:sz w:val="18"/>
          <w:szCs w:val="18"/>
          <w:lang w:val="es-PE"/>
        </w:rPr>
        <w:t>En caso de culpa leve, la indemnización se reduce de manera proporcional a la agravación del siniestro consecuencia del incumplimiento.</w:t>
      </w:r>
    </w:p>
    <w:p w:rsidRPr="00BF09A0" w:rsidR="00BF09A0" w:rsidP="00BF09A0" w:rsidRDefault="00BF09A0" w14:paraId="1A2BE92F" w14:textId="77777777">
      <w:pPr>
        <w:pStyle w:val="Textonotapie"/>
        <w:tabs>
          <w:tab w:val="left" w:pos="284"/>
        </w:tabs>
        <w:spacing w:after="120"/>
        <w:ind w:left="284" w:hanging="284"/>
        <w:jc w:val="both"/>
        <w:rPr>
          <w:noProof/>
          <w:sz w:val="18"/>
          <w:szCs w:val="18"/>
        </w:rPr>
      </w:pPr>
      <w:r w:rsidRPr="00BF09A0">
        <w:rPr>
          <w:noProof/>
          <w:sz w:val="18"/>
          <w:szCs w:val="18"/>
          <w:lang w:val="es-PE"/>
        </w:rPr>
        <w:tab/>
      </w:r>
      <w:r w:rsidRPr="00BF09A0">
        <w:rPr>
          <w:noProof/>
          <w:sz w:val="18"/>
          <w:szCs w:val="18"/>
          <w:lang w:val="es-PE"/>
        </w:rPr>
        <w:t>En caso de caducidad, corresponde al asegurador la prima por el tiempo transcurrido hasta que toma conocimiento del incumplimiento de la carga.</w:t>
      </w:r>
    </w:p>
  </w:footnote>
  <w:footnote w:id="43">
    <w:p w:rsidRPr="00BF09A0" w:rsidR="00BF09A0" w:rsidP="00BF09A0" w:rsidRDefault="00BF09A0" w14:paraId="219D73F6" w14:textId="77777777">
      <w:pPr>
        <w:pStyle w:val="Textonotapie"/>
        <w:tabs>
          <w:tab w:val="left" w:pos="284"/>
        </w:tabs>
        <w:spacing w:after="120"/>
        <w:ind w:left="284" w:hanging="284"/>
        <w:jc w:val="both"/>
        <w:rPr>
          <w:sz w:val="18"/>
          <w:szCs w:val="18"/>
          <w:lang w:val="es-PE"/>
        </w:rPr>
      </w:pPr>
      <w:r w:rsidRPr="00BF09A0">
        <w:rPr>
          <w:rStyle w:val="Refdenotaalpie"/>
          <w:sz w:val="18"/>
          <w:szCs w:val="18"/>
          <w:lang w:val="es-PE"/>
        </w:rPr>
        <w:footnoteRef/>
      </w:r>
      <w:r w:rsidRPr="00BF09A0">
        <w:rPr>
          <w:sz w:val="18"/>
          <w:szCs w:val="18"/>
          <w:lang w:val="es-PE"/>
        </w:rPr>
        <w:t xml:space="preserve"> </w:t>
      </w:r>
      <w:r w:rsidRPr="00BF09A0">
        <w:rPr>
          <w:sz w:val="18"/>
          <w:szCs w:val="18"/>
          <w:lang w:val="es-PE"/>
        </w:rPr>
        <w:tab/>
      </w:r>
      <w:r w:rsidRPr="00BF09A0">
        <w:rPr>
          <w:noProof/>
          <w:sz w:val="18"/>
          <w:szCs w:val="18"/>
          <w:lang w:val="es-PE"/>
        </w:rPr>
        <w:t>Resolución DEFASEG n.° 84/19 (</w:t>
      </w:r>
      <w:r w:rsidRPr="00BF09A0">
        <w:rPr>
          <w:i/>
          <w:iCs/>
          <w:noProof/>
          <w:sz w:val="18"/>
          <w:szCs w:val="18"/>
          <w:u w:val="single"/>
          <w:lang w:val="es-PE"/>
        </w:rPr>
        <w:t>Expediente n.° 4106, Mantuano Nuñez v. MAPFRE</w:t>
      </w:r>
      <w:r w:rsidRPr="00BF09A0">
        <w:rPr>
          <w:noProof/>
          <w:sz w:val="18"/>
          <w:szCs w:val="18"/>
          <w:lang w:val="es-PE"/>
        </w:rPr>
        <w:t xml:space="preserve">) del 15 de julio de 2019 y </w:t>
      </w:r>
      <w:r w:rsidRPr="00BF09A0">
        <w:rPr>
          <w:sz w:val="18"/>
          <w:szCs w:val="18"/>
          <w:lang w:val="es-PE"/>
        </w:rPr>
        <w:t xml:space="preserve">Resolución </w:t>
      </w:r>
      <w:r w:rsidRPr="00BF09A0">
        <w:rPr>
          <w:noProof/>
          <w:sz w:val="18"/>
          <w:szCs w:val="18"/>
          <w:lang w:val="es-PE"/>
        </w:rPr>
        <w:t>DEFASEG n.° 32/25 (</w:t>
      </w:r>
      <w:r w:rsidRPr="00BF09A0">
        <w:rPr>
          <w:i/>
          <w:iCs/>
          <w:noProof/>
          <w:sz w:val="18"/>
          <w:szCs w:val="18"/>
          <w:u w:val="single"/>
          <w:lang w:val="es-PE"/>
        </w:rPr>
        <w:t>Expediente n.° 6084, Vigil Tejada v. Rímac</w:t>
      </w:r>
      <w:r w:rsidRPr="00BF09A0">
        <w:rPr>
          <w:noProof/>
          <w:sz w:val="18"/>
          <w:szCs w:val="18"/>
          <w:lang w:val="es-PE"/>
        </w:rPr>
        <w:t>) del 5 de marzo de 2025.</w:t>
      </w:r>
    </w:p>
  </w:footnote>
  <w:footnote w:id="10527">
    <w:p w:rsidR="00BF09A0" w:rsidP="00BF09A0" w:rsidRDefault="00BF09A0" w14:paraId="30766D93" w14:textId="14D01A97">
      <w:pPr>
        <w:pStyle w:val="Textonotapie"/>
        <w:tabs>
          <w:tab w:val="left" w:pos="284"/>
        </w:tabs>
        <w:spacing w:after="120"/>
        <w:ind w:left="284" w:hanging="284"/>
        <w:jc w:val="both"/>
        <w:rPr>
          <w:rFonts w:ascii="Georgia" w:hAnsi="Georgia"/>
          <w:noProof/>
          <w:lang w:val="es-PE"/>
        </w:rPr>
      </w:pPr>
      <w:r w:rsidRPr="00BF09A0">
        <w:rPr>
          <w:rStyle w:val="Refdenotaalpie"/>
          <w:sz w:val="18"/>
          <w:szCs w:val="18"/>
          <w:lang w:val="es-PE"/>
        </w:rPr>
        <w:footnoteRef/>
      </w:r>
      <w:r w:rsidRPr="00BF09A0" w:rsidR="3541BDFD">
        <w:rPr>
          <w:sz w:val="18"/>
          <w:szCs w:val="18"/>
          <w:lang w:val="es-PE"/>
        </w:rPr>
        <w:t xml:space="preserve"> </w:t>
      </w:r>
      <w:r w:rsidRPr="00BF09A0">
        <w:rPr>
          <w:sz w:val="18"/>
          <w:szCs w:val="18"/>
          <w:lang w:val="es-PE"/>
        </w:rPr>
        <w:tab/>
      </w:r>
      <w:r w:rsidRPr="00BF09A0" w:rsidR="3541BDFD">
        <w:rPr>
          <w:sz w:val="18"/>
          <w:szCs w:val="18"/>
          <w:lang w:val="es-PE"/>
        </w:rPr>
        <w:t xml:space="preserve">Resolución </w:t>
      </w:r>
      <w:r w:rsidRPr="00BF09A0" w:rsidR="3541BDFD">
        <w:rPr>
          <w:noProof/>
          <w:sz w:val="18"/>
          <w:szCs w:val="18"/>
          <w:lang w:val="es-PE"/>
        </w:rPr>
        <w:t>DEFASEG n.° 28/20 (</w:t>
      </w:r>
      <w:r w:rsidRPr="3541BDFD" w:rsidR="3541BDFD">
        <w:rPr>
          <w:i w:val="1"/>
          <w:iCs w:val="1"/>
          <w:noProof/>
          <w:sz w:val="18"/>
          <w:szCs w:val="18"/>
          <w:u w:val="single"/>
          <w:lang w:val="es-PE"/>
        </w:rPr>
        <w:t xml:space="preserve">Expediente n.° 4256, 4WR Asociados v </w:t>
      </w:r>
      <w:r w:rsidRPr="3541BDFD" w:rsidR="3541BDFD">
        <w:rPr>
          <w:i w:val="1"/>
          <w:iCs w:val="1"/>
          <w:noProof/>
          <w:sz w:val="18"/>
          <w:szCs w:val="18"/>
          <w:u w:val="single"/>
          <w:lang w:val="es-PE"/>
        </w:rPr>
        <w:t>.................</w:t>
      </w:r>
      <w:r w:rsidRPr="3541BDFD" w:rsidR="3541BDFD">
        <w:rPr>
          <w:noProof/>
          <w:sz w:val="18"/>
          <w:szCs w:val="18"/>
          <w:lang w:val="es-PE"/>
        </w:rPr>
        <w:t>) del 24 de febrero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87D4B74"/>
    <w:multiLevelType w:val="hybridMultilevel"/>
    <w:tmpl w:val="DD92C5A6"/>
    <w:lvl w:ilvl="0" w:tplc="040A000F">
      <w:start w:val="1"/>
      <w:numFmt w:val="decimal"/>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3"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4"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5"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6"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7"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8" w15:restartNumberingAfterBreak="0">
    <w:nsid w:val="345014CE"/>
    <w:multiLevelType w:val="hybridMultilevel"/>
    <w:tmpl w:val="B56A15E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9"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0"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A9B0EC5"/>
    <w:multiLevelType w:val="hybridMultilevel"/>
    <w:tmpl w:val="7C1E0ECC"/>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13"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4"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6"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7"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3"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4"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5"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6"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9"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1"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32"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4" w15:restartNumberingAfterBreak="0">
    <w:nsid w:val="7F88517D"/>
    <w:multiLevelType w:val="hybridMultilevel"/>
    <w:tmpl w:val="AA7CEEB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35"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2"/>
  </w:num>
  <w:num w:numId="2" w16cid:durableId="1171919473">
    <w:abstractNumId w:val="25"/>
  </w:num>
  <w:num w:numId="3" w16cid:durableId="1658803834">
    <w:abstractNumId w:val="11"/>
  </w:num>
  <w:num w:numId="4" w16cid:durableId="711463926">
    <w:abstractNumId w:val="27"/>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7"/>
  </w:num>
  <w:num w:numId="7" w16cid:durableId="8678369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8"/>
  </w:num>
  <w:num w:numId="11" w16cid:durableId="533613517">
    <w:abstractNumId w:val="33"/>
  </w:num>
  <w:num w:numId="12" w16cid:durableId="2130783287">
    <w:abstractNumId w:val="20"/>
  </w:num>
  <w:num w:numId="13" w16cid:durableId="1265580262">
    <w:abstractNumId w:val="31"/>
  </w:num>
  <w:num w:numId="14" w16cid:durableId="895973461">
    <w:abstractNumId w:val="18"/>
  </w:num>
  <w:num w:numId="15" w16cid:durableId="121660352">
    <w:abstractNumId w:val="19"/>
  </w:num>
  <w:num w:numId="16" w16cid:durableId="202908264">
    <w:abstractNumId w:val="29"/>
  </w:num>
  <w:num w:numId="17" w16cid:durableId="1820920746">
    <w:abstractNumId w:val="14"/>
  </w:num>
  <w:num w:numId="18" w16cid:durableId="1755320812">
    <w:abstractNumId w:val="26"/>
  </w:num>
  <w:num w:numId="19" w16cid:durableId="1160461192">
    <w:abstractNumId w:val="15"/>
  </w:num>
  <w:num w:numId="20" w16cid:durableId="1033462477">
    <w:abstractNumId w:val="35"/>
  </w:num>
  <w:num w:numId="21" w16cid:durableId="1897889237">
    <w:abstractNumId w:val="24"/>
  </w:num>
  <w:num w:numId="22" w16cid:durableId="715354678">
    <w:abstractNumId w:val="32"/>
  </w:num>
  <w:num w:numId="23" w16cid:durableId="4969182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3"/>
  </w:num>
  <w:num w:numId="25" w16cid:durableId="278152224">
    <w:abstractNumId w:val="10"/>
  </w:num>
  <w:num w:numId="26" w16cid:durableId="123793948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858183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66086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1979334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521895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5CB4"/>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52AF"/>
    <w:rsid w:val="004B5915"/>
    <w:rsid w:val="004C2AA2"/>
    <w:rsid w:val="004C5317"/>
    <w:rsid w:val="004D1D90"/>
    <w:rsid w:val="004D2699"/>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358B"/>
    <w:rsid w:val="00586A4A"/>
    <w:rsid w:val="005908B2"/>
    <w:rsid w:val="00592475"/>
    <w:rsid w:val="00592865"/>
    <w:rsid w:val="005929F7"/>
    <w:rsid w:val="00594FD8"/>
    <w:rsid w:val="00595B30"/>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17106"/>
    <w:rsid w:val="007224F7"/>
    <w:rsid w:val="0072469C"/>
    <w:rsid w:val="0072590B"/>
    <w:rsid w:val="00730F16"/>
    <w:rsid w:val="00734447"/>
    <w:rsid w:val="00742D07"/>
    <w:rsid w:val="0074458D"/>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026F"/>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834"/>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AF59D7"/>
    <w:rsid w:val="00B04114"/>
    <w:rsid w:val="00B1005D"/>
    <w:rsid w:val="00B16E20"/>
    <w:rsid w:val="00B17F4D"/>
    <w:rsid w:val="00B25CB1"/>
    <w:rsid w:val="00B27BC3"/>
    <w:rsid w:val="00B372A5"/>
    <w:rsid w:val="00B42651"/>
    <w:rsid w:val="00B444D2"/>
    <w:rsid w:val="00B45058"/>
    <w:rsid w:val="00B468EB"/>
    <w:rsid w:val="00B515FB"/>
    <w:rsid w:val="00B56323"/>
    <w:rsid w:val="00B60E25"/>
    <w:rsid w:val="00B617B5"/>
    <w:rsid w:val="00B62FA5"/>
    <w:rsid w:val="00B70BEE"/>
    <w:rsid w:val="00B73CA1"/>
    <w:rsid w:val="00B74ED2"/>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C7ADF"/>
    <w:rsid w:val="00BD386A"/>
    <w:rsid w:val="00BD5FD0"/>
    <w:rsid w:val="00BE3107"/>
    <w:rsid w:val="00BE3315"/>
    <w:rsid w:val="00BE3ABE"/>
    <w:rsid w:val="00BE7F18"/>
    <w:rsid w:val="00BF09A0"/>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2A2F"/>
    <w:rsid w:val="00CA4FD6"/>
    <w:rsid w:val="00CA6E4C"/>
    <w:rsid w:val="00CB182B"/>
    <w:rsid w:val="00CB451A"/>
    <w:rsid w:val="00CB7C37"/>
    <w:rsid w:val="00CC034E"/>
    <w:rsid w:val="00CC234B"/>
    <w:rsid w:val="00CC2E79"/>
    <w:rsid w:val="00CC582D"/>
    <w:rsid w:val="00CC5BCD"/>
    <w:rsid w:val="00CC7ED2"/>
    <w:rsid w:val="00CD13C5"/>
    <w:rsid w:val="00CE195F"/>
    <w:rsid w:val="00CE1F91"/>
    <w:rsid w:val="00CE2FD6"/>
    <w:rsid w:val="00CE51DF"/>
    <w:rsid w:val="00CE793E"/>
    <w:rsid w:val="00CF3742"/>
    <w:rsid w:val="00CF5A77"/>
    <w:rsid w:val="00D0420C"/>
    <w:rsid w:val="00D128FF"/>
    <w:rsid w:val="00D1427D"/>
    <w:rsid w:val="00D15C1E"/>
    <w:rsid w:val="00D16CC8"/>
    <w:rsid w:val="00D20EA1"/>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510A"/>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35EF"/>
    <w:rsid w:val="00FD56B3"/>
    <w:rsid w:val="00FD7551"/>
    <w:rsid w:val="00FE3388"/>
    <w:rsid w:val="00FE6EEE"/>
    <w:rsid w:val="00FE7B85"/>
    <w:rsid w:val="00FF0C4F"/>
    <w:rsid w:val="00FF2389"/>
    <w:rsid w:val="00FF6451"/>
    <w:rsid w:val="02DEF8A8"/>
    <w:rsid w:val="0B1F934B"/>
    <w:rsid w:val="0F169A35"/>
    <w:rsid w:val="17514C33"/>
    <w:rsid w:val="1827D957"/>
    <w:rsid w:val="19BC6EB0"/>
    <w:rsid w:val="1C233799"/>
    <w:rsid w:val="22DC71A9"/>
    <w:rsid w:val="2964A9FF"/>
    <w:rsid w:val="2E5F16D0"/>
    <w:rsid w:val="2F0AE81F"/>
    <w:rsid w:val="308E0966"/>
    <w:rsid w:val="341E34DB"/>
    <w:rsid w:val="3541BDFD"/>
    <w:rsid w:val="3A6D4590"/>
    <w:rsid w:val="3DC7A4AC"/>
    <w:rsid w:val="3E477E4E"/>
    <w:rsid w:val="499A7124"/>
    <w:rsid w:val="5086EE62"/>
    <w:rsid w:val="54320FB2"/>
    <w:rsid w:val="546E808C"/>
    <w:rsid w:val="551F306B"/>
    <w:rsid w:val="5E3941B2"/>
    <w:rsid w:val="62D151D3"/>
    <w:rsid w:val="6B961D7D"/>
    <w:rsid w:val="709B5527"/>
    <w:rsid w:val="74CDFDAE"/>
    <w:rsid w:val="7646E1E1"/>
    <w:rsid w:val="7ABE4FE1"/>
    <w:rsid w:val="7CB8CE9F"/>
    <w:rsid w:val="7CEBF97C"/>
    <w:rsid w:val="7CFD67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C,Ref,de nota al pie,註腳內容,CVR Ref. de nota al pie,Texto de nota al pie,Footnotes refss,Appel note de bas de page,Footnote number,referencia nota al pie,BVI fnr,f,4_G,16 Point,Superscript 6 Point,Texto nota al pie,sobrescrito,fr"/>
    <w:basedOn w:val="Fuentedeprrafopredeter"/>
    <w:uiPriority w:val="99"/>
    <w:semiHidden/>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footnotes.xml.rels>&#65279;<?xml version="1.0" encoding="utf-8"?><Relationships xmlns="http://schemas.openxmlformats.org/package/2006/relationships"><Relationship Type="http://schemas.openxmlformats.org/officeDocument/2006/relationships/hyperlink" Target="https://bibliotecavirtual.defensa.gob.es/BVMDefensa/es/catalogo_imagenes/grupo.do?path=363712" TargetMode="External" Id="rId3" /><Relationship Type="http://schemas.openxmlformats.org/officeDocument/2006/relationships/hyperlink" Target="https://dle.rae.es/" TargetMode="External" Id="rId7" /><Relationship Type="http://schemas.openxmlformats.org/officeDocument/2006/relationships/hyperlink" Target="http://www.defaseg.com.pe/reglamento" TargetMode="External" Id="rId1" /><Relationship Type="http://schemas.openxmlformats.org/officeDocument/2006/relationships/hyperlink" Target="https://dle.rae.es/" TargetMode="External" Id="rId6" /><Relationship Type="http://schemas.openxmlformats.org/officeDocument/2006/relationships/hyperlink" Target="https://www.fundacionmapfre.org/publicaciones/diccionario-mapfre-seguros/" TargetMode="External" Id="rId5" /><Relationship Type="http://schemas.openxmlformats.org/officeDocument/2006/relationships/hyperlink" Target="https://scholarlycommons.law.northwestern.edu/njilb/vol32/iss1/3/" TargetMode="External" Id="rId4" /><Relationship Type="http://schemas.openxmlformats.org/officeDocument/2006/relationships/hyperlink" Target="https://www.qualitasperu.com.pe/web/qpe/condicionados-generales" TargetMode="External" Id="Rd0ecada7fbfe43f7"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400E260-AD28-49BE-A5C0-C69F49917365}"/>
</file>

<file path=customXml/itemProps3.xml><?xml version="1.0" encoding="utf-8"?>
<ds:datastoreItem xmlns:ds="http://schemas.openxmlformats.org/officeDocument/2006/customXml" ds:itemID="{58781969-183D-4943-A6A0-67856A432366}"/>
</file>

<file path=customXml/itemProps4.xml><?xml version="1.0" encoding="utf-8"?>
<ds:datastoreItem xmlns:ds="http://schemas.openxmlformats.org/officeDocument/2006/customXml" ds:itemID="{474B510F-0093-4A8D-957D-04139DE1F54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633</cp:revision>
  <cp:lastPrinted>2025-11-17T20:13:00Z</cp:lastPrinted>
  <dcterms:created xsi:type="dcterms:W3CDTF">2020-12-18T20:09:00Z</dcterms:created>
  <dcterms:modified xsi:type="dcterms:W3CDTF">2026-07-15T16:48:20Z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